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D4C" w:rsidRDefault="009B6D4C" w:rsidP="009B6D4C">
      <w:pPr>
        <w:pStyle w:val="ListParagraph"/>
        <w:kinsoku w:val="0"/>
        <w:overflowPunct w:val="0"/>
        <w:ind w:left="605"/>
        <w:rPr>
          <w:sz w:val="20"/>
          <w:szCs w:val="20"/>
        </w:rPr>
      </w:pPr>
      <w:bookmarkStart w:id="0" w:name="DEED_-_Office_of_Broadband_Development"/>
      <w:bookmarkStart w:id="1" w:name="PROCEDURE:_2016_BORDER-TO-BORDER_BROADBA"/>
      <w:bookmarkStart w:id="2" w:name="Summary:"/>
      <w:bookmarkStart w:id="3" w:name="CHALLENGE_PROCESS_AS_OUTLINED_IN_STATUTE"/>
      <w:bookmarkEnd w:id="0"/>
      <w:bookmarkEnd w:id="1"/>
      <w:bookmarkEnd w:id="2"/>
      <w:bookmarkEnd w:id="3"/>
      <w:r>
        <w:rPr>
          <w:noProof/>
          <w:sz w:val="20"/>
          <w:szCs w:val="20"/>
        </w:rPr>
        <w:drawing>
          <wp:inline distT="0" distB="0" distL="0" distR="0">
            <wp:extent cx="4752975" cy="457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8B6" w:rsidRDefault="00E1095E"/>
    <w:p w:rsidR="009B6D4C" w:rsidRDefault="009B6D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5"/>
        <w:gridCol w:w="4395"/>
      </w:tblGrid>
      <w:tr w:rsidR="009B6D4C" w:rsidTr="002173CF">
        <w:tc>
          <w:tcPr>
            <w:tcW w:w="8790" w:type="dxa"/>
            <w:gridSpan w:val="2"/>
            <w:shd w:val="clear" w:color="auto" w:fill="C5E0B3" w:themeFill="accent6" w:themeFillTint="66"/>
          </w:tcPr>
          <w:p w:rsidR="009B6D4C" w:rsidRPr="002173CF" w:rsidRDefault="009B6D4C" w:rsidP="009B6D4C">
            <w:pPr>
              <w:jc w:val="center"/>
              <w:rPr>
                <w:b/>
                <w:sz w:val="28"/>
                <w:szCs w:val="28"/>
              </w:rPr>
            </w:pPr>
            <w:r w:rsidRPr="002173CF">
              <w:rPr>
                <w:b/>
                <w:sz w:val="28"/>
                <w:szCs w:val="28"/>
              </w:rPr>
              <w:t>2016 Border-to-Border Broadband Grant Program</w:t>
            </w:r>
          </w:p>
          <w:p w:rsidR="009B6D4C" w:rsidRPr="009B6D4C" w:rsidRDefault="009B6D4C" w:rsidP="009B6D4C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  <w:r w:rsidRPr="002173CF">
              <w:rPr>
                <w:b/>
                <w:sz w:val="28"/>
                <w:szCs w:val="28"/>
              </w:rPr>
              <w:t>Challenge Results</w:t>
            </w:r>
          </w:p>
        </w:tc>
      </w:tr>
      <w:tr w:rsidR="009B6D4C" w:rsidTr="002173CF">
        <w:tc>
          <w:tcPr>
            <w:tcW w:w="4395" w:type="dxa"/>
            <w:shd w:val="clear" w:color="auto" w:fill="FFFFFF" w:themeFill="background1"/>
          </w:tcPr>
          <w:p w:rsidR="009B6D4C" w:rsidRDefault="009B6D4C">
            <w:r>
              <w:t>Number of Applications Filed: 62</w:t>
            </w:r>
          </w:p>
        </w:tc>
        <w:tc>
          <w:tcPr>
            <w:tcW w:w="4395" w:type="dxa"/>
            <w:shd w:val="clear" w:color="auto" w:fill="FFFFFF" w:themeFill="background1"/>
          </w:tcPr>
          <w:p w:rsidR="009B6D4C" w:rsidRDefault="009B6D4C">
            <w:r>
              <w:t>Challenges Submitted: 44</w:t>
            </w:r>
          </w:p>
        </w:tc>
      </w:tr>
      <w:tr w:rsidR="009B6D4C" w:rsidTr="002173CF">
        <w:tc>
          <w:tcPr>
            <w:tcW w:w="4395" w:type="dxa"/>
            <w:shd w:val="clear" w:color="auto" w:fill="FFFFFF" w:themeFill="background1"/>
          </w:tcPr>
          <w:p w:rsidR="009B6D4C" w:rsidRDefault="009B6D4C">
            <w:r>
              <w:t>Number of Projects Challenged: 28</w:t>
            </w:r>
          </w:p>
        </w:tc>
        <w:tc>
          <w:tcPr>
            <w:tcW w:w="4395" w:type="dxa"/>
            <w:shd w:val="clear" w:color="auto" w:fill="FFFFFF" w:themeFill="background1"/>
          </w:tcPr>
          <w:p w:rsidR="009B6D4C" w:rsidRDefault="009B6D4C">
            <w:r>
              <w:t>Number of Challengers: 13</w:t>
            </w:r>
          </w:p>
        </w:tc>
      </w:tr>
      <w:tr w:rsidR="009B6D4C" w:rsidTr="002173CF">
        <w:tc>
          <w:tcPr>
            <w:tcW w:w="4395" w:type="dxa"/>
            <w:shd w:val="clear" w:color="auto" w:fill="C5E0B3" w:themeFill="accent6" w:themeFillTint="66"/>
          </w:tcPr>
          <w:p w:rsidR="009B6D4C" w:rsidRPr="002173CF" w:rsidRDefault="009B6D4C" w:rsidP="009B6D4C">
            <w:pPr>
              <w:rPr>
                <w:b/>
              </w:rPr>
            </w:pPr>
            <w:r w:rsidRPr="002173CF">
              <w:rPr>
                <w:b/>
              </w:rPr>
              <w:t>The following six projects were not funded due to credible challenges:</w:t>
            </w:r>
          </w:p>
        </w:tc>
        <w:tc>
          <w:tcPr>
            <w:tcW w:w="4395" w:type="dxa"/>
            <w:shd w:val="clear" w:color="auto" w:fill="C5E0B3" w:themeFill="accent6" w:themeFillTint="66"/>
          </w:tcPr>
          <w:p w:rsidR="009B6D4C" w:rsidRPr="002173CF" w:rsidRDefault="009B6D4C" w:rsidP="009B6D4C">
            <w:pPr>
              <w:rPr>
                <w:b/>
              </w:rPr>
            </w:pPr>
          </w:p>
          <w:p w:rsidR="009B6D4C" w:rsidRPr="002173CF" w:rsidRDefault="009B6D4C" w:rsidP="009B6D4C">
            <w:pPr>
              <w:rPr>
                <w:b/>
              </w:rPr>
            </w:pPr>
            <w:r w:rsidRPr="002173CF">
              <w:rPr>
                <w:b/>
              </w:rPr>
              <w:t>Challenger:</w:t>
            </w:r>
          </w:p>
        </w:tc>
      </w:tr>
      <w:tr w:rsidR="003662F3" w:rsidTr="009B6D4C">
        <w:tc>
          <w:tcPr>
            <w:tcW w:w="4395" w:type="dxa"/>
          </w:tcPr>
          <w:p w:rsidR="003662F3" w:rsidRDefault="003662F3" w:rsidP="003662F3">
            <w:proofErr w:type="spellStart"/>
            <w:r>
              <w:t>Gardonville</w:t>
            </w:r>
            <w:proofErr w:type="spellEnd"/>
            <w:r>
              <w:t xml:space="preserve"> Coop Telephone Association—Application for Lake Ida</w:t>
            </w:r>
          </w:p>
        </w:tc>
        <w:tc>
          <w:tcPr>
            <w:tcW w:w="4395" w:type="dxa"/>
          </w:tcPr>
          <w:p w:rsidR="003662F3" w:rsidRDefault="003662F3" w:rsidP="00E1095E">
            <w:r>
              <w:t>CenturyLink provided information showing significant overlap with its CAF II build scheduled to complete in 2016.</w:t>
            </w:r>
            <w:r w:rsidR="00E1095E">
              <w:t xml:space="preserve"> A letter was sent to CenturyLink on January 26, 2017 indicating that its challenge was found to be credible and requesting the company to submit documentation upon service being made </w:t>
            </w:r>
            <w:bookmarkStart w:id="4" w:name="_GoBack"/>
            <w:bookmarkEnd w:id="4"/>
            <w:r w:rsidR="00E1095E">
              <w:t>available, the addresses served, and the download and upload speeds provided.</w:t>
            </w:r>
          </w:p>
        </w:tc>
      </w:tr>
      <w:tr w:rsidR="003662F3" w:rsidTr="009B6D4C">
        <w:tc>
          <w:tcPr>
            <w:tcW w:w="4395" w:type="dxa"/>
          </w:tcPr>
          <w:p w:rsidR="003662F3" w:rsidRDefault="003662F3" w:rsidP="003662F3">
            <w:proofErr w:type="spellStart"/>
            <w:r>
              <w:t>Gardonville</w:t>
            </w:r>
            <w:proofErr w:type="spellEnd"/>
            <w:r>
              <w:t xml:space="preserve"> Coop Telephone Association—Application for Lake </w:t>
            </w:r>
            <w:proofErr w:type="spellStart"/>
            <w:r>
              <w:t>Miltona</w:t>
            </w:r>
            <w:proofErr w:type="spellEnd"/>
          </w:p>
        </w:tc>
        <w:tc>
          <w:tcPr>
            <w:tcW w:w="4395" w:type="dxa"/>
          </w:tcPr>
          <w:p w:rsidR="003662F3" w:rsidRDefault="003662F3" w:rsidP="003662F3">
            <w:r>
              <w:t>CenturyLink provided information showing significant overlap with its CAF II build scheduled to complete in 2017.</w:t>
            </w:r>
            <w:r w:rsidR="00E1095E">
              <w:t xml:space="preserve"> </w:t>
            </w:r>
            <w:r w:rsidR="00E1095E">
              <w:t>A letter was sent to CenturyLink on Januar</w:t>
            </w:r>
            <w:r w:rsidR="00E1095E">
              <w:t>y 26, 2017 indicating that its</w:t>
            </w:r>
            <w:r w:rsidR="00E1095E">
              <w:t xml:space="preserve"> challenge was found to be credible and requesting the company to submit documentation upon service being </w:t>
            </w:r>
            <w:r w:rsidR="00E1095E">
              <w:t xml:space="preserve">made </w:t>
            </w:r>
            <w:r w:rsidR="00E1095E">
              <w:t>available, the addresses served, and the download and upload speeds provided.</w:t>
            </w:r>
          </w:p>
        </w:tc>
      </w:tr>
      <w:tr w:rsidR="003662F3" w:rsidTr="009B6D4C">
        <w:tc>
          <w:tcPr>
            <w:tcW w:w="4395" w:type="dxa"/>
          </w:tcPr>
          <w:p w:rsidR="003662F3" w:rsidRDefault="003662F3" w:rsidP="003662F3">
            <w:r>
              <w:t>Lismore Cooperative Telephone Company’s Application—City of Bigelow only</w:t>
            </w:r>
          </w:p>
        </w:tc>
        <w:tc>
          <w:tcPr>
            <w:tcW w:w="4395" w:type="dxa"/>
          </w:tcPr>
          <w:p w:rsidR="003662F3" w:rsidRDefault="003662F3" w:rsidP="00E1095E">
            <w:r>
              <w:t>Frontier indicated it will provide service of at least 25/3 to all locations within the City of Bigelo</w:t>
            </w:r>
            <w:r w:rsidR="00AF5771">
              <w:t>w; anticipated availability year end 2016</w:t>
            </w:r>
            <w:r>
              <w:t>. (Remainder of project was funded.)</w:t>
            </w:r>
            <w:r w:rsidR="00E1095E">
              <w:t xml:space="preserve"> A letter was sent to Frontier</w:t>
            </w:r>
            <w:r w:rsidR="00E1095E">
              <w:t xml:space="preserve"> on Janua</w:t>
            </w:r>
            <w:r w:rsidR="00E1095E">
              <w:t>ry 26, 2017 indicating that its</w:t>
            </w:r>
            <w:r w:rsidR="00E1095E">
              <w:t xml:space="preserve"> challenge was found to be credible and requesting the company to submit documentation upon service being </w:t>
            </w:r>
            <w:r w:rsidR="00E1095E">
              <w:t xml:space="preserve">made </w:t>
            </w:r>
            <w:r w:rsidR="00E1095E">
              <w:t>available, the addresses served, and the download and upload speeds provided.</w:t>
            </w:r>
          </w:p>
        </w:tc>
      </w:tr>
      <w:tr w:rsidR="003662F3" w:rsidTr="009B6D4C">
        <w:tc>
          <w:tcPr>
            <w:tcW w:w="4395" w:type="dxa"/>
          </w:tcPr>
          <w:p w:rsidR="003662F3" w:rsidRDefault="003662F3" w:rsidP="003662F3">
            <w:r>
              <w:t>Palmer Wireless—Palmer Township</w:t>
            </w:r>
          </w:p>
        </w:tc>
        <w:tc>
          <w:tcPr>
            <w:tcW w:w="4395" w:type="dxa"/>
          </w:tcPr>
          <w:p w:rsidR="003662F3" w:rsidRDefault="003662F3" w:rsidP="00E1095E">
            <w:r>
              <w:t>Frontier indicated 32 locations within Frontier’s Clear Lake exchange will be provided with service of at least 25/3 with its CAF II build; anticipated completion 1Q17. (Remainder of project was not awarded funding.)</w:t>
            </w:r>
            <w:r w:rsidR="00E1095E">
              <w:t xml:space="preserve"> A letter was sent to Frontier</w:t>
            </w:r>
            <w:r w:rsidR="00E1095E">
              <w:t xml:space="preserve"> on Januar</w:t>
            </w:r>
            <w:r w:rsidR="00E1095E">
              <w:t>y 26, 2017 indicating that its</w:t>
            </w:r>
            <w:r w:rsidR="00E1095E">
              <w:t xml:space="preserve"> challenge was found to be credible and requesting the company to submit documentation upon service being</w:t>
            </w:r>
            <w:r w:rsidR="00E1095E">
              <w:t xml:space="preserve"> made</w:t>
            </w:r>
            <w:r w:rsidR="00E1095E">
              <w:t xml:space="preserve"> available, the addresses served, and the download and upload speeds provided.</w:t>
            </w:r>
          </w:p>
        </w:tc>
      </w:tr>
      <w:tr w:rsidR="003662F3" w:rsidTr="009B6D4C">
        <w:tc>
          <w:tcPr>
            <w:tcW w:w="4395" w:type="dxa"/>
          </w:tcPr>
          <w:p w:rsidR="003662F3" w:rsidRDefault="003662F3" w:rsidP="003662F3">
            <w:r>
              <w:t>Red River Telephone Association—Application to serve Campbell, Comstock and Downer</w:t>
            </w:r>
          </w:p>
        </w:tc>
        <w:tc>
          <w:tcPr>
            <w:tcW w:w="4395" w:type="dxa"/>
          </w:tcPr>
          <w:p w:rsidR="003662F3" w:rsidRDefault="003662F3" w:rsidP="00E1095E">
            <w:r>
              <w:t>CenturyLink provided information showing significant overlap with its CAF II build scheduled to complete in 2017.</w:t>
            </w:r>
            <w:r w:rsidR="00E1095E">
              <w:t xml:space="preserve"> </w:t>
            </w:r>
            <w:r w:rsidR="00E1095E">
              <w:t xml:space="preserve">A letter was </w:t>
            </w:r>
            <w:r w:rsidR="00E1095E">
              <w:lastRenderedPageBreak/>
              <w:t>sent to CenturyLink on Janua</w:t>
            </w:r>
            <w:r w:rsidR="00E1095E">
              <w:t>ry 26, 2017 indicating that its</w:t>
            </w:r>
            <w:r w:rsidR="00E1095E">
              <w:t xml:space="preserve"> challenge was found to be credible and requesting the company to submit documentation upon service being </w:t>
            </w:r>
            <w:r w:rsidR="00E1095E">
              <w:t xml:space="preserve">made </w:t>
            </w:r>
            <w:r w:rsidR="00E1095E">
              <w:t>available, the addresses served, and the download and upload speeds provided.</w:t>
            </w:r>
          </w:p>
        </w:tc>
      </w:tr>
      <w:tr w:rsidR="003662F3" w:rsidTr="009B6D4C">
        <w:tc>
          <w:tcPr>
            <w:tcW w:w="4395" w:type="dxa"/>
          </w:tcPr>
          <w:p w:rsidR="003662F3" w:rsidRDefault="003662F3" w:rsidP="003662F3">
            <w:r>
              <w:lastRenderedPageBreak/>
              <w:t>Woodstock Telephone Company—Application to serve the City of Balaton</w:t>
            </w:r>
          </w:p>
        </w:tc>
        <w:tc>
          <w:tcPr>
            <w:tcW w:w="4395" w:type="dxa"/>
          </w:tcPr>
          <w:p w:rsidR="003662F3" w:rsidRDefault="003662F3" w:rsidP="00AF5771">
            <w:r>
              <w:t xml:space="preserve">Frontier indicated it </w:t>
            </w:r>
            <w:r w:rsidR="00AF5771">
              <w:t>was upgrading service to</w:t>
            </w:r>
            <w:r>
              <w:t xml:space="preserve"> speeds of at least 25/3 to all locations within the City of Balaton except for a dozen locations in t</w:t>
            </w:r>
            <w:r w:rsidR="00AF5771">
              <w:t>he northeast corner of the city; anticipated availability year end 2016.</w:t>
            </w:r>
            <w:r w:rsidR="00E1095E">
              <w:t xml:space="preserve"> A letter was sent to Frontier</w:t>
            </w:r>
            <w:r w:rsidR="00E1095E">
              <w:t xml:space="preserve"> on Januar</w:t>
            </w:r>
            <w:r w:rsidR="00E1095E">
              <w:t>y 26, 2017 indicating that its</w:t>
            </w:r>
            <w:r w:rsidR="00E1095E">
              <w:t xml:space="preserve"> challenge was found to be credible and requesting the company to submit documentation upon service being </w:t>
            </w:r>
            <w:r w:rsidR="00E1095E">
              <w:t xml:space="preserve">made </w:t>
            </w:r>
            <w:r w:rsidR="00E1095E">
              <w:t>available, the addresses served, and the download and upload speeds provided.</w:t>
            </w:r>
          </w:p>
        </w:tc>
      </w:tr>
    </w:tbl>
    <w:p w:rsidR="009B6D4C" w:rsidRDefault="009B6D4C"/>
    <w:sectPr w:rsidR="009B6D4C" w:rsidSect="009B6D4C">
      <w:pgSz w:w="12240" w:h="15840"/>
      <w:pgMar w:top="440" w:right="1720" w:bottom="280" w:left="1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D4C"/>
    <w:rsid w:val="002173CF"/>
    <w:rsid w:val="003662F3"/>
    <w:rsid w:val="00532E9F"/>
    <w:rsid w:val="00716528"/>
    <w:rsid w:val="009B6D4C"/>
    <w:rsid w:val="00AA56EF"/>
    <w:rsid w:val="00AF5771"/>
    <w:rsid w:val="00E1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BA782"/>
  <w15:chartTrackingRefBased/>
  <w15:docId w15:val="{5A9276CD-4F9C-4355-978D-D9486C7A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B6D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B6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235451-F8BB-44C2-A38A-8F8D8FA44358}"/>
</file>

<file path=customXml/itemProps2.xml><?xml version="1.0" encoding="utf-8"?>
<ds:datastoreItem xmlns:ds="http://schemas.openxmlformats.org/officeDocument/2006/customXml" ds:itemID="{F482C616-0D75-4767-ABD7-519BBCAA9290}"/>
</file>

<file path=customXml/itemProps3.xml><?xml version="1.0" encoding="utf-8"?>
<ds:datastoreItem xmlns:ds="http://schemas.openxmlformats.org/officeDocument/2006/customXml" ds:itemID="{792022DF-AD55-4DB2-9A21-79C830E9AA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Wells</dc:creator>
  <cp:keywords/>
  <dc:description/>
  <cp:lastModifiedBy>Diane Wells</cp:lastModifiedBy>
  <cp:revision>3</cp:revision>
  <dcterms:created xsi:type="dcterms:W3CDTF">2017-02-14T19:30:00Z</dcterms:created>
  <dcterms:modified xsi:type="dcterms:W3CDTF">2017-02-21T13:42:00Z</dcterms:modified>
</cp:coreProperties>
</file>