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C3" w:rsidRDefault="00D52CFB" w:rsidP="00AB6F70">
      <w:r>
        <w:br/>
      </w:r>
      <w:r w:rsidR="000055EB">
        <w:rPr>
          <w:noProof/>
        </w:rPr>
        <w:drawing>
          <wp:inline distT="0" distB="0" distL="0" distR="0" wp14:anchorId="1F423EC3" wp14:editId="4B6E740A">
            <wp:extent cx="6858000" cy="1292860"/>
            <wp:effectExtent l="0" t="0" r="0" b="2540"/>
            <wp:docPr id="3" name="Picture 3" descr="Banner with Minnesota Department of Employment and Economic Development logo  and title &quot;Survey of Minnesota Business Services Firms&quot;" title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siness Services New 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F70" w:rsidRDefault="00AB6F70" w:rsidP="00AB6F70">
      <w:pPr>
        <w:pStyle w:val="Heading1"/>
        <w:jc w:val="center"/>
      </w:pPr>
      <w:r w:rsidRPr="00AB6F70">
        <w:t>Minnesot</w:t>
      </w:r>
      <w:r w:rsidR="004A770C">
        <w:t>a Business Services Firms</w:t>
      </w:r>
      <w:r w:rsidR="00B22064">
        <w:t xml:space="preserve"> Expect Stability</w:t>
      </w:r>
      <w:r w:rsidR="00B86E7E">
        <w:t xml:space="preserve"> </w:t>
      </w:r>
      <w:r w:rsidR="00093843">
        <w:t>for</w:t>
      </w:r>
      <w:r w:rsidR="000C48E8">
        <w:t xml:space="preserve"> 2018</w:t>
      </w:r>
    </w:p>
    <w:p w:rsidR="008B388C" w:rsidRDefault="008B388C" w:rsidP="00AB6F70">
      <w:pPr>
        <w:sectPr w:rsidR="008B388C" w:rsidSect="00703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5892" w:rsidRDefault="00855892" w:rsidP="00855892">
      <w:pPr>
        <w:spacing w:after="0" w:line="240" w:lineRule="auto"/>
      </w:pPr>
    </w:p>
    <w:p w:rsidR="00855892" w:rsidRDefault="00855892" w:rsidP="00855892">
      <w:pPr>
        <w:spacing w:after="0" w:line="240" w:lineRule="auto"/>
      </w:pPr>
    </w:p>
    <w:p w:rsidR="00C067E2" w:rsidRDefault="004A770C" w:rsidP="00C067E2">
      <w:pPr>
        <w:spacing w:after="0" w:line="240" w:lineRule="auto"/>
      </w:pPr>
      <w:r>
        <w:t>Minnesota business service</w:t>
      </w:r>
      <w:r w:rsidR="000C48E8">
        <w:t>s</w:t>
      </w:r>
      <w:bookmarkStart w:id="0" w:name="_GoBack"/>
      <w:bookmarkEnd w:id="0"/>
      <w:r>
        <w:t xml:space="preserve"> firms </w:t>
      </w:r>
      <w:r w:rsidR="00BC5DD8">
        <w:t>(</w:t>
      </w:r>
      <w:r>
        <w:t>such as engineers, accountants a</w:t>
      </w:r>
      <w:r w:rsidR="00093843">
        <w:t xml:space="preserve">nd architects) expect mostly </w:t>
      </w:r>
      <w:r w:rsidR="004C194A">
        <w:t>stable</w:t>
      </w:r>
      <w:r w:rsidR="00093843">
        <w:t xml:space="preserve"> leve</w:t>
      </w:r>
      <w:r w:rsidR="003549BF">
        <w:t>ls fo</w:t>
      </w:r>
      <w:r w:rsidR="00565C48">
        <w:t>r</w:t>
      </w:r>
      <w:r w:rsidR="00093843">
        <w:t xml:space="preserve"> labor availability</w:t>
      </w:r>
      <w:r w:rsidR="00565C48">
        <w:t xml:space="preserve">, employment level and productivity </w:t>
      </w:r>
      <w:r w:rsidR="00093843">
        <w:t>in 201</w:t>
      </w:r>
      <w:r w:rsidR="00565C48">
        <w:t>8</w:t>
      </w:r>
      <w:r w:rsidR="00093843">
        <w:t xml:space="preserve">. </w:t>
      </w:r>
      <w:r w:rsidR="003549BF">
        <w:t>They also anticipate growth for sales</w:t>
      </w:r>
      <w:r w:rsidR="00565C48">
        <w:t xml:space="preserve"> revenue.</w:t>
      </w:r>
    </w:p>
    <w:p w:rsidR="00D53E18" w:rsidRDefault="00C067E2" w:rsidP="00D53E18">
      <w:pPr>
        <w:spacing w:after="0" w:line="240" w:lineRule="auto"/>
      </w:pPr>
      <w:r>
        <w:br/>
      </w:r>
      <w:r w:rsidR="00BC5DD8">
        <w:t xml:space="preserve">These results come from a random sample of Minnesota businesses service firms conducted in May and June by the Minnesota Department of Employment and Economic </w:t>
      </w:r>
      <w:r w:rsidR="009B07B0" w:rsidRPr="00855892">
        <w:t>Development and the Federal Reserve Ban</w:t>
      </w:r>
      <w:r w:rsidR="006309E6">
        <w:t>k in Minne</w:t>
      </w:r>
      <w:r w:rsidR="00D53E18">
        <w:t>apolis</w:t>
      </w:r>
      <w:r w:rsidR="00CA4F8E">
        <w:t>.</w:t>
      </w:r>
      <w:r w:rsidR="00CA4F8E">
        <w:br/>
      </w:r>
      <w:r w:rsidR="00CA4F8E">
        <w:br/>
      </w:r>
    </w:p>
    <w:p w:rsidR="001215A7" w:rsidRDefault="00C067E2" w:rsidP="001215A7">
      <w:pPr>
        <w:pStyle w:val="Heading2"/>
      </w:pPr>
      <w:r>
        <w:t>Business Services Firms</w:t>
      </w:r>
      <w:r w:rsidR="003368D3">
        <w:t>-Previous Four Quarters</w:t>
      </w:r>
      <w:r w:rsidR="00855892">
        <w:br/>
      </w:r>
    </w:p>
    <w:p w:rsidR="00225875" w:rsidRDefault="001215A7" w:rsidP="001215A7">
      <w:r w:rsidRPr="001215A7">
        <w:t>Mi</w:t>
      </w:r>
      <w:r w:rsidR="00C067E2">
        <w:t>nnesota business services firms</w:t>
      </w:r>
      <w:r w:rsidR="006A387C">
        <w:t xml:space="preserve"> reported mostly </w:t>
      </w:r>
      <w:r>
        <w:t>unch</w:t>
      </w:r>
      <w:r w:rsidR="006449F7">
        <w:t xml:space="preserve">anged </w:t>
      </w:r>
      <w:r w:rsidR="006A387C">
        <w:t xml:space="preserve">or improved </w:t>
      </w:r>
      <w:r w:rsidR="006449F7">
        <w:t>conditions in 201</w:t>
      </w:r>
      <w:r w:rsidR="002C48DC">
        <w:t>6</w:t>
      </w:r>
      <w:r w:rsidR="006449F7">
        <w:t xml:space="preserve">. </w:t>
      </w:r>
      <w:r w:rsidR="00B22064">
        <w:t>Seventy-one percent</w:t>
      </w:r>
      <w:r w:rsidR="00C067E2">
        <w:t xml:space="preserve"> experienced unchanged labor availability and 6</w:t>
      </w:r>
      <w:r w:rsidR="002C48DC">
        <w:t>7</w:t>
      </w:r>
      <w:r>
        <w:t xml:space="preserve"> p</w:t>
      </w:r>
      <w:r w:rsidR="00C067E2">
        <w:t xml:space="preserve">ercent </w:t>
      </w:r>
      <w:r w:rsidR="00225875">
        <w:t>reported constant</w:t>
      </w:r>
      <w:r w:rsidR="00C067E2">
        <w:t xml:space="preserve"> employment levels</w:t>
      </w:r>
      <w:r>
        <w:t xml:space="preserve">. </w:t>
      </w:r>
      <w:r w:rsidR="006A387C">
        <w:t xml:space="preserve">Additionally, </w:t>
      </w:r>
      <w:r w:rsidR="002C48DC">
        <w:t>63</w:t>
      </w:r>
      <w:r w:rsidR="00C067E2">
        <w:t xml:space="preserve"> percent indic</w:t>
      </w:r>
      <w:r w:rsidR="006A387C">
        <w:t xml:space="preserve">ated no changes in </w:t>
      </w:r>
      <w:r w:rsidR="002C48DC">
        <w:t>selling prices and productivity</w:t>
      </w:r>
      <w:r w:rsidR="006A387C">
        <w:t xml:space="preserve">. Sales revenue had the best performance </w:t>
      </w:r>
      <w:r w:rsidR="00B22064">
        <w:t xml:space="preserve">among indicators </w:t>
      </w:r>
      <w:r w:rsidR="006A387C">
        <w:t xml:space="preserve">with </w:t>
      </w:r>
      <w:r w:rsidR="00B22064">
        <w:t>4</w:t>
      </w:r>
      <w:r w:rsidR="002C48DC">
        <w:t>6</w:t>
      </w:r>
      <w:r>
        <w:t xml:space="preserve"> perc</w:t>
      </w:r>
      <w:r w:rsidR="00B22064">
        <w:t>ent of firms reporting</w:t>
      </w:r>
      <w:r w:rsidR="00C067E2">
        <w:t xml:space="preserve"> </w:t>
      </w:r>
      <w:r w:rsidR="00B22064">
        <w:t>growth</w:t>
      </w:r>
      <w:r>
        <w:t>.</w:t>
      </w:r>
      <w:r w:rsidR="00810157">
        <w:t xml:space="preserve"> </w:t>
      </w:r>
      <w:r w:rsidR="00225875">
        <w:t xml:space="preserve"> </w:t>
      </w:r>
    </w:p>
    <w:p w:rsidR="00AB6F70" w:rsidRDefault="00814F86" w:rsidP="001215A7">
      <w:r>
        <w:rPr>
          <w:noProof/>
          <w:color w:val="C00000"/>
        </w:rPr>
        <w:drawing>
          <wp:inline distT="0" distB="0" distL="0" distR="0" wp14:anchorId="67667C1F" wp14:editId="61B49EF4">
            <wp:extent cx="3390900" cy="2352675"/>
            <wp:effectExtent l="0" t="0" r="0" b="0"/>
            <wp:docPr id="1" name="Chart 1" descr="Bart chart showing mostly stable conditions for productivity (63%), employment level (67%), labopr availability (71%)selling prices (63%), space occupied (89%) and exports (93%)." title="Business Services Firms - Previous Four Quarter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215A7">
        <w:t xml:space="preserve"> </w:t>
      </w:r>
    </w:p>
    <w:p w:rsidR="003368D3" w:rsidRPr="003368D3" w:rsidRDefault="00810157" w:rsidP="00A66699">
      <w:pPr>
        <w:rPr>
          <w:rStyle w:val="Heading2Char"/>
        </w:rPr>
      </w:pPr>
      <w:r>
        <w:lastRenderedPageBreak/>
        <w:br/>
      </w:r>
      <w:r w:rsidR="003368D3">
        <w:rPr>
          <w:rStyle w:val="Heading2Char"/>
        </w:rPr>
        <w:t>Business Services Firms-The Coming Year</w:t>
      </w:r>
      <w:r w:rsidR="003368D3">
        <w:rPr>
          <w:rStyle w:val="Heading2Char"/>
        </w:rPr>
        <w:br/>
      </w:r>
      <w:r w:rsidR="003368D3">
        <w:t>Minnesota business services firms expect mostly stable conditions for the coming year</w:t>
      </w:r>
      <w:r w:rsidR="00093843">
        <w:t xml:space="preserve">. </w:t>
      </w:r>
      <w:r w:rsidR="00F76D55">
        <w:t>Seventy-seven</w:t>
      </w:r>
      <w:r w:rsidR="00A41AC1">
        <w:t xml:space="preserve"> percent anticipate unchanged</w:t>
      </w:r>
      <w:r w:rsidR="00F76D55">
        <w:t xml:space="preserve"> labor availability and only five</w:t>
      </w:r>
      <w:r w:rsidR="00A41AC1">
        <w:t xml:space="preserve"> ex</w:t>
      </w:r>
      <w:r w:rsidR="00BA5968">
        <w:t>pect increased levels. Seventy-</w:t>
      </w:r>
      <w:r w:rsidR="00D12E13">
        <w:t>one</w:t>
      </w:r>
      <w:r w:rsidR="00A41AC1">
        <w:t xml:space="preserve"> percent expect unchanged employment levels while 21 percent anticipate employment growth. Respondents were closely divided between those who expect stable profits </w:t>
      </w:r>
      <w:r w:rsidR="006A387C">
        <w:t>(</w:t>
      </w:r>
      <w:r w:rsidR="00D12E13">
        <w:t>40</w:t>
      </w:r>
      <w:r w:rsidR="00A41AC1">
        <w:t xml:space="preserve"> percent) and those </w:t>
      </w:r>
      <w:r w:rsidR="00D12E13">
        <w:t>who anticipate profit growth (42</w:t>
      </w:r>
      <w:r w:rsidR="00A41AC1">
        <w:t xml:space="preserve"> p</w:t>
      </w:r>
      <w:r w:rsidR="003549BF">
        <w:t xml:space="preserve">ercent). </w:t>
      </w:r>
      <w:r w:rsidR="00A41AC1">
        <w:t>Table 1</w:t>
      </w:r>
      <w:r w:rsidR="003549BF">
        <w:t xml:space="preserve"> shows results for all indicators</w:t>
      </w:r>
      <w:r w:rsidR="00A41AC1">
        <w:t>.</w:t>
      </w:r>
    </w:p>
    <w:p w:rsidR="003368D3" w:rsidRDefault="003368D3" w:rsidP="00A66699">
      <w:pPr>
        <w:rPr>
          <w:rStyle w:val="Heading2Char"/>
        </w:rPr>
      </w:pPr>
    </w:p>
    <w:p w:rsidR="00E7356E" w:rsidRPr="006A387C" w:rsidRDefault="00A66699" w:rsidP="00E7356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Style w:val="Heading2Char"/>
        </w:rPr>
        <w:t>Outlook on the State Economy</w:t>
      </w:r>
      <w:r w:rsidR="00E7356E" w:rsidRPr="00E7356E">
        <w:rPr>
          <w:rStyle w:val="Heading2Char"/>
        </w:rPr>
        <w:br/>
      </w:r>
      <w:r w:rsidR="00E7356E">
        <w:br/>
      </w:r>
      <w:r>
        <w:t>Mi</w:t>
      </w:r>
      <w:r w:rsidR="006A387C">
        <w:t>nnesota business services firms</w:t>
      </w:r>
      <w:r w:rsidR="00D12E13">
        <w:t xml:space="preserve"> expect mostly stable </w:t>
      </w:r>
      <w:proofErr w:type="gramStart"/>
      <w:r w:rsidR="008B00D4">
        <w:t>or</w:t>
      </w:r>
      <w:proofErr w:type="gramEnd"/>
      <w:r w:rsidR="008B00D4">
        <w:t xml:space="preserve"> improved </w:t>
      </w:r>
      <w:r>
        <w:t xml:space="preserve">conditions. Most diffusion indexes are higher than 50, indicating expansion but they are </w:t>
      </w:r>
      <w:r w:rsidR="00D12E13">
        <w:t xml:space="preserve">comparable to last </w:t>
      </w:r>
      <w:r w:rsidR="003E0958">
        <w:t>year’s survey</w:t>
      </w:r>
      <w:r w:rsidR="008B00D4">
        <w:t>, as shown on Table 1.</w:t>
      </w:r>
      <w:r w:rsidR="00A41AC1">
        <w:t xml:space="preserve"> </w:t>
      </w:r>
      <w:r w:rsidR="00D12E13">
        <w:t xml:space="preserve">Respondents are almost equally divided </w:t>
      </w:r>
      <w:r w:rsidR="008B00D4">
        <w:t>anticipating</w:t>
      </w:r>
      <w:r w:rsidR="00D12E13">
        <w:t xml:space="preserve"> improved </w:t>
      </w:r>
      <w:r w:rsidR="008B00D4">
        <w:t xml:space="preserve">(45 percent) </w:t>
      </w:r>
      <w:r w:rsidR="00D12E13">
        <w:t>or stable conditions</w:t>
      </w:r>
      <w:r>
        <w:t xml:space="preserve"> </w:t>
      </w:r>
      <w:r w:rsidR="008B00D4">
        <w:t>(46 percent) for</w:t>
      </w:r>
      <w:r>
        <w:t xml:space="preserve"> employment</w:t>
      </w:r>
      <w:r w:rsidR="008B00D4">
        <w:t>. T</w:t>
      </w:r>
      <w:r>
        <w:t xml:space="preserve">he diffusion index </w:t>
      </w:r>
      <w:r w:rsidR="008B00D4">
        <w:t>for this indicator is 67</w:t>
      </w:r>
      <w:r w:rsidR="00825F3C">
        <w:t xml:space="preserve">, </w:t>
      </w:r>
      <w:r w:rsidR="008B00D4">
        <w:t xml:space="preserve">identical to the diffusion index </w:t>
      </w:r>
      <w:r>
        <w:t xml:space="preserve">the previous year. </w:t>
      </w:r>
      <w:r w:rsidR="008B00D4">
        <w:t xml:space="preserve">Respondents are less optimistic about inflation with 59 percent expecting an increase. </w:t>
      </w:r>
    </w:p>
    <w:p w:rsidR="00100C21" w:rsidRDefault="00F10ED0" w:rsidP="00814ED5">
      <w:r>
        <w:rPr>
          <w:noProof/>
          <w:color w:val="C00000"/>
        </w:rPr>
        <w:drawing>
          <wp:inline distT="0" distB="0" distL="0" distR="0" wp14:anchorId="6942F3D8" wp14:editId="48919350">
            <wp:extent cx="3000375" cy="2305050"/>
            <wp:effectExtent l="0" t="0" r="0" b="0"/>
            <wp:docPr id="5" name="Chart 5" descr="Bart chart showing comparable percentages for improved (45%) or stable (46%) conditions for employment. Other indicators show similar expectations for consumer spending,corporate profits and, mergers and aquicitions. " title="Outlook on Economic Performace for The coming yea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28CD" w:rsidRDefault="00F573FD" w:rsidP="00814ED5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sectPr w:rsidR="00CE28CD" w:rsidSect="009B07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lastRenderedPageBreak/>
        <w:t>A new question inquire</w:t>
      </w:r>
      <w:r w:rsidR="006449F7">
        <w:t>d</w:t>
      </w:r>
      <w:r w:rsidR="00567732">
        <w:t xml:space="preserve"> about</w:t>
      </w:r>
      <w:r w:rsidR="0094164D">
        <w:t xml:space="preserve"> labor</w:t>
      </w:r>
      <w:r w:rsidR="00567732">
        <w:t xml:space="preserve"> turnover</w:t>
      </w:r>
      <w:r w:rsidR="0094164D">
        <w:t xml:space="preserve">. </w:t>
      </w:r>
      <w:r w:rsidR="00567732">
        <w:t xml:space="preserve">Nearly three-quarters </w:t>
      </w:r>
      <w:r w:rsidR="0094164D">
        <w:t xml:space="preserve">of respondents indicated they had not </w:t>
      </w:r>
      <w:r w:rsidR="0094164D">
        <w:lastRenderedPageBreak/>
        <w:t>experienced sign</w:t>
      </w:r>
      <w:r w:rsidR="00567732">
        <w:t>ificant changes. Nonetheless, 20</w:t>
      </w:r>
      <w:r w:rsidR="0094164D">
        <w:t xml:space="preserve"> percent </w:t>
      </w:r>
      <w:r w:rsidR="00567732">
        <w:t>reported an increase</w:t>
      </w:r>
      <w:r w:rsidR="0094164D">
        <w:t>.</w:t>
      </w:r>
    </w:p>
    <w:p w:rsidR="009969EB" w:rsidRDefault="009969EB" w:rsidP="00814ED5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sectPr w:rsidR="009969EB" w:rsidSect="009B07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F61A9" w:rsidRPr="00C46B75" w:rsidRDefault="00825F3C" w:rsidP="00C46B75">
      <w:pPr>
        <w:pStyle w:val="Title"/>
        <w:jc w:val="center"/>
        <w:rPr>
          <w:color w:val="2E74B5" w:themeColor="accent1" w:themeShade="BF"/>
          <w:sz w:val="28"/>
          <w:szCs w:val="28"/>
        </w:rPr>
      </w:pPr>
      <w:proofErr w:type="gramStart"/>
      <w:r>
        <w:rPr>
          <w:color w:val="2E74B5" w:themeColor="accent1" w:themeShade="BF"/>
          <w:sz w:val="28"/>
          <w:szCs w:val="28"/>
        </w:rPr>
        <w:lastRenderedPageBreak/>
        <w:t>Table 1.</w:t>
      </w:r>
      <w:proofErr w:type="gramEnd"/>
      <w:r>
        <w:rPr>
          <w:color w:val="2E74B5" w:themeColor="accent1" w:themeShade="BF"/>
          <w:sz w:val="28"/>
          <w:szCs w:val="28"/>
        </w:rPr>
        <w:t xml:space="preserve"> </w:t>
      </w:r>
      <w:r w:rsidR="0023223B">
        <w:rPr>
          <w:color w:val="2E74B5" w:themeColor="accent1" w:themeShade="BF"/>
          <w:sz w:val="28"/>
          <w:szCs w:val="28"/>
        </w:rPr>
        <w:t>Minnesota 2017</w:t>
      </w:r>
      <w:r w:rsidR="009969EB" w:rsidRPr="009969EB">
        <w:rPr>
          <w:color w:val="2E74B5" w:themeColor="accent1" w:themeShade="BF"/>
          <w:sz w:val="28"/>
          <w:szCs w:val="28"/>
        </w:rPr>
        <w:t xml:space="preserve"> Manufacturing Business Condition Survey</w:t>
      </w:r>
      <w:r w:rsidR="009969EB">
        <w:rPr>
          <w:color w:val="2E74B5" w:themeColor="accent1" w:themeShade="BF"/>
          <w:sz w:val="28"/>
          <w:szCs w:val="28"/>
        </w:rPr>
        <w:t xml:space="preserve"> Results</w:t>
      </w:r>
      <w:r w:rsidR="009713A3" w:rsidRPr="009713A3">
        <w:rPr>
          <w:color w:val="2E74B5" w:themeColor="accent1" w:themeShade="BF"/>
          <w:sz w:val="28"/>
          <w:szCs w:val="28"/>
          <w:vertAlign w:val="superscript"/>
        </w:rPr>
        <w:t>1</w:t>
      </w:r>
    </w:p>
    <w:tbl>
      <w:tblPr>
        <w:tblStyle w:val="PlainTable5"/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  <w:tblCaption w:val="Business Comparison Indicators: 2016"/>
        <w:tblDescription w:val="Table showing that business services providers experienced mostly unchanged conditions for productivity (63%), employment level (67%), labor availability (71%), selling prices (63%), space occupied (89%) and exports (93%). Forty six percent of respondents experienced improved sales revenue."/>
      </w:tblPr>
      <w:tblGrid>
        <w:gridCol w:w="3897"/>
        <w:gridCol w:w="1338"/>
        <w:gridCol w:w="1338"/>
        <w:gridCol w:w="1338"/>
        <w:gridCol w:w="1338"/>
        <w:gridCol w:w="1276"/>
      </w:tblGrid>
      <w:tr w:rsidR="001D0139" w:rsidRPr="00623BC4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2892" w:rsidP="00541E4C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Business i</w:t>
            </w:r>
            <w:r w:rsidR="0043194C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ndicators in the last 4 quarters</w:t>
            </w:r>
            <w:r w:rsidR="007B16BB"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</w:t>
            </w:r>
            <w:r w:rsidR="00726C57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 xml:space="preserve"> 2017</w:t>
            </w:r>
            <w:r w:rsidR="00C80C65"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6C57" w:rsidP="00541E4C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2016</w:t>
            </w:r>
            <w:r w:rsidR="00C80C65"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top w:val="single" w:sz="4" w:space="0" w:color="auto"/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43194C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Sales revenue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46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31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43194C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23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62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43194C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40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33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27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56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27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63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9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63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19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726C57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</w:t>
            </w:r>
            <w:r w:rsidR="00726C57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1</w:t>
            </w:r>
            <w:r w:rsidR="00726C57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57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Labor availability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71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24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41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Selling Prices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28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63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9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60</w:t>
            </w:r>
          </w:p>
        </w:tc>
      </w:tr>
      <w:tr w:rsidR="001D0139" w:rsidRPr="00C2294E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97" w:type="dxa"/>
            <w:tcBorders>
              <w:bottom w:val="none" w:sz="0" w:space="0" w:color="auto"/>
              <w:right w:val="nil"/>
            </w:tcBorders>
            <w:noWrap/>
            <w:hideMark/>
          </w:tcPr>
          <w:p w:rsidR="00A97C01" w:rsidRPr="000A28AD" w:rsidRDefault="009A1D8F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Input Costs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49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48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73</w:t>
            </w:r>
          </w:p>
        </w:tc>
      </w:tr>
      <w:tr w:rsidR="001D0139" w:rsidRPr="00C2294E" w:rsidTr="009A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tblHeader/>
          <w:jc w:val="center"/>
        </w:trPr>
        <w:tc>
          <w:tcPr>
            <w:tcW w:w="3897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A97C01" w:rsidRPr="000A28AD" w:rsidRDefault="00174C4B" w:rsidP="00541E4C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174C4B">
              <w:rPr>
                <w:rFonts w:ascii="Calibri" w:eastAsia="Times New Roman" w:hAnsi="Calibri" w:cs="Times New Roman"/>
                <w:i w:val="0"/>
                <w:color w:val="000000"/>
                <w:sz w:val="18"/>
                <w:szCs w:val="18"/>
              </w:rPr>
              <w:t>Space occupied (Square footage)</w:t>
            </w:r>
            <w:r w:rsidR="009A1D8F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Exports (sales for foreign clients)</w:t>
            </w:r>
          </w:p>
        </w:tc>
        <w:tc>
          <w:tcPr>
            <w:tcW w:w="1338" w:type="dxa"/>
            <w:tcBorders>
              <w:left w:val="nil"/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3</w:t>
            </w:r>
            <w:r w:rsidR="009A1D8F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89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93</w:t>
            </w:r>
            <w:r w:rsidR="009A1D8F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9A1D8F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6</w:t>
            </w:r>
            <w:r w:rsidR="00A97C01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  <w:r w:rsidR="00726C57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4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50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49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51</w:t>
            </w: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br/>
              <w:t>50</w:t>
            </w:r>
          </w:p>
        </w:tc>
      </w:tr>
    </w:tbl>
    <w:p w:rsidR="00A97C01" w:rsidRDefault="00A97C01" w:rsidP="000A28AD">
      <w:pPr>
        <w:spacing w:after="0" w:line="120" w:lineRule="auto"/>
        <w:contextualSpacing/>
      </w:pPr>
    </w:p>
    <w:tbl>
      <w:tblPr>
        <w:tblStyle w:val="PlainTable4"/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Comparison Worker's Indicators"/>
        <w:tblDescription w:val="Table showing labor indicators. Fiofty percent of respondents indicated no changes in benefirs per worker."/>
      </w:tblPr>
      <w:tblGrid>
        <w:gridCol w:w="2880"/>
        <w:gridCol w:w="902"/>
        <w:gridCol w:w="1334"/>
        <w:gridCol w:w="1350"/>
        <w:gridCol w:w="1350"/>
        <w:gridCol w:w="1350"/>
        <w:gridCol w:w="1355"/>
      </w:tblGrid>
      <w:tr w:rsidR="00E647F4" w:rsidRPr="000F78D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2892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Labor i</w:t>
            </w:r>
            <w:r w:rsidR="00531B2D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ndic</w:t>
            </w:r>
            <w:r w:rsidR="004319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ators in the last 4 quarters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1D0139" w:rsidRPr="000F78D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</w:tcBorders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34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A1D8F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21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34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A1D8F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</w:tr>
      <w:tr w:rsidR="00E647F4" w:rsidRPr="000F78D4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tcBorders>
              <w:left w:val="nil"/>
            </w:tcBorders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50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11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18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10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726C57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8</w:t>
            </w:r>
            <w:r w:rsidR="00A97C01"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%</w:t>
            </w:r>
          </w:p>
        </w:tc>
      </w:tr>
    </w:tbl>
    <w:p w:rsidR="00A97C01" w:rsidRDefault="00A97C01" w:rsidP="000A28AD">
      <w:pPr>
        <w:spacing w:after="0" w:line="120" w:lineRule="auto"/>
      </w:pPr>
    </w:p>
    <w:tbl>
      <w:tblPr>
        <w:tblStyle w:val="PlainTable4"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  <w:tblCaption w:val="Business Expectations for 2018"/>
        <w:tblDescription w:val="Tabe showing that respondents expect mostly stable conditions for 2018: productivity (63%), employment level (71%), labor availability (77%), selling prices (67%), space occupied and exports (93%)."/>
      </w:tblPr>
      <w:tblGrid>
        <w:gridCol w:w="3775"/>
        <w:gridCol w:w="1440"/>
        <w:gridCol w:w="1350"/>
        <w:gridCol w:w="1260"/>
        <w:gridCol w:w="1350"/>
        <w:gridCol w:w="1355"/>
      </w:tblGrid>
      <w:tr w:rsidR="00A97C01" w:rsidRPr="000A28AD" w:rsidTr="0053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722892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 business i</w:t>
            </w:r>
            <w:r w:rsidR="002322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ndicators in 2018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compared to </w:t>
            </w:r>
            <w:r w:rsidR="002322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2017</w:t>
            </w:r>
            <w:r w:rsidR="001A1D64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94138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2017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941384" w:rsidP="00541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2016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Sales revenue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174C4B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174C4B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174C4B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174C4B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Labor availability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174C4B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174C4B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 xml:space="preserve">Selling </w:t>
            </w:r>
            <w:r w:rsidR="0013508B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rices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br/>
              <w:t>Input Cost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41%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  <w:r w:rsidR="004933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57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  <w:r w:rsidR="004933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2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70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726C57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  <w:r w:rsidR="00174C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70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Space occupied (Square footage)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</w:tr>
      <w:tr w:rsidR="00A97C01" w:rsidRPr="000A28AD" w:rsidTr="00531B2D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noWrap/>
            <w:hideMark/>
          </w:tcPr>
          <w:p w:rsidR="00A97C01" w:rsidRPr="00174C4B" w:rsidRDefault="00174C4B" w:rsidP="00541E4C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174C4B">
              <w:rPr>
                <w:rFonts w:eastAsia="Times New Roman" w:cs="Times New Roman"/>
                <w:b w:val="0"/>
                <w:color w:val="000000"/>
                <w:sz w:val="18"/>
                <w:szCs w:val="18"/>
              </w:rPr>
              <w:t>Exports (sales for foreign clients)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49334A" w:rsidP="00E64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</w:tr>
    </w:tbl>
    <w:p w:rsidR="00A97C01" w:rsidRPr="000A28AD" w:rsidRDefault="00A97C01" w:rsidP="000A28AD">
      <w:pPr>
        <w:spacing w:after="0" w:line="120" w:lineRule="auto"/>
        <w:rPr>
          <w:sz w:val="18"/>
          <w:szCs w:val="18"/>
        </w:rPr>
      </w:pPr>
    </w:p>
    <w:tbl>
      <w:tblPr>
        <w:tblStyle w:val="PlainTable4"/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  <w:tblCaption w:val="Indicators for labor indicators Expectations, 2018"/>
        <w:tblDescription w:val="Table showing that 51 percent of respondents expect no changes in benefits per worker. Thirty-one percent expect no changes in wages per worker while 32 percent an increased between 1-2 percent in wages per worker."/>
      </w:tblPr>
      <w:tblGrid>
        <w:gridCol w:w="2885"/>
        <w:gridCol w:w="902"/>
        <w:gridCol w:w="1334"/>
        <w:gridCol w:w="1440"/>
        <w:gridCol w:w="1170"/>
        <w:gridCol w:w="1350"/>
        <w:gridCol w:w="1445"/>
      </w:tblGrid>
      <w:tr w:rsidR="00E647F4" w:rsidRPr="00C2294E" w:rsidTr="000A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0A28AD" w:rsidP="000A28A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 l</w:t>
            </w:r>
            <w:r w:rsidR="00722892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abor i</w:t>
            </w:r>
            <w:r w:rsidR="002322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ndicators in 2018, compared to 2017</w:t>
            </w:r>
            <w:r w:rsidR="00531B2D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E647F4" w:rsidRPr="00C2294E" w:rsidTr="000A28AD">
        <w:trPr>
          <w:trHeight w:val="144"/>
          <w:jc w:val="center"/>
        </w:trPr>
        <w:tc>
          <w:tcPr>
            <w:tcW w:w="288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E647F4" w:rsidRPr="00C2294E" w:rsidTr="000A28AD">
        <w:trPr>
          <w:trHeight w:val="144"/>
          <w:jc w:val="center"/>
        </w:trPr>
        <w:tc>
          <w:tcPr>
            <w:tcW w:w="2885" w:type="dxa"/>
            <w:noWrap/>
            <w:hideMark/>
          </w:tcPr>
          <w:p w:rsidR="00A97C01" w:rsidRPr="000A28AD" w:rsidRDefault="00A97C01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5" w:type="dxa"/>
            <w:noWrap/>
            <w:hideMark/>
          </w:tcPr>
          <w:p w:rsidR="00A97C01" w:rsidRPr="000A28AD" w:rsidRDefault="009D6A9C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</w:tr>
    </w:tbl>
    <w:p w:rsidR="00A97C01" w:rsidRDefault="00A97C01" w:rsidP="000A28AD">
      <w:pPr>
        <w:spacing w:after="0" w:line="120" w:lineRule="auto"/>
      </w:pPr>
    </w:p>
    <w:tbl>
      <w:tblPr>
        <w:tblStyle w:val="PlainTable4"/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  <w:tblCaption w:val="Economic outlook for the next year"/>
        <w:tblDescription w:val="Table showing that respondents expect improved or stateble conditions for employment, consumer spending, inflation, corporate profits. Nealy 60 percent of repondents expect increased inflation."/>
      </w:tblPr>
      <w:tblGrid>
        <w:gridCol w:w="3875"/>
        <w:gridCol w:w="1252"/>
        <w:gridCol w:w="1293"/>
        <w:gridCol w:w="1561"/>
        <w:gridCol w:w="1204"/>
        <w:gridCol w:w="1355"/>
      </w:tblGrid>
      <w:tr w:rsidR="001D0139" w:rsidRPr="00623BC4" w:rsidTr="00C2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531B2D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</w:t>
            </w:r>
            <w:r w:rsidR="00BE474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outlook on the following state economic indicators during the next year: 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97C01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941384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Diffusion Index 2017</w:t>
            </w:r>
            <w:r w:rsidR="00AE0EFF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A97C01" w:rsidRPr="000A28AD" w:rsidRDefault="00AE0EFF" w:rsidP="00541E4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Diffusion </w:t>
            </w:r>
            <w:r w:rsidR="009413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Index 2016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1D0139" w:rsidRPr="00623BC4" w:rsidTr="00C2607A">
        <w:trPr>
          <w:trHeight w:val="144"/>
          <w:jc w:val="center"/>
        </w:trPr>
        <w:tc>
          <w:tcPr>
            <w:tcW w:w="387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Employment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A97C01" w:rsidRPr="000A28AD" w:rsidRDefault="00C2607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E647F4" w:rsidRPr="00623BC4" w:rsidTr="00C2607A">
        <w:trPr>
          <w:trHeight w:val="144"/>
          <w:jc w:val="center"/>
        </w:trPr>
        <w:tc>
          <w:tcPr>
            <w:tcW w:w="38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Consumer spending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2607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1D0139" w:rsidRPr="00623BC4" w:rsidTr="00C2607A">
        <w:trPr>
          <w:trHeight w:val="144"/>
          <w:jc w:val="center"/>
        </w:trPr>
        <w:tc>
          <w:tcPr>
            <w:tcW w:w="38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Inflation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2607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E647F4" w:rsidRPr="00623BC4" w:rsidTr="00C2607A">
        <w:trPr>
          <w:trHeight w:val="144"/>
          <w:jc w:val="center"/>
        </w:trPr>
        <w:tc>
          <w:tcPr>
            <w:tcW w:w="38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Corporate profits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2607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1D0139" w:rsidRPr="00623BC4" w:rsidTr="00C2607A">
        <w:trPr>
          <w:trHeight w:val="144"/>
          <w:jc w:val="center"/>
        </w:trPr>
        <w:tc>
          <w:tcPr>
            <w:tcW w:w="3875" w:type="dxa"/>
            <w:noWrap/>
            <w:hideMark/>
          </w:tcPr>
          <w:p w:rsidR="00A97C01" w:rsidRPr="000A28AD" w:rsidRDefault="00174C4B" w:rsidP="00541E4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Mergers and Acquisitions</w:t>
            </w:r>
          </w:p>
        </w:tc>
        <w:tc>
          <w:tcPr>
            <w:tcW w:w="1252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3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="00A97C01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:rsidR="00A97C01" w:rsidRPr="000A28AD" w:rsidRDefault="009D6A9C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55" w:type="dxa"/>
            <w:noWrap/>
            <w:hideMark/>
          </w:tcPr>
          <w:p w:rsidR="00A97C01" w:rsidRPr="000A28AD" w:rsidRDefault="00C2607A" w:rsidP="00E647F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</w:tr>
    </w:tbl>
    <w:p w:rsidR="00C2607A" w:rsidRDefault="00C2607A" w:rsidP="000A28AD">
      <w:pPr>
        <w:spacing w:after="0" w:line="120" w:lineRule="auto"/>
      </w:pPr>
      <w:r>
        <w:br/>
      </w:r>
    </w:p>
    <w:tbl>
      <w:tblPr>
        <w:tblStyle w:val="PlainTable4"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  <w:tblCaption w:val="Changes in credit conditions"/>
        <w:tblDescription w:val="Table showing that 84% of respondents did not experience changes in credit conditions."/>
      </w:tblPr>
      <w:tblGrid>
        <w:gridCol w:w="3775"/>
        <w:gridCol w:w="1440"/>
        <w:gridCol w:w="1350"/>
        <w:gridCol w:w="1260"/>
        <w:gridCol w:w="1350"/>
        <w:gridCol w:w="1355"/>
      </w:tblGrid>
      <w:tr w:rsidR="00C2607A" w:rsidRPr="000A28AD" w:rsidTr="005E4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C2607A" w:rsidP="005E4C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Have changes in credit conditions in the last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4 quarters affected your firm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?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2E4C76" w:rsidP="002E4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No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Changes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2E4C76" w:rsidP="002E4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Increased Hiring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Default="00C2607A" w:rsidP="005E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Increased</w:t>
            </w:r>
          </w:p>
          <w:p w:rsidR="00C2607A" w:rsidRPr="000A28AD" w:rsidRDefault="00C2607A" w:rsidP="005E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Cap</w:t>
            </w:r>
            <w:r w:rsidR="002E4C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Expend</w:t>
            </w:r>
            <w:r w:rsidR="002E4C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itures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2E4C76" w:rsidP="005E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Decreased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Hiring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C2607A" w:rsidRPr="000A28AD" w:rsidRDefault="00C2607A" w:rsidP="005E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Decreased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Cap</w:t>
            </w:r>
            <w:r w:rsidR="002E4C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Expend</w:t>
            </w:r>
            <w:r w:rsidR="002E4C7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iture</w:t>
            </w:r>
          </w:p>
        </w:tc>
      </w:tr>
      <w:tr w:rsidR="00C2607A" w:rsidRPr="000A28AD" w:rsidTr="005E4C28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C2607A" w:rsidP="005E4C28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9D6A9C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  <w:r w:rsidR="00C2607A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9D6A9C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C2607A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9D6A9C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C2607A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9D6A9C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C260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C2607A" w:rsidRPr="000A28AD" w:rsidRDefault="009D6A9C" w:rsidP="005E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C260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</w:tr>
    </w:tbl>
    <w:p w:rsidR="00C2607A" w:rsidRDefault="00C2607A" w:rsidP="000A28AD">
      <w:pPr>
        <w:spacing w:after="0" w:line="120" w:lineRule="auto"/>
      </w:pPr>
    </w:p>
    <w:p w:rsidR="00C2607A" w:rsidRDefault="00C2607A" w:rsidP="000A28AD">
      <w:pPr>
        <w:spacing w:after="0" w:line="120" w:lineRule="auto"/>
      </w:pPr>
    </w:p>
    <w:tbl>
      <w:tblPr>
        <w:tblStyle w:val="PlainTable4"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  <w:tblCaption w:val="labor turnover"/>
        <w:tblDescription w:val="table showing that 74% of respondents did not have changes in labor turnover, 20 percent reported an increase."/>
      </w:tblPr>
      <w:tblGrid>
        <w:gridCol w:w="3775"/>
        <w:gridCol w:w="1440"/>
        <w:gridCol w:w="1350"/>
        <w:gridCol w:w="1260"/>
        <w:gridCol w:w="1350"/>
        <w:gridCol w:w="1355"/>
      </w:tblGrid>
      <w:tr w:rsidR="006F7EFC" w:rsidRPr="000A28AD" w:rsidTr="00B70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6F7EFC" w:rsidP="00B7080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has labor turnover changed at your location during the last four quarters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?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6F7EFC" w:rsidP="00835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Increased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835E20" w:rsidP="006F7E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6F7E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</w:t>
            </w:r>
            <w:r w:rsidR="006F7E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Change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Default="006F7EFC" w:rsidP="00B70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F7EFC" w:rsidRPr="000A28AD" w:rsidRDefault="006F7EFC" w:rsidP="006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835E20" w:rsidP="00B70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6F7E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6F7EFC" w:rsidRPr="000A28AD" w:rsidRDefault="00835E20" w:rsidP="00B70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35E20">
              <w:rPr>
                <w:rFonts w:ascii="Calibri" w:eastAsia="Times New Roman" w:hAnsi="Calibri" w:cs="Times New Roman"/>
                <w:color w:val="BDD6EE" w:themeColor="accent1" w:themeTint="66"/>
                <w:sz w:val="18"/>
                <w:szCs w:val="18"/>
              </w:rPr>
              <w:t>Empty</w:t>
            </w:r>
            <w:r w:rsidRPr="00835E20">
              <w:rPr>
                <w:rFonts w:ascii="Calibri" w:eastAsia="Times New Roman" w:hAnsi="Calibri" w:cs="Times New Roman"/>
                <w:color w:val="BDD6EE" w:themeColor="accent1" w:themeTint="66"/>
                <w:sz w:val="18"/>
                <w:szCs w:val="18"/>
              </w:rPr>
              <w:br/>
              <w:t xml:space="preserve">Column </w:t>
            </w:r>
          </w:p>
        </w:tc>
      </w:tr>
      <w:tr w:rsidR="006F7EFC" w:rsidRPr="000A28AD" w:rsidTr="00B70801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</w:tcBorders>
            <w:noWrap/>
            <w:hideMark/>
          </w:tcPr>
          <w:p w:rsidR="006F7EFC" w:rsidRPr="000A28AD" w:rsidRDefault="006F7EFC" w:rsidP="00B70801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:rsidR="006F7EFC" w:rsidRPr="000A28AD" w:rsidRDefault="00F62FD1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  <w:r w:rsidR="006F7EFC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6F7EFC" w:rsidRPr="000A28AD" w:rsidRDefault="00F62FD1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  <w:r w:rsidR="006F7EFC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:rsidR="006F7EFC" w:rsidRPr="000A28AD" w:rsidRDefault="00F62FD1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6F7EFC"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6F7EFC" w:rsidRPr="000A28AD" w:rsidRDefault="00F62FD1" w:rsidP="00B7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6F7E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6F7EFC" w:rsidRPr="000A28AD" w:rsidRDefault="006F7EFC" w:rsidP="006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6F7EFC" w:rsidRDefault="006F7EFC" w:rsidP="000A28AD">
      <w:pPr>
        <w:spacing w:after="0" w:line="120" w:lineRule="auto"/>
      </w:pPr>
    </w:p>
    <w:p w:rsidR="00C80C65" w:rsidRPr="00D57F6C" w:rsidRDefault="000B68D5" w:rsidP="00C80C65">
      <w:pPr>
        <w:pStyle w:val="ListParagraph"/>
        <w:numPr>
          <w:ilvl w:val="0"/>
          <w:numId w:val="8"/>
        </w:numPr>
        <w:rPr>
          <w:sz w:val="14"/>
          <w:szCs w:val="14"/>
        </w:rPr>
      </w:pPr>
      <w:r>
        <w:rPr>
          <w:sz w:val="14"/>
          <w:szCs w:val="14"/>
        </w:rPr>
        <w:t>Based on responses from 242</w:t>
      </w:r>
      <w:r w:rsidR="001E2B7B">
        <w:rPr>
          <w:sz w:val="14"/>
          <w:szCs w:val="14"/>
        </w:rPr>
        <w:t xml:space="preserve"> Minnesota</w:t>
      </w:r>
      <w:r w:rsidR="00C80C65" w:rsidRPr="00D57F6C">
        <w:rPr>
          <w:sz w:val="14"/>
          <w:szCs w:val="14"/>
        </w:rPr>
        <w:t xml:space="preserve"> busines</w:t>
      </w:r>
      <w:r w:rsidR="001E2B7B">
        <w:rPr>
          <w:sz w:val="14"/>
          <w:szCs w:val="14"/>
        </w:rPr>
        <w:t>s services firms</w:t>
      </w:r>
      <w:r w:rsidR="00C570D5">
        <w:rPr>
          <w:sz w:val="14"/>
          <w:szCs w:val="14"/>
        </w:rPr>
        <w:t>, for a response rate of 20.2</w:t>
      </w:r>
      <w:r w:rsidR="00C80C65" w:rsidRPr="00D57F6C">
        <w:rPr>
          <w:sz w:val="14"/>
          <w:szCs w:val="14"/>
        </w:rPr>
        <w:t xml:space="preserve"> percent. The sam</w:t>
      </w:r>
      <w:r>
        <w:rPr>
          <w:sz w:val="14"/>
          <w:szCs w:val="14"/>
        </w:rPr>
        <w:t>pling error is plus or minus 6.2</w:t>
      </w:r>
      <w:r w:rsidR="00C570D5">
        <w:rPr>
          <w:sz w:val="14"/>
          <w:szCs w:val="14"/>
        </w:rPr>
        <w:t>4</w:t>
      </w:r>
      <w:r w:rsidR="00C80C65" w:rsidRPr="00D57F6C">
        <w:rPr>
          <w:sz w:val="14"/>
          <w:szCs w:val="14"/>
        </w:rPr>
        <w:t xml:space="preserve"> percent </w:t>
      </w:r>
      <w:r w:rsidR="00D33609" w:rsidRPr="00D57F6C">
        <w:rPr>
          <w:sz w:val="14"/>
          <w:szCs w:val="14"/>
        </w:rPr>
        <w:t>at a 95 percent confidence level. Percentages might not add to 100 percent due to rounding.</w:t>
      </w:r>
    </w:p>
    <w:p w:rsidR="008A7B58" w:rsidRDefault="00C80C65" w:rsidP="00C570D5">
      <w:pPr>
        <w:pStyle w:val="ListParagraph"/>
        <w:numPr>
          <w:ilvl w:val="0"/>
          <w:numId w:val="8"/>
        </w:numPr>
        <w:rPr>
          <w:sz w:val="14"/>
          <w:szCs w:val="14"/>
        </w:rPr>
      </w:pPr>
      <w:r w:rsidRPr="00D57F6C">
        <w:rPr>
          <w:sz w:val="14"/>
          <w:szCs w:val="14"/>
        </w:rPr>
        <w:t>A diffusion index great than 50 indicates expansion, les</w:t>
      </w:r>
      <w:r w:rsidR="00286A99" w:rsidRPr="00D57F6C">
        <w:rPr>
          <w:sz w:val="14"/>
          <w:szCs w:val="14"/>
        </w:rPr>
        <w:t>s than 50 indicates contraction</w:t>
      </w:r>
      <w:r w:rsidR="00C570D5">
        <w:rPr>
          <w:sz w:val="14"/>
          <w:szCs w:val="14"/>
        </w:rPr>
        <w:t>.</w:t>
      </w:r>
    </w:p>
    <w:p w:rsidR="007F61A9" w:rsidRDefault="008A7B58" w:rsidP="00C570D5">
      <w:pPr>
        <w:pStyle w:val="ListParagraph"/>
        <w:numPr>
          <w:ilvl w:val="0"/>
          <w:numId w:val="8"/>
        </w:numPr>
        <w:rPr>
          <w:sz w:val="14"/>
          <w:szCs w:val="14"/>
        </w:rPr>
      </w:pPr>
      <w:r>
        <w:rPr>
          <w:sz w:val="14"/>
          <w:szCs w:val="14"/>
        </w:rPr>
        <w:t>Percentages might not add to 100 percent due to rounding.</w:t>
      </w:r>
      <w:r w:rsidR="00C570D5">
        <w:rPr>
          <w:sz w:val="14"/>
          <w:szCs w:val="14"/>
        </w:rPr>
        <w:br/>
      </w:r>
    </w:p>
    <w:p w:rsidR="00C570D5" w:rsidRPr="00D57F6C" w:rsidRDefault="00627309" w:rsidP="00C570D5">
      <w:pPr>
        <w:pStyle w:val="ListParagraph"/>
        <w:ind w:left="540"/>
        <w:rPr>
          <w:sz w:val="14"/>
          <w:szCs w:val="14"/>
        </w:rPr>
      </w:pPr>
      <w:proofErr w:type="gramStart"/>
      <w:r>
        <w:rPr>
          <w:sz w:val="14"/>
          <w:szCs w:val="14"/>
        </w:rPr>
        <w:t>Prepared by the Economic Analysis Unit</w:t>
      </w:r>
      <w:r w:rsidR="00C570D5">
        <w:rPr>
          <w:sz w:val="14"/>
          <w:szCs w:val="14"/>
        </w:rPr>
        <w:t>, Minnesota Department of Employment and Economic Development, June 2017.</w:t>
      </w:r>
      <w:proofErr w:type="gramEnd"/>
    </w:p>
    <w:sectPr w:rsidR="00C570D5" w:rsidRPr="00D57F6C" w:rsidSect="009969E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C2" w:rsidRDefault="004A42C2" w:rsidP="00722892">
      <w:pPr>
        <w:spacing w:after="0" w:line="240" w:lineRule="auto"/>
      </w:pPr>
      <w:r>
        <w:separator/>
      </w:r>
    </w:p>
  </w:endnote>
  <w:endnote w:type="continuationSeparator" w:id="0">
    <w:p w:rsidR="004A42C2" w:rsidRDefault="004A42C2" w:rsidP="0072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C2" w:rsidRDefault="004A42C2" w:rsidP="00722892">
      <w:pPr>
        <w:spacing w:after="0" w:line="240" w:lineRule="auto"/>
      </w:pPr>
      <w:r>
        <w:separator/>
      </w:r>
    </w:p>
  </w:footnote>
  <w:footnote w:type="continuationSeparator" w:id="0">
    <w:p w:rsidR="004A42C2" w:rsidRDefault="004A42C2" w:rsidP="0072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92C"/>
    <w:multiLevelType w:val="hybridMultilevel"/>
    <w:tmpl w:val="4F46C5A4"/>
    <w:lvl w:ilvl="0" w:tplc="7EC49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10DA1"/>
    <w:multiLevelType w:val="hybridMultilevel"/>
    <w:tmpl w:val="B8CE587E"/>
    <w:lvl w:ilvl="0" w:tplc="C19634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2D4075"/>
    <w:multiLevelType w:val="hybridMultilevel"/>
    <w:tmpl w:val="77DE0E20"/>
    <w:lvl w:ilvl="0" w:tplc="FEC443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A73C2"/>
    <w:multiLevelType w:val="hybridMultilevel"/>
    <w:tmpl w:val="C54C98A6"/>
    <w:lvl w:ilvl="0" w:tplc="710E8D2E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3AAD4C75"/>
    <w:multiLevelType w:val="hybridMultilevel"/>
    <w:tmpl w:val="D97AB74E"/>
    <w:lvl w:ilvl="0" w:tplc="593A9BF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229547C"/>
    <w:multiLevelType w:val="hybridMultilevel"/>
    <w:tmpl w:val="63AE7CF0"/>
    <w:lvl w:ilvl="0" w:tplc="16A4D16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C3162D5"/>
    <w:multiLevelType w:val="hybridMultilevel"/>
    <w:tmpl w:val="2B5E2D2E"/>
    <w:lvl w:ilvl="0" w:tplc="18A02B5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FF4843"/>
    <w:multiLevelType w:val="hybridMultilevel"/>
    <w:tmpl w:val="CA0CEBC6"/>
    <w:lvl w:ilvl="0" w:tplc="EC82D616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FA"/>
    <w:rsid w:val="000055EB"/>
    <w:rsid w:val="00006BCD"/>
    <w:rsid w:val="00093843"/>
    <w:rsid w:val="000A28AD"/>
    <w:rsid w:val="000B68D5"/>
    <w:rsid w:val="000C107F"/>
    <w:rsid w:val="000C1BCF"/>
    <w:rsid w:val="000C48E8"/>
    <w:rsid w:val="00100C21"/>
    <w:rsid w:val="001215A7"/>
    <w:rsid w:val="0013508B"/>
    <w:rsid w:val="00157FEC"/>
    <w:rsid w:val="00174C4B"/>
    <w:rsid w:val="001A1D64"/>
    <w:rsid w:val="001D0139"/>
    <w:rsid w:val="001E2B7B"/>
    <w:rsid w:val="00225875"/>
    <w:rsid w:val="0023223B"/>
    <w:rsid w:val="00286A99"/>
    <w:rsid w:val="002934A2"/>
    <w:rsid w:val="00297604"/>
    <w:rsid w:val="002A419E"/>
    <w:rsid w:val="002C1301"/>
    <w:rsid w:val="002C48DC"/>
    <w:rsid w:val="002E4C76"/>
    <w:rsid w:val="002F1C66"/>
    <w:rsid w:val="00311D39"/>
    <w:rsid w:val="003368D3"/>
    <w:rsid w:val="00337ABD"/>
    <w:rsid w:val="003549BF"/>
    <w:rsid w:val="003E0958"/>
    <w:rsid w:val="0041750B"/>
    <w:rsid w:val="0043194C"/>
    <w:rsid w:val="0049334A"/>
    <w:rsid w:val="004A42C2"/>
    <w:rsid w:val="004A770C"/>
    <w:rsid w:val="004C194A"/>
    <w:rsid w:val="004D5B1E"/>
    <w:rsid w:val="004E068C"/>
    <w:rsid w:val="004E3C39"/>
    <w:rsid w:val="00531B2D"/>
    <w:rsid w:val="00565C48"/>
    <w:rsid w:val="00567732"/>
    <w:rsid w:val="005A24D4"/>
    <w:rsid w:val="005B6565"/>
    <w:rsid w:val="00627309"/>
    <w:rsid w:val="006309E6"/>
    <w:rsid w:val="006449F7"/>
    <w:rsid w:val="006A387C"/>
    <w:rsid w:val="006B28F7"/>
    <w:rsid w:val="006B3637"/>
    <w:rsid w:val="006D3B3F"/>
    <w:rsid w:val="006F7EFC"/>
    <w:rsid w:val="0070375F"/>
    <w:rsid w:val="007075DF"/>
    <w:rsid w:val="007145B2"/>
    <w:rsid w:val="00722892"/>
    <w:rsid w:val="007242DF"/>
    <w:rsid w:val="00726C57"/>
    <w:rsid w:val="007579D5"/>
    <w:rsid w:val="00771521"/>
    <w:rsid w:val="007B16BB"/>
    <w:rsid w:val="007D7CFA"/>
    <w:rsid w:val="007F61A9"/>
    <w:rsid w:val="00810157"/>
    <w:rsid w:val="00811679"/>
    <w:rsid w:val="00814ED5"/>
    <w:rsid w:val="00814F86"/>
    <w:rsid w:val="00825F3C"/>
    <w:rsid w:val="00835E20"/>
    <w:rsid w:val="0084634F"/>
    <w:rsid w:val="00853F8F"/>
    <w:rsid w:val="00855892"/>
    <w:rsid w:val="008A7B58"/>
    <w:rsid w:val="008B00D4"/>
    <w:rsid w:val="008B388C"/>
    <w:rsid w:val="008C0851"/>
    <w:rsid w:val="008C6664"/>
    <w:rsid w:val="008C6794"/>
    <w:rsid w:val="00902FE2"/>
    <w:rsid w:val="00941384"/>
    <w:rsid w:val="0094164D"/>
    <w:rsid w:val="0095690F"/>
    <w:rsid w:val="009713A3"/>
    <w:rsid w:val="00995CB9"/>
    <w:rsid w:val="009969EB"/>
    <w:rsid w:val="009A1D8F"/>
    <w:rsid w:val="009B07B0"/>
    <w:rsid w:val="009B7995"/>
    <w:rsid w:val="009D6A9C"/>
    <w:rsid w:val="009D720D"/>
    <w:rsid w:val="009F26AA"/>
    <w:rsid w:val="009F568F"/>
    <w:rsid w:val="00A41AC1"/>
    <w:rsid w:val="00A43276"/>
    <w:rsid w:val="00A47279"/>
    <w:rsid w:val="00A516F3"/>
    <w:rsid w:val="00A561F7"/>
    <w:rsid w:val="00A66699"/>
    <w:rsid w:val="00A908BB"/>
    <w:rsid w:val="00A979C6"/>
    <w:rsid w:val="00A97C01"/>
    <w:rsid w:val="00AB6F70"/>
    <w:rsid w:val="00AC6BEA"/>
    <w:rsid w:val="00AE0EFF"/>
    <w:rsid w:val="00B22064"/>
    <w:rsid w:val="00B4100B"/>
    <w:rsid w:val="00B76A86"/>
    <w:rsid w:val="00B86E7E"/>
    <w:rsid w:val="00BA5968"/>
    <w:rsid w:val="00BC5DD8"/>
    <w:rsid w:val="00BD5061"/>
    <w:rsid w:val="00BE24C5"/>
    <w:rsid w:val="00BE474F"/>
    <w:rsid w:val="00C067E2"/>
    <w:rsid w:val="00C2607A"/>
    <w:rsid w:val="00C310C5"/>
    <w:rsid w:val="00C35CB2"/>
    <w:rsid w:val="00C46B75"/>
    <w:rsid w:val="00C570D5"/>
    <w:rsid w:val="00C6136E"/>
    <w:rsid w:val="00C80C65"/>
    <w:rsid w:val="00C94889"/>
    <w:rsid w:val="00CA4F8E"/>
    <w:rsid w:val="00CE1510"/>
    <w:rsid w:val="00CE28CD"/>
    <w:rsid w:val="00CE70D6"/>
    <w:rsid w:val="00D12E13"/>
    <w:rsid w:val="00D12EE2"/>
    <w:rsid w:val="00D33609"/>
    <w:rsid w:val="00D3621B"/>
    <w:rsid w:val="00D52CFB"/>
    <w:rsid w:val="00D53E18"/>
    <w:rsid w:val="00D57F6C"/>
    <w:rsid w:val="00DA18EA"/>
    <w:rsid w:val="00DE7AC6"/>
    <w:rsid w:val="00E647F4"/>
    <w:rsid w:val="00E7356E"/>
    <w:rsid w:val="00E841AC"/>
    <w:rsid w:val="00F10ED0"/>
    <w:rsid w:val="00F573FD"/>
    <w:rsid w:val="00F62FD1"/>
    <w:rsid w:val="00F76D55"/>
    <w:rsid w:val="00FB474B"/>
    <w:rsid w:val="00FD40A7"/>
    <w:rsid w:val="00FE0621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7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85589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4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6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B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61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5">
    <w:name w:val="Plain Table 5"/>
    <w:basedOn w:val="TableNormal"/>
    <w:uiPriority w:val="45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8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9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8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A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7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85589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4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6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B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61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5">
    <w:name w:val="Plain Table 5"/>
    <w:basedOn w:val="TableNormal"/>
    <w:uiPriority w:val="45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8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9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8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Economic Performance for Minnesota's Business Services Firms--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 Previous Four Quarters</a:t>
            </a:r>
            <a:endParaRPr lang="en-US" sz="800" b="1" i="0" u="none" strike="noStrike" baseline="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771183132705835E-2"/>
          <c:y val="0.23150845996648942"/>
          <c:w val="0.8701994877758924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Sheet1!$A$2:$A$10</c:f>
              <c:strCache>
                <c:ptCount val="9"/>
                <c:pt idx="0">
                  <c:v>Sales</c:v>
                </c:pt>
                <c:pt idx="1">
                  <c:v>Profits</c:v>
                </c:pt>
                <c:pt idx="2">
                  <c:v>Produc- tion</c:v>
                </c:pt>
                <c:pt idx="3">
                  <c:v>Emp.</c:v>
                </c:pt>
                <c:pt idx="4">
                  <c:v>Labor</c:v>
                </c:pt>
                <c:pt idx="5">
                  <c:v>Selling-  Prices</c:v>
                </c:pt>
                <c:pt idx="6">
                  <c:v>Input- Cost</c:v>
                </c:pt>
                <c:pt idx="7">
                  <c:v>Space- occu.</c:v>
                </c:pt>
                <c:pt idx="8">
                  <c:v>Exports</c:v>
                </c:pt>
              </c:strCache>
            </c:strRef>
          </c:cat>
          <c:val>
            <c:numRef>
              <c:f>Sheet1!$B$2:$B$10</c:f>
              <c:numCache>
                <c:formatCode>0%</c:formatCode>
                <c:ptCount val="9"/>
                <c:pt idx="0">
                  <c:v>0.46</c:v>
                </c:pt>
                <c:pt idx="1">
                  <c:v>0.4</c:v>
                </c:pt>
                <c:pt idx="2">
                  <c:v>0.27</c:v>
                </c:pt>
                <c:pt idx="3">
                  <c:v>0.19</c:v>
                </c:pt>
                <c:pt idx="4">
                  <c:v>0.05</c:v>
                </c:pt>
                <c:pt idx="5">
                  <c:v>0.28000000000000003</c:v>
                </c:pt>
                <c:pt idx="6">
                  <c:v>0.49</c:v>
                </c:pt>
                <c:pt idx="7">
                  <c:v>0.05</c:v>
                </c:pt>
                <c:pt idx="8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Sheet1!$A$2:$A$10</c:f>
              <c:strCache>
                <c:ptCount val="9"/>
                <c:pt idx="0">
                  <c:v>Sales</c:v>
                </c:pt>
                <c:pt idx="1">
                  <c:v>Profits</c:v>
                </c:pt>
                <c:pt idx="2">
                  <c:v>Produc- tion</c:v>
                </c:pt>
                <c:pt idx="3">
                  <c:v>Emp.</c:v>
                </c:pt>
                <c:pt idx="4">
                  <c:v>Labor</c:v>
                </c:pt>
                <c:pt idx="5">
                  <c:v>Selling-  Prices</c:v>
                </c:pt>
                <c:pt idx="6">
                  <c:v>Input- Cost</c:v>
                </c:pt>
                <c:pt idx="7">
                  <c:v>Space- occu.</c:v>
                </c:pt>
                <c:pt idx="8">
                  <c:v>Exports</c:v>
                </c:pt>
              </c:strCache>
            </c:strRef>
          </c:cat>
          <c:val>
            <c:numRef>
              <c:f>Sheet1!$C$2:$C$10</c:f>
              <c:numCache>
                <c:formatCode>0%</c:formatCode>
                <c:ptCount val="9"/>
                <c:pt idx="0">
                  <c:v>0.31</c:v>
                </c:pt>
                <c:pt idx="1">
                  <c:v>0.33</c:v>
                </c:pt>
                <c:pt idx="2">
                  <c:v>0.63</c:v>
                </c:pt>
                <c:pt idx="3">
                  <c:v>0.67</c:v>
                </c:pt>
                <c:pt idx="4">
                  <c:v>0.71</c:v>
                </c:pt>
                <c:pt idx="5">
                  <c:v>0.63</c:v>
                </c:pt>
                <c:pt idx="6">
                  <c:v>0.48</c:v>
                </c:pt>
                <c:pt idx="7">
                  <c:v>0.89</c:v>
                </c:pt>
                <c:pt idx="8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Sheet1!$A$2:$A$10</c:f>
              <c:strCache>
                <c:ptCount val="9"/>
                <c:pt idx="0">
                  <c:v>Sales</c:v>
                </c:pt>
                <c:pt idx="1">
                  <c:v>Profits</c:v>
                </c:pt>
                <c:pt idx="2">
                  <c:v>Produc- tion</c:v>
                </c:pt>
                <c:pt idx="3">
                  <c:v>Emp.</c:v>
                </c:pt>
                <c:pt idx="4">
                  <c:v>Labor</c:v>
                </c:pt>
                <c:pt idx="5">
                  <c:v>Selling-  Prices</c:v>
                </c:pt>
                <c:pt idx="6">
                  <c:v>Input- Cost</c:v>
                </c:pt>
                <c:pt idx="7">
                  <c:v>Space- occu.</c:v>
                </c:pt>
                <c:pt idx="8">
                  <c:v>Exports</c:v>
                </c:pt>
              </c:strCache>
            </c:strRef>
          </c:cat>
          <c:val>
            <c:numRef>
              <c:f>Sheet1!$D$2:$D$10</c:f>
              <c:numCache>
                <c:formatCode>0%</c:formatCode>
                <c:ptCount val="9"/>
                <c:pt idx="0">
                  <c:v>0.23</c:v>
                </c:pt>
                <c:pt idx="1">
                  <c:v>0.27</c:v>
                </c:pt>
                <c:pt idx="2">
                  <c:v>0.09</c:v>
                </c:pt>
                <c:pt idx="3">
                  <c:v>0.14000000000000001</c:v>
                </c:pt>
                <c:pt idx="4">
                  <c:v>0.24</c:v>
                </c:pt>
                <c:pt idx="5">
                  <c:v>0.09</c:v>
                </c:pt>
                <c:pt idx="6">
                  <c:v>0.03</c:v>
                </c:pt>
                <c:pt idx="7">
                  <c:v>0.06</c:v>
                </c:pt>
                <c:pt idx="8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3"/>
        <c:axId val="85176704"/>
        <c:axId val="85178240"/>
      </c:barChart>
      <c:catAx>
        <c:axId val="85176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 anchor="t" anchorCtr="0"/>
          <a:lstStyle/>
          <a:p>
            <a:pPr>
              <a:defRPr sz="650" baseline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85178240"/>
        <c:crosses val="autoZero"/>
        <c:auto val="0"/>
        <c:lblAlgn val="ctr"/>
        <c:lblOffset val="100"/>
        <c:noMultiLvlLbl val="0"/>
      </c:catAx>
      <c:valAx>
        <c:axId val="8517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851767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581452318460196"/>
          <c:y val="0.26989054315808775"/>
          <c:w val="0.312383635419754"/>
          <c:h val="7.3936167508604378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Outlook on Economic Performance for The Coming Year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771154091241477E-2"/>
          <c:y val="0.2315086040866052"/>
          <c:w val="0.84062156768714325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Employ- ment</c:v>
                </c:pt>
                <c:pt idx="1">
                  <c:v>Consumer Spending</c:v>
                </c:pt>
                <c:pt idx="2">
                  <c:v>Inflation</c:v>
                </c:pt>
                <c:pt idx="3">
                  <c:v>Profits</c:v>
                </c:pt>
                <c:pt idx="4">
                  <c:v>Merger and Acq.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0.45</c:v>
                </c:pt>
                <c:pt idx="1">
                  <c:v>0.41</c:v>
                </c:pt>
                <c:pt idx="2">
                  <c:v>0.59</c:v>
                </c:pt>
                <c:pt idx="3">
                  <c:v>0.41</c:v>
                </c:pt>
                <c:pt idx="4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Employ- ment</c:v>
                </c:pt>
                <c:pt idx="1">
                  <c:v>Consumer Spending</c:v>
                </c:pt>
                <c:pt idx="2">
                  <c:v>Inflation</c:v>
                </c:pt>
                <c:pt idx="3">
                  <c:v>Profits</c:v>
                </c:pt>
                <c:pt idx="4">
                  <c:v>Merger and Acq.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0.46</c:v>
                </c:pt>
                <c:pt idx="1">
                  <c:v>0.46</c:v>
                </c:pt>
                <c:pt idx="2">
                  <c:v>0.4</c:v>
                </c:pt>
                <c:pt idx="3">
                  <c:v>0.45</c:v>
                </c:pt>
                <c:pt idx="4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Employ- ment</c:v>
                </c:pt>
                <c:pt idx="1">
                  <c:v>Consumer Spending</c:v>
                </c:pt>
                <c:pt idx="2">
                  <c:v>Inflation</c:v>
                </c:pt>
                <c:pt idx="3">
                  <c:v>Profits</c:v>
                </c:pt>
                <c:pt idx="4">
                  <c:v>Merger and Acq.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0.1</c:v>
                </c:pt>
                <c:pt idx="1">
                  <c:v>0.13</c:v>
                </c:pt>
                <c:pt idx="2">
                  <c:v>0.01</c:v>
                </c:pt>
                <c:pt idx="3">
                  <c:v>0.14000000000000001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5888128"/>
        <c:axId val="115889664"/>
      </c:barChart>
      <c:catAx>
        <c:axId val="11588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15889664"/>
        <c:crosses val="autoZero"/>
        <c:auto val="1"/>
        <c:lblAlgn val="ctr"/>
        <c:lblOffset val="100"/>
        <c:noMultiLvlLbl val="0"/>
      </c:catAx>
      <c:valAx>
        <c:axId val="115889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58881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0359847053667232"/>
          <c:y val="0.24176218479019237"/>
          <c:w val="0.312383635419754"/>
          <c:h val="7.3936167508604378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C7B1-AD9D-4CC9-8425-FDC96DAD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Olson</dc:creator>
  <cp:keywords/>
  <dc:description/>
  <cp:lastModifiedBy>Monte Hanson</cp:lastModifiedBy>
  <cp:revision>4</cp:revision>
  <cp:lastPrinted>2017-06-28T20:32:00Z</cp:lastPrinted>
  <dcterms:created xsi:type="dcterms:W3CDTF">2017-07-11T15:54:00Z</dcterms:created>
  <dcterms:modified xsi:type="dcterms:W3CDTF">2017-07-12T14:41:00Z</dcterms:modified>
</cp:coreProperties>
</file>