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3B" w:rsidRPr="00F43D8C" w:rsidRDefault="00634377" w:rsidP="004B3151">
      <w:pPr>
        <w:tabs>
          <w:tab w:val="left" w:pos="360"/>
          <w:tab w:val="left" w:pos="6660"/>
        </w:tabs>
        <w:spacing w:after="120"/>
        <w:jc w:val="center"/>
        <w:sectPr w:rsidR="00CE313B" w:rsidRPr="00F43D8C" w:rsidSect="00BC5D6C">
          <w:headerReference w:type="even" r:id="rId8"/>
          <w:footerReference w:type="even" r:id="rId9"/>
          <w:footnotePr>
            <w:numRestart w:val="eachSect"/>
          </w:footnotePr>
          <w:endnotePr>
            <w:numFmt w:val="decimal"/>
          </w:endnotePr>
          <w:type w:val="continuous"/>
          <w:pgSz w:w="12240" w:h="15840" w:code="1"/>
          <w:pgMar w:top="864" w:right="1152" w:bottom="864" w:left="1152" w:header="720" w:footer="720" w:gutter="0"/>
          <w:cols w:space="720"/>
          <w:titlePg/>
          <w:docGrid w:linePitch="272"/>
        </w:sectPr>
      </w:pPr>
      <w:r w:rsidRPr="00F43D8C">
        <w:rPr>
          <w:noProof/>
        </w:rPr>
        <w:drawing>
          <wp:inline distT="0" distB="0" distL="0" distR="0">
            <wp:extent cx="6309360" cy="1103630"/>
            <wp:effectExtent l="0" t="0" r="0" b="1270"/>
            <wp:docPr id="7" name="Picture 7" descr="Minnesota Export Statistics - Annual&#10;Department of Employment and Economic Development&#10;Annual Data on Minnesota Exports for 2019 – Published March 2020&#10;For More Information: Eric Lightner, 651-259-7149&#10;" title="titl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ES Banner_Annu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360" cy="1103630"/>
                    </a:xfrm>
                    <a:prstGeom prst="rect">
                      <a:avLst/>
                    </a:prstGeom>
                  </pic:spPr>
                </pic:pic>
              </a:graphicData>
            </a:graphic>
          </wp:inline>
        </w:drawing>
      </w:r>
      <w:r w:rsidR="00961671" w:rsidRPr="00F43D8C">
        <w:rPr>
          <w:noProof/>
        </w:rPr>
        <w:t xml:space="preserve"> </w:t>
      </w:r>
      <w:r w:rsidR="007F1C4A" w:rsidRPr="00F43D8C">
        <w:rPr>
          <w:noProof/>
        </w:rPr>
        <mc:AlternateContent>
          <mc:Choice Requires="wps">
            <w:drawing>
              <wp:anchor distT="0" distB="0" distL="114300" distR="114300" simplePos="0" relativeHeight="251662336" behindDoc="0" locked="0" layoutInCell="1" allowOverlap="1" wp14:anchorId="22F0476A" wp14:editId="76F0853F">
                <wp:simplePos x="0" y="0"/>
                <wp:positionH relativeFrom="column">
                  <wp:posOffset>0</wp:posOffset>
                </wp:positionH>
                <wp:positionV relativeFrom="paragraph">
                  <wp:posOffset>1135380</wp:posOffset>
                </wp:positionV>
                <wp:extent cx="6248400" cy="419100"/>
                <wp:effectExtent l="0" t="0" r="0" b="0"/>
                <wp:wrapNone/>
                <wp:docPr id="2" name="Text Box 2" descr="Annual Data on Minnesota Exports for 2019 – Published March 2020&#10;For More Information: Eric Lightner, 651-259-7149&#10;"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A30" w:rsidRPr="00721911" w:rsidRDefault="00D43A30" w:rsidP="00D43A30">
                            <w:pPr>
                              <w:pStyle w:val="NoSpacing"/>
                              <w:jc w:val="center"/>
                              <w:rPr>
                                <w:rStyle w:val="Emphasis"/>
                                <w:sz w:val="20"/>
                              </w:rPr>
                            </w:pPr>
                            <w:bookmarkStart w:id="0" w:name="_GoBack"/>
                            <w:r>
                              <w:rPr>
                                <w:rStyle w:val="Emphasis"/>
                                <w:sz w:val="20"/>
                              </w:rPr>
                              <w:t xml:space="preserve">Annual </w:t>
                            </w:r>
                            <w:r w:rsidRPr="00721911">
                              <w:rPr>
                                <w:rStyle w:val="Emphasis"/>
                                <w:sz w:val="20"/>
                              </w:rPr>
                              <w:t>Data</w:t>
                            </w:r>
                            <w:r>
                              <w:rPr>
                                <w:rStyle w:val="Emphasis"/>
                                <w:sz w:val="20"/>
                              </w:rPr>
                              <w:t xml:space="preserve"> on Minnesota Exports for </w:t>
                            </w:r>
                            <w:r w:rsidR="00CE10C0">
                              <w:rPr>
                                <w:rStyle w:val="Emphasis"/>
                                <w:sz w:val="20"/>
                              </w:rPr>
                              <w:t>2019 – Published March</w:t>
                            </w:r>
                            <w:r w:rsidRPr="00721911">
                              <w:rPr>
                                <w:rStyle w:val="Emphasis"/>
                                <w:sz w:val="20"/>
                              </w:rPr>
                              <w:t xml:space="preserve"> 2020</w:t>
                            </w:r>
                          </w:p>
                          <w:p w:rsidR="00D43A30" w:rsidRPr="00721911" w:rsidRDefault="00D43A30" w:rsidP="00D43A30">
                            <w:pPr>
                              <w:pStyle w:val="NoSpacing"/>
                              <w:jc w:val="center"/>
                              <w:rPr>
                                <w:rStyle w:val="Emphasis"/>
                                <w:sz w:val="20"/>
                              </w:rPr>
                            </w:pPr>
                            <w:r w:rsidRPr="00721911">
                              <w:rPr>
                                <w:rStyle w:val="Emphasis"/>
                                <w:sz w:val="20"/>
                              </w:rPr>
                              <w:t xml:space="preserve">For More Information: </w:t>
                            </w:r>
                            <w:r w:rsidR="00ED249E">
                              <w:rPr>
                                <w:rStyle w:val="Strong"/>
                                <w:b w:val="0"/>
                                <w:i/>
                                <w:sz w:val="20"/>
                                <w:szCs w:val="21"/>
                              </w:rPr>
                              <w:t xml:space="preserve">Eric </w:t>
                            </w:r>
                            <w:r w:rsidR="00ED249E" w:rsidRPr="00ED249E">
                              <w:rPr>
                                <w:rStyle w:val="Strong"/>
                                <w:b w:val="0"/>
                                <w:i/>
                                <w:sz w:val="20"/>
                                <w:szCs w:val="21"/>
                              </w:rPr>
                              <w:t>Lightner, 651-259-7149</w:t>
                            </w:r>
                          </w:p>
                          <w:bookmarkEnd w:id="0"/>
                          <w:p w:rsidR="007F1C4A" w:rsidRPr="00B577E0" w:rsidRDefault="007F1C4A" w:rsidP="007F1C4A">
                            <w:pPr>
                              <w:pStyle w:val="NoSpacing"/>
                              <w:jc w:val="center"/>
                              <w:rPr>
                                <w:rStyle w:val="Emphasi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0476A" id="_x0000_t202" coordsize="21600,21600" o:spt="202" path="m,l,21600r21600,l21600,xe">
                <v:stroke joinstyle="miter"/>
                <v:path gradientshapeok="t" o:connecttype="rect"/>
              </v:shapetype>
              <v:shape id="Text Box 2" o:spid="_x0000_s1026" type="#_x0000_t202" alt="Title: Text box - Description: Annual Data on Minnesota Exports for 2019 – Published March 2020&#10;For More Information: Eric Lightner, 651-259-7149&#10;" style="position:absolute;left:0;text-align:left;margin-left:0;margin-top:89.4pt;width:49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" filled="f" stroked="f">
                <v:textbox>
                  <w:txbxContent>
                    <w:p w:rsidR="00D43A30" w:rsidRPr="00721911" w:rsidRDefault="00D43A30" w:rsidP="00D43A30">
                      <w:pPr>
                        <w:pStyle w:val="NoSpacing"/>
                        <w:jc w:val="center"/>
                        <w:rPr>
                          <w:rStyle w:val="Emphasis"/>
                          <w:sz w:val="20"/>
                        </w:rPr>
                      </w:pPr>
                      <w:bookmarkStart w:id="1" w:name="_GoBack"/>
                      <w:r>
                        <w:rPr>
                          <w:rStyle w:val="Emphasis"/>
                          <w:sz w:val="20"/>
                        </w:rPr>
                        <w:t xml:space="preserve">Annual </w:t>
                      </w:r>
                      <w:r w:rsidRPr="00721911">
                        <w:rPr>
                          <w:rStyle w:val="Emphasis"/>
                          <w:sz w:val="20"/>
                        </w:rPr>
                        <w:t>Data</w:t>
                      </w:r>
                      <w:r>
                        <w:rPr>
                          <w:rStyle w:val="Emphasis"/>
                          <w:sz w:val="20"/>
                        </w:rPr>
                        <w:t xml:space="preserve"> on Minnesota Exports for </w:t>
                      </w:r>
                      <w:r w:rsidR="00CE10C0">
                        <w:rPr>
                          <w:rStyle w:val="Emphasis"/>
                          <w:sz w:val="20"/>
                        </w:rPr>
                        <w:t>2019 – Published March</w:t>
                      </w:r>
                      <w:r w:rsidRPr="00721911">
                        <w:rPr>
                          <w:rStyle w:val="Emphasis"/>
                          <w:sz w:val="20"/>
                        </w:rPr>
                        <w:t xml:space="preserve"> 2020</w:t>
                      </w:r>
                    </w:p>
                    <w:p w:rsidR="00D43A30" w:rsidRPr="00721911" w:rsidRDefault="00D43A30" w:rsidP="00D43A30">
                      <w:pPr>
                        <w:pStyle w:val="NoSpacing"/>
                        <w:jc w:val="center"/>
                        <w:rPr>
                          <w:rStyle w:val="Emphasis"/>
                          <w:sz w:val="20"/>
                        </w:rPr>
                      </w:pPr>
                      <w:r w:rsidRPr="00721911">
                        <w:rPr>
                          <w:rStyle w:val="Emphasis"/>
                          <w:sz w:val="20"/>
                        </w:rPr>
                        <w:t xml:space="preserve">For More Information: </w:t>
                      </w:r>
                      <w:r w:rsidR="00ED249E">
                        <w:rPr>
                          <w:rStyle w:val="Strong"/>
                          <w:b w:val="0"/>
                          <w:i/>
                          <w:sz w:val="20"/>
                          <w:szCs w:val="21"/>
                        </w:rPr>
                        <w:t xml:space="preserve">Eric </w:t>
                      </w:r>
                      <w:r w:rsidR="00ED249E" w:rsidRPr="00ED249E">
                        <w:rPr>
                          <w:rStyle w:val="Strong"/>
                          <w:b w:val="0"/>
                          <w:i/>
                          <w:sz w:val="20"/>
                          <w:szCs w:val="21"/>
                        </w:rPr>
                        <w:t>Lightner, 651-259-7149</w:t>
                      </w:r>
                    </w:p>
                    <w:bookmarkEnd w:id="1"/>
                    <w:p w:rsidR="007F1C4A" w:rsidRPr="00B577E0" w:rsidRDefault="007F1C4A" w:rsidP="007F1C4A">
                      <w:pPr>
                        <w:pStyle w:val="NoSpacing"/>
                        <w:jc w:val="center"/>
                        <w:rPr>
                          <w:rStyle w:val="Emphasis"/>
                          <w:b/>
                        </w:rPr>
                      </w:pPr>
                    </w:p>
                  </w:txbxContent>
                </v:textbox>
              </v:shape>
            </w:pict>
          </mc:Fallback>
        </mc:AlternateContent>
      </w:r>
    </w:p>
    <w:p w:rsidR="00D73299" w:rsidRPr="00F43D8C" w:rsidRDefault="00F050F6" w:rsidP="004B3151">
      <w:pPr>
        <w:pStyle w:val="Heading1"/>
        <w:spacing w:before="600"/>
        <w:rPr>
          <w:rFonts w:asciiTheme="minorHAnsi" w:hAnsiTheme="minorHAnsi"/>
          <w:color w:val="auto"/>
          <w:sz w:val="36"/>
          <w:szCs w:val="30"/>
        </w:rPr>
      </w:pPr>
      <w:r w:rsidRPr="00F43D8C">
        <w:rPr>
          <w:rFonts w:asciiTheme="minorHAnsi" w:hAnsiTheme="minorHAnsi"/>
          <w:color w:val="auto"/>
          <w:sz w:val="36"/>
          <w:szCs w:val="30"/>
        </w:rPr>
        <w:t>State Export</w:t>
      </w:r>
      <w:r w:rsidR="005F1D50" w:rsidRPr="00F43D8C">
        <w:rPr>
          <w:rFonts w:asciiTheme="minorHAnsi" w:hAnsiTheme="minorHAnsi"/>
          <w:color w:val="auto"/>
          <w:sz w:val="36"/>
          <w:szCs w:val="30"/>
        </w:rPr>
        <w:t>s</w:t>
      </w:r>
      <w:r w:rsidRPr="00F43D8C">
        <w:rPr>
          <w:rFonts w:asciiTheme="minorHAnsi" w:hAnsiTheme="minorHAnsi"/>
          <w:color w:val="auto"/>
          <w:sz w:val="36"/>
          <w:szCs w:val="30"/>
        </w:rPr>
        <w:t xml:space="preserve"> </w:t>
      </w:r>
      <w:r w:rsidR="00FC260C">
        <w:rPr>
          <w:rFonts w:asciiTheme="minorHAnsi" w:hAnsiTheme="minorHAnsi"/>
          <w:color w:val="auto"/>
          <w:sz w:val="36"/>
          <w:szCs w:val="30"/>
        </w:rPr>
        <w:t>Fa</w:t>
      </w:r>
      <w:r w:rsidR="005F2A2C" w:rsidRPr="00F43D8C">
        <w:rPr>
          <w:rFonts w:asciiTheme="minorHAnsi" w:hAnsiTheme="minorHAnsi"/>
          <w:color w:val="auto"/>
          <w:sz w:val="36"/>
          <w:szCs w:val="30"/>
        </w:rPr>
        <w:t>ll</w:t>
      </w:r>
      <w:r w:rsidR="00D43A30" w:rsidRPr="00F43D8C">
        <w:rPr>
          <w:rFonts w:asciiTheme="minorHAnsi" w:hAnsiTheme="minorHAnsi"/>
          <w:color w:val="auto"/>
          <w:sz w:val="36"/>
          <w:szCs w:val="30"/>
        </w:rPr>
        <w:t xml:space="preserve"> 2</w:t>
      </w:r>
      <w:r w:rsidR="001F5C09" w:rsidRPr="00F43D8C">
        <w:rPr>
          <w:rFonts w:asciiTheme="minorHAnsi" w:hAnsiTheme="minorHAnsi"/>
          <w:color w:val="auto"/>
          <w:sz w:val="36"/>
          <w:szCs w:val="30"/>
        </w:rPr>
        <w:t>%</w:t>
      </w:r>
      <w:r w:rsidR="00D43A30" w:rsidRPr="00F43D8C">
        <w:rPr>
          <w:rFonts w:asciiTheme="minorHAnsi" w:hAnsiTheme="minorHAnsi"/>
          <w:color w:val="auto"/>
          <w:sz w:val="36"/>
          <w:szCs w:val="30"/>
        </w:rPr>
        <w:t xml:space="preserve"> to $22</w:t>
      </w:r>
      <w:r w:rsidR="00634377" w:rsidRPr="00F43D8C">
        <w:rPr>
          <w:rFonts w:asciiTheme="minorHAnsi" w:hAnsiTheme="minorHAnsi"/>
          <w:color w:val="auto"/>
          <w:sz w:val="36"/>
          <w:szCs w:val="30"/>
        </w:rPr>
        <w:t xml:space="preserve"> Billion</w:t>
      </w:r>
      <w:r w:rsidR="004E209A" w:rsidRPr="00F43D8C">
        <w:rPr>
          <w:rFonts w:asciiTheme="minorHAnsi" w:hAnsiTheme="minorHAnsi"/>
          <w:color w:val="auto"/>
          <w:sz w:val="36"/>
          <w:szCs w:val="30"/>
        </w:rPr>
        <w:t xml:space="preserve"> in 2019</w:t>
      </w:r>
    </w:p>
    <w:p w:rsidR="00D73299" w:rsidRPr="00F43D8C" w:rsidRDefault="00D73299" w:rsidP="00D73299">
      <w:pPr>
        <w:pStyle w:val="ListParagraph"/>
        <w:numPr>
          <w:ilvl w:val="0"/>
          <w:numId w:val="19"/>
        </w:numPr>
        <w:sectPr w:rsidR="00D73299" w:rsidRPr="00F43D8C" w:rsidSect="00BC5D6C">
          <w:footerReference w:type="default" r:id="rId11"/>
          <w:footnotePr>
            <w:numRestart w:val="eachSect"/>
          </w:footnotePr>
          <w:endnotePr>
            <w:numFmt w:val="decimal"/>
          </w:endnotePr>
          <w:type w:val="continuous"/>
          <w:pgSz w:w="12240" w:h="15840" w:code="1"/>
          <w:pgMar w:top="864" w:right="1152" w:bottom="864" w:left="1152" w:header="720" w:footer="720" w:gutter="0"/>
          <w:cols w:space="720"/>
          <w:titlePg/>
          <w:docGrid w:linePitch="299"/>
        </w:sectPr>
      </w:pPr>
    </w:p>
    <w:p w:rsidR="000D5400" w:rsidRPr="00F43D8C" w:rsidRDefault="007F1C4A" w:rsidP="006869A1">
      <w:pPr>
        <w:pStyle w:val="ListParagraph"/>
        <w:numPr>
          <w:ilvl w:val="0"/>
          <w:numId w:val="19"/>
        </w:numPr>
      </w:pPr>
      <w:r w:rsidRPr="00F43D8C">
        <w:t>Minnesota exports (including agricultural, mining and manufact</w:t>
      </w:r>
      <w:r w:rsidR="00A02A94" w:rsidRPr="00F43D8C">
        <w:t xml:space="preserve">ured products) </w:t>
      </w:r>
      <w:r w:rsidR="00D43A30" w:rsidRPr="00F43D8C">
        <w:t>were valued</w:t>
      </w:r>
      <w:r w:rsidR="00C5460D" w:rsidRPr="00F43D8C">
        <w:t xml:space="preserve"> at</w:t>
      </w:r>
      <w:r w:rsidR="00D43A30" w:rsidRPr="00F43D8C">
        <w:t xml:space="preserve"> </w:t>
      </w:r>
      <w:r w:rsidR="00E92FA6" w:rsidRPr="00F43D8C">
        <w:t>$</w:t>
      </w:r>
      <w:r w:rsidR="00D43A30" w:rsidRPr="00F43D8C">
        <w:t>22</w:t>
      </w:r>
      <w:r w:rsidR="0072390C" w:rsidRPr="00F43D8C">
        <w:t xml:space="preserve"> billion </w:t>
      </w:r>
      <w:r w:rsidR="00BF3ADC" w:rsidRPr="00F43D8C">
        <w:t xml:space="preserve">in </w:t>
      </w:r>
      <w:r w:rsidR="00D43A30" w:rsidRPr="00F43D8C">
        <w:t>2019</w:t>
      </w:r>
      <w:r w:rsidR="00BF3ADC" w:rsidRPr="00F43D8C">
        <w:t xml:space="preserve">, representing </w:t>
      </w:r>
      <w:r w:rsidR="006869A1" w:rsidRPr="00F43D8C">
        <w:t>a</w:t>
      </w:r>
      <w:r w:rsidR="000F4677" w:rsidRPr="00F43D8C">
        <w:t xml:space="preserve"> </w:t>
      </w:r>
      <w:r w:rsidR="004E209A" w:rsidRPr="00F43D8C">
        <w:t>decrease</w:t>
      </w:r>
      <w:r w:rsidR="000F4677" w:rsidRPr="00F43D8C">
        <w:t xml:space="preserve"> of</w:t>
      </w:r>
      <w:r w:rsidR="00F050F6" w:rsidRPr="00F43D8C">
        <w:t xml:space="preserve"> </w:t>
      </w:r>
      <w:r w:rsidR="00D43A30" w:rsidRPr="00F43D8C">
        <w:t>2</w:t>
      </w:r>
      <w:r w:rsidR="001F5C09" w:rsidRPr="00F43D8C">
        <w:t>%</w:t>
      </w:r>
      <w:r w:rsidR="00634377" w:rsidRPr="00F43D8C">
        <w:t xml:space="preserve"> between </w:t>
      </w:r>
      <w:r w:rsidR="00D43A30" w:rsidRPr="00F43D8C">
        <w:t>2018</w:t>
      </w:r>
      <w:r w:rsidR="00370F35" w:rsidRPr="00F43D8C">
        <w:t xml:space="preserve"> and </w:t>
      </w:r>
      <w:r w:rsidR="00AA7B6C">
        <w:t xml:space="preserve">2019. </w:t>
      </w:r>
      <w:r w:rsidR="00846B2F" w:rsidRPr="00F43D8C">
        <w:t>U.S. exports slid</w:t>
      </w:r>
      <w:r w:rsidR="00D43A30" w:rsidRPr="00F43D8C">
        <w:t xml:space="preserve"> 1</w:t>
      </w:r>
      <w:r w:rsidR="001F5C09" w:rsidRPr="00F43D8C">
        <w:t>%</w:t>
      </w:r>
      <w:r w:rsidR="000D5400" w:rsidRPr="00F43D8C">
        <w:t xml:space="preserve">. </w:t>
      </w:r>
    </w:p>
    <w:p w:rsidR="00192CA0" w:rsidRPr="00F43D8C" w:rsidRDefault="000F4677" w:rsidP="00F87BF8">
      <w:pPr>
        <w:pStyle w:val="ListParagraph"/>
        <w:numPr>
          <w:ilvl w:val="0"/>
          <w:numId w:val="19"/>
        </w:numPr>
        <w:spacing w:after="0"/>
      </w:pPr>
      <w:r w:rsidRPr="00F43D8C">
        <w:t>Minnesota ranked 2</w:t>
      </w:r>
      <w:r w:rsidR="00B07368" w:rsidRPr="00F43D8C">
        <w:t>1</w:t>
      </w:r>
      <w:r w:rsidR="00B07368" w:rsidRPr="00F43D8C">
        <w:rPr>
          <w:vertAlign w:val="superscript"/>
        </w:rPr>
        <w:t>st</w:t>
      </w:r>
      <w:r w:rsidRPr="00F43D8C">
        <w:t xml:space="preserve"> </w:t>
      </w:r>
      <w:r w:rsidR="00B07368" w:rsidRPr="00F43D8C">
        <w:t xml:space="preserve">highest </w:t>
      </w:r>
      <w:r w:rsidRPr="00F43D8C">
        <w:t xml:space="preserve">in exports among U.S. states in </w:t>
      </w:r>
      <w:r w:rsidR="00D43A30" w:rsidRPr="00F43D8C">
        <w:t>2019</w:t>
      </w:r>
      <w:r w:rsidR="00B07368" w:rsidRPr="00F43D8C">
        <w:t>, down</w:t>
      </w:r>
      <w:r w:rsidRPr="00F43D8C">
        <w:t xml:space="preserve"> from 2</w:t>
      </w:r>
      <w:r w:rsidR="00B07368" w:rsidRPr="00F43D8C">
        <w:t>0</w:t>
      </w:r>
      <w:r w:rsidR="00B07368" w:rsidRPr="00F43D8C">
        <w:rPr>
          <w:vertAlign w:val="superscript"/>
        </w:rPr>
        <w:t>th</w:t>
      </w:r>
      <w:r w:rsidR="00B87E22" w:rsidRPr="00F43D8C">
        <w:t xml:space="preserve"> in </w:t>
      </w:r>
      <w:r w:rsidR="00D43A30" w:rsidRPr="00F43D8C">
        <w:t>2018</w:t>
      </w:r>
      <w:r w:rsidR="00B87E22" w:rsidRPr="00F43D8C">
        <w:t>.</w:t>
      </w:r>
      <w:r w:rsidR="000B445D" w:rsidRPr="00F43D8C">
        <w:t xml:space="preserve"> </w:t>
      </w:r>
    </w:p>
    <w:p w:rsidR="00846B2F" w:rsidRPr="00F43D8C" w:rsidRDefault="000B445D" w:rsidP="00DE7AA5">
      <w:pPr>
        <w:pStyle w:val="ListParagraph"/>
        <w:numPr>
          <w:ilvl w:val="0"/>
          <w:numId w:val="19"/>
        </w:numPr>
        <w:spacing w:after="0"/>
      </w:pPr>
      <w:r w:rsidRPr="00F43D8C">
        <w:t xml:space="preserve">In </w:t>
      </w:r>
      <w:r w:rsidR="00D43A30" w:rsidRPr="00F43D8C">
        <w:t>2019</w:t>
      </w:r>
      <w:r w:rsidRPr="00F43D8C">
        <w:t>, the state exported about 1,050</w:t>
      </w:r>
      <w:r w:rsidR="000F4677" w:rsidRPr="00F43D8C">
        <w:t xml:space="preserve"> different products (4-digit HS codes) to </w:t>
      </w:r>
      <w:r w:rsidRPr="00F43D8C">
        <w:t xml:space="preserve">207 </w:t>
      </w:r>
      <w:r w:rsidR="000F4677" w:rsidRPr="00F43D8C">
        <w:t xml:space="preserve">countries. </w:t>
      </w:r>
      <w:r w:rsidR="00192CA0" w:rsidRPr="00F43D8C">
        <w:t xml:space="preserve"> </w:t>
      </w:r>
    </w:p>
    <w:p w:rsidR="007F1C4A" w:rsidRPr="00B63DBF" w:rsidRDefault="00BF3ADC" w:rsidP="00B63DBF">
      <w:pPr>
        <w:pStyle w:val="ListParagraph"/>
        <w:numPr>
          <w:ilvl w:val="0"/>
          <w:numId w:val="19"/>
        </w:numPr>
        <w:spacing w:after="0"/>
        <w:rPr>
          <w:rStyle w:val="Heading4Char"/>
          <w:rFonts w:eastAsiaTheme="minorEastAsia" w:cstheme="minorBidi"/>
          <w:bCs w:val="0"/>
          <w:i w:val="0"/>
          <w:iCs w:val="0"/>
          <w:color w:val="auto"/>
          <w:sz w:val="22"/>
        </w:rPr>
      </w:pPr>
      <w:r w:rsidRPr="00F43D8C">
        <w:t>E</w:t>
      </w:r>
      <w:r w:rsidR="00A955CC" w:rsidRPr="00F43D8C">
        <w:t>xports of goods supported more than</w:t>
      </w:r>
      <w:r w:rsidR="000F4677" w:rsidRPr="00F43D8C">
        <w:t xml:space="preserve"> 1</w:t>
      </w:r>
      <w:r w:rsidR="00A955CC" w:rsidRPr="00F43D8C">
        <w:t>18,0</w:t>
      </w:r>
      <w:r w:rsidR="00AA7B6C">
        <w:t>00 jobs in Minnesota (</w:t>
      </w:r>
      <w:r w:rsidR="009D2EA2" w:rsidRPr="00F43D8C">
        <w:t>2016</w:t>
      </w:r>
      <w:r w:rsidR="00AA7B6C">
        <w:t>)</w:t>
      </w:r>
      <w:r w:rsidR="000F4677" w:rsidRPr="00F43D8C">
        <w:t>.</w:t>
      </w:r>
      <w:r w:rsidR="00F87BF8" w:rsidRPr="00F43D8C">
        <w:t xml:space="preserve"> </w:t>
      </w:r>
      <w:r w:rsidR="00C5460D" w:rsidRPr="00F43D8C">
        <w:t>State m</w:t>
      </w:r>
      <w:r w:rsidR="00F050F6" w:rsidRPr="00F43D8C">
        <w:t>anufactured</w:t>
      </w:r>
      <w:r w:rsidR="00634377" w:rsidRPr="00F43D8C">
        <w:t xml:space="preserve"> </w:t>
      </w:r>
      <w:r w:rsidR="004344C8" w:rsidRPr="00F43D8C">
        <w:t>exports dropp</w:t>
      </w:r>
      <w:r w:rsidR="00745488" w:rsidRPr="00F43D8C">
        <w:t>ed</w:t>
      </w:r>
      <w:r w:rsidR="004344C8" w:rsidRPr="00F43D8C">
        <w:t xml:space="preserve"> 2</w:t>
      </w:r>
      <w:r w:rsidR="001F5C09" w:rsidRPr="00F43D8C">
        <w:t>%</w:t>
      </w:r>
      <w:r w:rsidR="004344C8" w:rsidRPr="00F43D8C">
        <w:t xml:space="preserve"> to $21</w:t>
      </w:r>
      <w:r w:rsidR="00634377" w:rsidRPr="00F43D8C">
        <w:t xml:space="preserve"> billion in </w:t>
      </w:r>
      <w:r w:rsidR="00D43A30" w:rsidRPr="00F43D8C">
        <w:t>2019</w:t>
      </w:r>
      <w:r w:rsidR="004A106F">
        <w:t>.</w:t>
      </w:r>
      <w:r w:rsidR="00271EFA" w:rsidRPr="00B63DBF">
        <w:rPr>
          <w:rStyle w:val="Heading4Char"/>
          <w:color w:val="auto"/>
        </w:rPr>
        <w:br w:type="column"/>
      </w:r>
      <w:r w:rsidR="007F1C4A" w:rsidRPr="00B63DBF">
        <w:rPr>
          <w:rStyle w:val="Heading4Char"/>
          <w:color w:val="auto"/>
        </w:rPr>
        <w:t xml:space="preserve">Figure </w:t>
      </w:r>
      <w:r w:rsidR="007F1C4A" w:rsidRPr="00B63DBF">
        <w:rPr>
          <w:rStyle w:val="Heading4Char"/>
          <w:b/>
          <w:color w:val="auto"/>
        </w:rPr>
        <w:fldChar w:fldCharType="begin"/>
      </w:r>
      <w:r w:rsidR="007F1C4A" w:rsidRPr="00B63DBF">
        <w:rPr>
          <w:rStyle w:val="Heading4Char"/>
          <w:color w:val="auto"/>
        </w:rPr>
        <w:instrText xml:space="preserve"> SEQ Figure \* ARABIC </w:instrText>
      </w:r>
      <w:r w:rsidR="007F1C4A" w:rsidRPr="00B63DBF">
        <w:rPr>
          <w:rStyle w:val="Heading4Char"/>
          <w:b/>
          <w:color w:val="auto"/>
        </w:rPr>
        <w:fldChar w:fldCharType="separate"/>
      </w:r>
      <w:r w:rsidR="009D1486" w:rsidRPr="00B63DBF">
        <w:rPr>
          <w:rStyle w:val="Heading4Char"/>
          <w:noProof/>
          <w:color w:val="auto"/>
        </w:rPr>
        <w:t>1</w:t>
      </w:r>
      <w:r w:rsidR="007F1C4A" w:rsidRPr="00B63DBF">
        <w:rPr>
          <w:rStyle w:val="Heading4Char"/>
          <w:b/>
          <w:color w:val="auto"/>
        </w:rPr>
        <w:fldChar w:fldCharType="end"/>
      </w:r>
      <w:r w:rsidR="006918FD" w:rsidRPr="00B63DBF">
        <w:rPr>
          <w:rStyle w:val="Heading4Char"/>
          <w:color w:val="auto"/>
        </w:rPr>
        <w:t>. Exports Drop</w:t>
      </w:r>
      <w:r w:rsidR="004344C8" w:rsidRPr="00B63DBF">
        <w:rPr>
          <w:rStyle w:val="Heading4Char"/>
          <w:color w:val="auto"/>
        </w:rPr>
        <w:t xml:space="preserve"> from 29</w:t>
      </w:r>
      <w:r w:rsidR="000B445D" w:rsidRPr="00B63DBF">
        <w:rPr>
          <w:rStyle w:val="Heading4Char"/>
          <w:color w:val="auto"/>
        </w:rPr>
        <w:t xml:space="preserve"> S</w:t>
      </w:r>
      <w:r w:rsidR="003F24D7" w:rsidRPr="00B63DBF">
        <w:rPr>
          <w:rStyle w:val="Heading4Char"/>
          <w:color w:val="auto"/>
        </w:rPr>
        <w:t>tates</w:t>
      </w:r>
      <w:r w:rsidR="004344C8" w:rsidRPr="00B63DBF">
        <w:rPr>
          <w:rStyle w:val="Heading4Char"/>
          <w:color w:val="auto"/>
        </w:rPr>
        <w:t xml:space="preserve"> in 2019</w:t>
      </w:r>
    </w:p>
    <w:p w:rsidR="007F1C4A" w:rsidRPr="00F43D8C" w:rsidRDefault="007F1C4A" w:rsidP="00EE58ED">
      <w:pPr>
        <w:spacing w:after="0"/>
      </w:pPr>
      <w:r w:rsidRPr="00F43D8C">
        <w:rPr>
          <w:noProof/>
        </w:rPr>
        <mc:AlternateContent>
          <mc:Choice Requires="wps">
            <w:drawing>
              <wp:anchor distT="0" distB="0" distL="114300" distR="114300" simplePos="0" relativeHeight="251664384" behindDoc="0" locked="0" layoutInCell="1" allowOverlap="1" wp14:anchorId="702984D9" wp14:editId="03DA61A9">
                <wp:simplePos x="0" y="0"/>
                <wp:positionH relativeFrom="column">
                  <wp:posOffset>2632075</wp:posOffset>
                </wp:positionH>
                <wp:positionV relativeFrom="paragraph">
                  <wp:posOffset>1371600</wp:posOffset>
                </wp:positionV>
                <wp:extent cx="742950" cy="371475"/>
                <wp:effectExtent l="0" t="0" r="0" b="0"/>
                <wp:wrapNone/>
                <wp:docPr id="307" name="Text Box 2" descr="MN +9 percent&#10;US +8 percent" title="highligh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71475"/>
                        </a:xfrm>
                        <a:prstGeom prst="rect">
                          <a:avLst/>
                        </a:prstGeom>
                        <a:noFill/>
                        <a:ln w="9525">
                          <a:noFill/>
                          <a:miter lim="800000"/>
                          <a:headEnd/>
                          <a:tailEnd/>
                        </a:ln>
                      </wps:spPr>
                      <wps:txbx>
                        <w:txbxContent>
                          <w:p w:rsidR="007F1C4A" w:rsidRPr="00BA34CE" w:rsidRDefault="007F1C4A" w:rsidP="007F1C4A">
                            <w:pPr>
                              <w:spacing w:after="0"/>
                              <w:rPr>
                                <w:i/>
                                <w:sz w:val="18"/>
                              </w:rPr>
                            </w:pPr>
                            <w:r w:rsidRPr="00BA34CE">
                              <w:rPr>
                                <w:i/>
                                <w:sz w:val="18"/>
                              </w:rPr>
                              <w:t>M</w:t>
                            </w:r>
                            <w:r w:rsidR="004344C8">
                              <w:rPr>
                                <w:i/>
                                <w:sz w:val="18"/>
                              </w:rPr>
                              <w:t>N:  -2</w:t>
                            </w:r>
                            <w:r w:rsidRPr="00BA34CE">
                              <w:rPr>
                                <w:i/>
                                <w:sz w:val="18"/>
                              </w:rPr>
                              <w:t>%</w:t>
                            </w:r>
                          </w:p>
                          <w:p w:rsidR="007F1C4A" w:rsidRPr="00BA34CE" w:rsidRDefault="004344C8" w:rsidP="007F1C4A">
                            <w:pPr>
                              <w:spacing w:after="0"/>
                              <w:rPr>
                                <w:i/>
                                <w:sz w:val="18"/>
                              </w:rPr>
                            </w:pPr>
                            <w:r>
                              <w:rPr>
                                <w:i/>
                                <w:sz w:val="18"/>
                              </w:rPr>
                              <w:t>U.S.: -1</w:t>
                            </w:r>
                            <w:r w:rsidR="007F1C4A" w:rsidRPr="00BA34CE">
                              <w:rPr>
                                <w: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984D9" id="_x0000_s1027" type="#_x0000_t202" alt="Title: highlight text box - Description: MN +9 percent&#10;US +8 percent" style="position:absolute;margin-left:207.25pt;margin-top:108pt;width:58.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" filled="f" stroked="f">
                <v:textbox>
                  <w:txbxContent>
                    <w:p w:rsidR="007F1C4A" w:rsidRPr="00BA34CE" w:rsidRDefault="007F1C4A" w:rsidP="007F1C4A">
                      <w:pPr>
                        <w:spacing w:after="0"/>
                        <w:rPr>
                          <w:i/>
                          <w:sz w:val="18"/>
                        </w:rPr>
                      </w:pPr>
                      <w:r w:rsidRPr="00BA34CE">
                        <w:rPr>
                          <w:i/>
                          <w:sz w:val="18"/>
                        </w:rPr>
                        <w:t>M</w:t>
                      </w:r>
                      <w:r w:rsidR="004344C8">
                        <w:rPr>
                          <w:i/>
                          <w:sz w:val="18"/>
                        </w:rPr>
                        <w:t>N:  -2</w:t>
                      </w:r>
                      <w:r w:rsidRPr="00BA34CE">
                        <w:rPr>
                          <w:i/>
                          <w:sz w:val="18"/>
                        </w:rPr>
                        <w:t>%</w:t>
                      </w:r>
                    </w:p>
                    <w:p w:rsidR="007F1C4A" w:rsidRPr="00BA34CE" w:rsidRDefault="004344C8" w:rsidP="007F1C4A">
                      <w:pPr>
                        <w:spacing w:after="0"/>
                        <w:rPr>
                          <w:i/>
                          <w:sz w:val="18"/>
                        </w:rPr>
                      </w:pPr>
                      <w:r>
                        <w:rPr>
                          <w:i/>
                          <w:sz w:val="18"/>
                        </w:rPr>
                        <w:t>U.S.: -1</w:t>
                      </w:r>
                      <w:r w:rsidR="007F1C4A" w:rsidRPr="00BA34CE">
                        <w:rPr>
                          <w:i/>
                          <w:sz w:val="18"/>
                        </w:rPr>
                        <w:t>%</w:t>
                      </w:r>
                    </w:p>
                  </w:txbxContent>
                </v:textbox>
              </v:shape>
            </w:pict>
          </mc:Fallback>
        </mc:AlternateContent>
      </w:r>
      <w:r w:rsidRPr="00F43D8C">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DE7AA5" w:rsidRPr="00F43D8C">
        <w:rPr>
          <w:rFonts w:ascii="Times New Roman" w:eastAsia="Times New Roman" w:hAnsi="Times New Roman" w:cs="Times New Roman"/>
          <w:noProof/>
          <w:snapToGrid w:val="0"/>
          <w:w w:val="0"/>
          <w:sz w:val="0"/>
          <w:szCs w:val="0"/>
          <w:u w:color="000000"/>
          <w:bdr w:val="none" w:sz="0" w:space="0" w:color="000000"/>
          <w:shd w:val="clear" w:color="000000" w:fill="000000"/>
        </w:rPr>
        <w:drawing>
          <wp:inline distT="0" distB="0" distL="0" distR="0">
            <wp:extent cx="3203091" cy="1737360"/>
            <wp:effectExtent l="0" t="0" r="0" b="0"/>
            <wp:docPr id="4" name="Picture 4" descr="State Percent Change&#10;MN -2%&#10;US -1%&#10;AL -3%&#10;AK 3%&#10;AZ 10%&#10;AR -3%&#10;CA -3%&#10;CO -3%&#10;CT -6%&#10;DE -6%&#10;DC 35%&#10;FL -2%&#10;GA 2%&#10;HI -32%&#10;ID -15%&#10;IL -9%&#10;IN 0%&#10;IA -8%&#10;KS 0%&#10;KY 4%&#10;LA -5%&#10;ME -4%&#10;MD 8%&#10;MA -4%&#10;MI -5%&#10;MS 2%&#10;MO -8%&#10;MT -1%&#10;NE -6%&#10;NV -19%&#10;NH 10%&#10;NJ 2%&#10;NM 31%&#10;NY -13%&#10;NC 5%&#10;ND -15%&#10;OH -3%&#10;OK 0%&#10;OR 5%&#10;PA 3%&#10;RI 11%&#10;SC 20%&#10;SD -6%&#10;TN -5%&#10;TX 5%&#10;UT 21%&#10;VT 3%&#10;VA -2%&#10;WA -23%&#10;WV -28%&#10;WI -5%&#10;WY 1%&#10;"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oups\CARD\AEO\Thu-Mai\Tableau, Viz\MTO Tableau files\Export Stats Reports\Newsletter &amp; Fact Sheet charts\2019 US Map.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431" b="23189"/>
                    <a:stretch/>
                  </pic:blipFill>
                  <pic:spPr bwMode="auto">
                    <a:xfrm>
                      <a:off x="0" y="0"/>
                      <a:ext cx="3204912" cy="1738348"/>
                    </a:xfrm>
                    <a:prstGeom prst="rect">
                      <a:avLst/>
                    </a:prstGeom>
                    <a:noFill/>
                    <a:ln>
                      <a:noFill/>
                    </a:ln>
                    <a:extLst>
                      <a:ext uri="{53640926-AAD7-44D8-BBD7-CCE9431645EC}">
                        <a14:shadowObscured xmlns:a14="http://schemas.microsoft.com/office/drawing/2010/main"/>
                      </a:ext>
                    </a:extLst>
                  </pic:spPr>
                </pic:pic>
              </a:graphicData>
            </a:graphic>
          </wp:inline>
        </w:drawing>
      </w:r>
    </w:p>
    <w:p w:rsidR="007F1C4A" w:rsidRPr="00F43D8C" w:rsidRDefault="007F1C4A" w:rsidP="000D5400">
      <w:pPr>
        <w:tabs>
          <w:tab w:val="left" w:pos="450"/>
        </w:tabs>
        <w:spacing w:after="0"/>
        <w:rPr>
          <w:i/>
          <w:sz w:val="18"/>
        </w:rPr>
      </w:pPr>
      <w:r w:rsidRPr="00F43D8C">
        <w:rPr>
          <w:i/>
          <w:sz w:val="18"/>
        </w:rPr>
        <w:t>Decline     0%   Growth</w:t>
      </w:r>
    </w:p>
    <w:p w:rsidR="00D811FA" w:rsidRPr="00F43D8C" w:rsidRDefault="00E2669F" w:rsidP="000D5400">
      <w:pPr>
        <w:tabs>
          <w:tab w:val="left" w:pos="450"/>
        </w:tabs>
        <w:spacing w:after="0"/>
      </w:pPr>
      <w:r w:rsidRPr="00F43D8C">
        <w:rPr>
          <w:noProof/>
        </w:rPr>
        <w:drawing>
          <wp:inline distT="0" distB="0" distL="0" distR="0">
            <wp:extent cx="1066800" cy="152400"/>
            <wp:effectExtent l="0" t="0" r="0" b="0"/>
            <wp:docPr id="6" name="Picture 6" descr="color legend for map (yellow for negative trend/decline, green for positive trend/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oups\CARD\AEO\Thu-Mai\Tableau, Viz\MTO Tableau files\Export Stats Reports\Newsletter &amp; Fact Sheet charts\2018-Q4 USMap_legend.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41380" b="24137"/>
                    <a:stretch/>
                  </pic:blipFill>
                  <pic:spPr bwMode="auto">
                    <a:xfrm>
                      <a:off x="0" y="0"/>
                      <a:ext cx="1066800" cy="152400"/>
                    </a:xfrm>
                    <a:prstGeom prst="rect">
                      <a:avLst/>
                    </a:prstGeom>
                    <a:noFill/>
                    <a:ln>
                      <a:noFill/>
                    </a:ln>
                    <a:extLst>
                      <a:ext uri="{53640926-AAD7-44D8-BBD7-CCE9431645EC}">
                        <a14:shadowObscured xmlns:a14="http://schemas.microsoft.com/office/drawing/2010/main"/>
                      </a:ext>
                    </a:extLst>
                  </pic:spPr>
                </pic:pic>
              </a:graphicData>
            </a:graphic>
          </wp:inline>
        </w:drawing>
      </w:r>
    </w:p>
    <w:p w:rsidR="00D73299" w:rsidRPr="00F43D8C" w:rsidRDefault="00D73299" w:rsidP="00131EDB">
      <w:pPr>
        <w:pStyle w:val="Heading2"/>
        <w:spacing w:before="0"/>
        <w:ind w:left="360" w:hanging="270"/>
        <w:rPr>
          <w:rFonts w:asciiTheme="minorHAnsi" w:hAnsiTheme="minorHAnsi"/>
          <w:b w:val="0"/>
          <w:i/>
          <w:color w:val="auto"/>
          <w:sz w:val="28"/>
        </w:rPr>
        <w:sectPr w:rsidR="00D73299" w:rsidRPr="00F43D8C" w:rsidSect="00BC5D6C">
          <w:footnotePr>
            <w:numRestart w:val="eachSect"/>
          </w:footnotePr>
          <w:endnotePr>
            <w:numFmt w:val="decimal"/>
          </w:endnotePr>
          <w:type w:val="continuous"/>
          <w:pgSz w:w="12240" w:h="15840" w:code="1"/>
          <w:pgMar w:top="864" w:right="1152" w:bottom="864" w:left="1152" w:header="720" w:footer="720" w:gutter="0"/>
          <w:cols w:num="2" w:space="288"/>
          <w:titlePg/>
          <w:docGrid w:linePitch="299"/>
        </w:sectPr>
      </w:pPr>
    </w:p>
    <w:p w:rsidR="00E83789" w:rsidRPr="00F43D8C" w:rsidRDefault="009F6A10" w:rsidP="002503A5">
      <w:pPr>
        <w:pStyle w:val="Heading2"/>
        <w:spacing w:before="0"/>
        <w:ind w:left="360" w:hanging="270"/>
        <w:rPr>
          <w:rFonts w:asciiTheme="minorHAnsi" w:hAnsiTheme="minorHAnsi"/>
          <w:b w:val="0"/>
          <w:i/>
          <w:color w:val="auto"/>
          <w:sz w:val="28"/>
        </w:rPr>
      </w:pPr>
      <w:r w:rsidRPr="00F43D8C">
        <w:rPr>
          <w:rFonts w:asciiTheme="minorHAnsi" w:hAnsiTheme="minorHAnsi"/>
          <w:b w:val="0"/>
          <w:i/>
          <w:color w:val="auto"/>
          <w:sz w:val="28"/>
        </w:rPr>
        <w:t xml:space="preserve">State Exports </w:t>
      </w:r>
      <w:r>
        <w:rPr>
          <w:rFonts w:asciiTheme="minorHAnsi" w:hAnsiTheme="minorHAnsi"/>
          <w:b w:val="0"/>
          <w:i/>
          <w:color w:val="auto"/>
          <w:sz w:val="28"/>
        </w:rPr>
        <w:t xml:space="preserve">Increase </w:t>
      </w:r>
      <w:r w:rsidR="00007266" w:rsidRPr="00F43D8C">
        <w:rPr>
          <w:rFonts w:asciiTheme="minorHAnsi" w:hAnsiTheme="minorHAnsi"/>
          <w:b w:val="0"/>
          <w:i/>
          <w:color w:val="auto"/>
          <w:sz w:val="28"/>
        </w:rPr>
        <w:t>to Europe, Africa and Australia</w:t>
      </w:r>
      <w:r>
        <w:rPr>
          <w:rFonts w:asciiTheme="minorHAnsi" w:hAnsiTheme="minorHAnsi"/>
          <w:b w:val="0"/>
          <w:i/>
          <w:color w:val="auto"/>
          <w:sz w:val="28"/>
        </w:rPr>
        <w:t xml:space="preserve"> –</w:t>
      </w:r>
      <w:r w:rsidR="006918FD" w:rsidRPr="00F43D8C">
        <w:rPr>
          <w:rFonts w:asciiTheme="minorHAnsi" w:hAnsiTheme="minorHAnsi"/>
          <w:b w:val="0"/>
          <w:i/>
          <w:color w:val="auto"/>
          <w:sz w:val="28"/>
        </w:rPr>
        <w:t xml:space="preserve"> </w:t>
      </w:r>
      <w:r>
        <w:rPr>
          <w:rFonts w:asciiTheme="minorHAnsi" w:hAnsiTheme="minorHAnsi"/>
          <w:b w:val="0"/>
          <w:i/>
          <w:color w:val="auto"/>
          <w:sz w:val="28"/>
        </w:rPr>
        <w:t>Countering Decline to Asia</w:t>
      </w:r>
    </w:p>
    <w:p w:rsidR="00271EFA" w:rsidRDefault="00520464" w:rsidP="00D4269D">
      <w:pPr>
        <w:pStyle w:val="ListParagraph"/>
        <w:numPr>
          <w:ilvl w:val="0"/>
          <w:numId w:val="16"/>
        </w:numPr>
        <w:spacing w:after="0"/>
        <w:ind w:hanging="274"/>
      </w:pPr>
      <w:r>
        <w:t>D</w:t>
      </w:r>
      <w:r w:rsidR="00271EFA" w:rsidRPr="00F43D8C">
        <w:t xml:space="preserve">isruptive </w:t>
      </w:r>
      <w:r>
        <w:t>U.S. trade tariffs,</w:t>
      </w:r>
      <w:r w:rsidR="00271EFA" w:rsidRPr="00F43D8C">
        <w:t xml:space="preserve"> foreign countermeasures and </w:t>
      </w:r>
      <w:r>
        <w:t xml:space="preserve">uncertain </w:t>
      </w:r>
      <w:r w:rsidR="00271EFA" w:rsidRPr="00F43D8C">
        <w:t>trade policies</w:t>
      </w:r>
      <w:r>
        <w:t xml:space="preserve"> impacted trade in 2019.</w:t>
      </w:r>
    </w:p>
    <w:p w:rsidR="00271EFA" w:rsidRPr="00F43D8C" w:rsidRDefault="005B23D6" w:rsidP="00D4269D">
      <w:pPr>
        <w:pStyle w:val="ListParagraph"/>
        <w:numPr>
          <w:ilvl w:val="0"/>
          <w:numId w:val="16"/>
        </w:numPr>
        <w:spacing w:after="0"/>
        <w:ind w:hanging="274"/>
      </w:pPr>
      <w:r w:rsidRPr="00F43D8C">
        <w:t>E</w:t>
      </w:r>
      <w:r w:rsidR="00E83789" w:rsidRPr="00F43D8C">
        <w:t xml:space="preserve">xports </w:t>
      </w:r>
      <w:r w:rsidR="00433DBF" w:rsidRPr="00F43D8C">
        <w:t>to</w:t>
      </w:r>
      <w:r w:rsidR="00433DBF" w:rsidRPr="00271EFA">
        <w:rPr>
          <w:b/>
        </w:rPr>
        <w:t xml:space="preserve"> Asia</w:t>
      </w:r>
      <w:r w:rsidR="004C46FF">
        <w:t xml:space="preserve"> sank </w:t>
      </w:r>
      <w:r w:rsidR="00BE08C4" w:rsidRPr="00F43D8C">
        <w:t>5</w:t>
      </w:r>
      <w:r w:rsidR="001F5C09" w:rsidRPr="00F43D8C">
        <w:t>%</w:t>
      </w:r>
      <w:r w:rsidR="00BE08C4" w:rsidRPr="00F43D8C">
        <w:t xml:space="preserve"> </w:t>
      </w:r>
      <w:r w:rsidR="00192CA0" w:rsidRPr="00F43D8C">
        <w:t xml:space="preserve">between </w:t>
      </w:r>
      <w:r w:rsidR="00D43A30" w:rsidRPr="00F43D8C">
        <w:t>2018</w:t>
      </w:r>
      <w:r w:rsidR="00192CA0" w:rsidRPr="00F43D8C">
        <w:t xml:space="preserve"> and </w:t>
      </w:r>
      <w:r w:rsidR="00D43A30" w:rsidRPr="00F43D8C">
        <w:t>2019</w:t>
      </w:r>
      <w:r w:rsidR="00415D0D">
        <w:t xml:space="preserve">, to $8 billion. Exports to </w:t>
      </w:r>
      <w:r w:rsidR="00415D0D">
        <w:rPr>
          <w:b/>
        </w:rPr>
        <w:t>China</w:t>
      </w:r>
      <w:r w:rsidR="004C46FF">
        <w:t xml:space="preserve"> </w:t>
      </w:r>
      <w:r w:rsidR="00415D0D">
        <w:t>tumbled the most, with c</w:t>
      </w:r>
      <w:r w:rsidR="004C46FF">
        <w:t xml:space="preserve">ombined </w:t>
      </w:r>
      <w:r w:rsidR="00391E28">
        <w:t>demand for</w:t>
      </w:r>
      <w:r w:rsidR="00520464">
        <w:t xml:space="preserve"> </w:t>
      </w:r>
      <w:r w:rsidR="00271EFA" w:rsidRPr="00391E28">
        <w:rPr>
          <w:b/>
        </w:rPr>
        <w:t>ele</w:t>
      </w:r>
      <w:r w:rsidR="00391E28" w:rsidRPr="00391E28">
        <w:rPr>
          <w:b/>
        </w:rPr>
        <w:t>ctrical equipment, soybeans</w:t>
      </w:r>
      <w:r w:rsidR="00520464" w:rsidRPr="00391E28">
        <w:rPr>
          <w:b/>
        </w:rPr>
        <w:t>,</w:t>
      </w:r>
      <w:r w:rsidR="00271EFA" w:rsidRPr="00391E28">
        <w:rPr>
          <w:b/>
        </w:rPr>
        <w:t xml:space="preserve"> machinery</w:t>
      </w:r>
      <w:r w:rsidR="00520464" w:rsidRPr="00391E28">
        <w:rPr>
          <w:b/>
        </w:rPr>
        <w:t xml:space="preserve"> </w:t>
      </w:r>
      <w:r w:rsidR="00391E28" w:rsidRPr="00391E28">
        <w:t>and</w:t>
      </w:r>
      <w:r w:rsidR="00391E28" w:rsidRPr="00391E28">
        <w:rPr>
          <w:b/>
        </w:rPr>
        <w:t xml:space="preserve"> </w:t>
      </w:r>
      <w:r w:rsidR="00520464" w:rsidRPr="00391E28">
        <w:rPr>
          <w:b/>
        </w:rPr>
        <w:t>plastic</w:t>
      </w:r>
      <w:r w:rsidR="00271EFA" w:rsidRPr="00391E28">
        <w:rPr>
          <w:b/>
        </w:rPr>
        <w:t>s</w:t>
      </w:r>
      <w:r w:rsidR="00391E28">
        <w:t xml:space="preserve"> </w:t>
      </w:r>
      <w:r w:rsidR="00415D0D">
        <w:t>shri</w:t>
      </w:r>
      <w:r w:rsidR="00391E28">
        <w:t>nk</w:t>
      </w:r>
      <w:r w:rsidR="00415D0D">
        <w:t>ing</w:t>
      </w:r>
      <w:r w:rsidR="00391E28">
        <w:t xml:space="preserve"> by </w:t>
      </w:r>
      <w:r w:rsidR="004C46FF">
        <w:t>$205</w:t>
      </w:r>
      <w:r w:rsidR="00391E28">
        <w:t xml:space="preserve"> million. </w:t>
      </w:r>
    </w:p>
    <w:p w:rsidR="00121B5D" w:rsidRPr="00F43D8C" w:rsidRDefault="00121B5D" w:rsidP="00121B5D">
      <w:pPr>
        <w:pStyle w:val="ListParagraph"/>
        <w:numPr>
          <w:ilvl w:val="0"/>
          <w:numId w:val="16"/>
        </w:numPr>
        <w:spacing w:after="0"/>
        <w:ind w:hanging="274"/>
      </w:pPr>
      <w:r w:rsidRPr="00F43D8C">
        <w:t>Sales to</w:t>
      </w:r>
      <w:r w:rsidRPr="00F43D8C">
        <w:rPr>
          <w:b/>
        </w:rPr>
        <w:t xml:space="preserve"> North America</w:t>
      </w:r>
      <w:r w:rsidRPr="00F43D8C">
        <w:t xml:space="preserve"> were unchanged: the 4% gain to </w:t>
      </w:r>
      <w:r w:rsidRPr="00F43D8C">
        <w:rPr>
          <w:b/>
        </w:rPr>
        <w:t>Mexico</w:t>
      </w:r>
      <w:r w:rsidRPr="00F43D8C">
        <w:t xml:space="preserve"> balanced the 2% dip to </w:t>
      </w:r>
      <w:r w:rsidRPr="00F43D8C">
        <w:rPr>
          <w:b/>
        </w:rPr>
        <w:t>Canada</w:t>
      </w:r>
      <w:r w:rsidRPr="00F43D8C">
        <w:t>.</w:t>
      </w:r>
      <w:r w:rsidRPr="00F43D8C">
        <w:rPr>
          <w:b/>
        </w:rPr>
        <w:t xml:space="preserve"> </w:t>
      </w:r>
    </w:p>
    <w:p w:rsidR="00DD38FF" w:rsidRPr="00F43D8C" w:rsidRDefault="000C7D1B" w:rsidP="006B2003">
      <w:pPr>
        <w:pStyle w:val="ListParagraph"/>
        <w:numPr>
          <w:ilvl w:val="0"/>
          <w:numId w:val="16"/>
        </w:numPr>
        <w:spacing w:after="0"/>
        <w:ind w:hanging="274"/>
        <w:rPr>
          <w:b/>
        </w:rPr>
      </w:pPr>
      <w:r w:rsidRPr="00F43D8C">
        <w:t xml:space="preserve">Exports </w:t>
      </w:r>
      <w:r w:rsidR="005F5CDA" w:rsidRPr="00F43D8C">
        <w:t xml:space="preserve">were stable </w:t>
      </w:r>
      <w:r w:rsidRPr="00F43D8C">
        <w:t xml:space="preserve">to the </w:t>
      </w:r>
      <w:r w:rsidRPr="00F43D8C">
        <w:rPr>
          <w:b/>
        </w:rPr>
        <w:t>EU</w:t>
      </w:r>
      <w:r w:rsidR="005F5CDA" w:rsidRPr="00F43D8C">
        <w:t xml:space="preserve"> and </w:t>
      </w:r>
      <w:r w:rsidR="000A409A" w:rsidRPr="00F43D8C">
        <w:t>grew</w:t>
      </w:r>
      <w:r w:rsidR="005F5CDA" w:rsidRPr="00F43D8C">
        <w:t xml:space="preserve"> 10% to </w:t>
      </w:r>
      <w:r w:rsidR="005F5CDA" w:rsidRPr="00F43D8C">
        <w:rPr>
          <w:b/>
        </w:rPr>
        <w:t>other</w:t>
      </w:r>
      <w:r w:rsidR="00D200CF" w:rsidRPr="00F43D8C">
        <w:rPr>
          <w:b/>
        </w:rPr>
        <w:t xml:space="preserve"> European</w:t>
      </w:r>
      <w:r w:rsidR="005F5CDA" w:rsidRPr="00F43D8C">
        <w:t xml:space="preserve"> </w:t>
      </w:r>
      <w:r w:rsidR="005F5CDA" w:rsidRPr="00F43D8C">
        <w:rPr>
          <w:b/>
        </w:rPr>
        <w:t xml:space="preserve">markets </w:t>
      </w:r>
      <w:r w:rsidR="005F5CDA" w:rsidRPr="00F43D8C">
        <w:t>(</w:t>
      </w:r>
      <w:r w:rsidR="00AA7B6C">
        <w:t>such as</w:t>
      </w:r>
      <w:r w:rsidR="005F5CDA" w:rsidRPr="00F43D8C">
        <w:t xml:space="preserve"> </w:t>
      </w:r>
      <w:r w:rsidR="005F5CDA" w:rsidRPr="00F43D8C">
        <w:rPr>
          <w:b/>
        </w:rPr>
        <w:t>Turkey</w:t>
      </w:r>
      <w:r w:rsidR="005F5CDA" w:rsidRPr="00F43D8C">
        <w:t>,</w:t>
      </w:r>
      <w:r w:rsidR="005F5CDA" w:rsidRPr="00F43D8C">
        <w:rPr>
          <w:b/>
        </w:rPr>
        <w:t xml:space="preserve"> Uzbekistan</w:t>
      </w:r>
      <w:r w:rsidR="005F5CDA" w:rsidRPr="00F43D8C">
        <w:t xml:space="preserve"> and</w:t>
      </w:r>
      <w:r w:rsidR="005F5CDA" w:rsidRPr="00F43D8C">
        <w:rPr>
          <w:b/>
        </w:rPr>
        <w:t xml:space="preserve"> Kazakhstan</w:t>
      </w:r>
      <w:r w:rsidR="005F5CDA" w:rsidRPr="00F43D8C">
        <w:t>)</w:t>
      </w:r>
      <w:r w:rsidR="00AA7B6C">
        <w:t>. S</w:t>
      </w:r>
      <w:r w:rsidR="00AA7B6C" w:rsidRPr="00F43D8C">
        <w:t xml:space="preserve">olid growth to </w:t>
      </w:r>
      <w:r w:rsidR="00AA7B6C" w:rsidRPr="00F43D8C">
        <w:rPr>
          <w:b/>
        </w:rPr>
        <w:t>Germany</w:t>
      </w:r>
      <w:r w:rsidR="00AA7B6C" w:rsidRPr="00F43D8C">
        <w:t xml:space="preserve">, </w:t>
      </w:r>
      <w:r w:rsidR="00AA7B6C" w:rsidRPr="00F43D8C">
        <w:rPr>
          <w:b/>
        </w:rPr>
        <w:t>Italy</w:t>
      </w:r>
      <w:r w:rsidR="00AA7B6C" w:rsidRPr="00F43D8C">
        <w:t xml:space="preserve"> and </w:t>
      </w:r>
      <w:r w:rsidR="00AA7B6C" w:rsidRPr="00F43D8C">
        <w:rPr>
          <w:b/>
        </w:rPr>
        <w:t>France</w:t>
      </w:r>
      <w:r w:rsidR="00AA7B6C" w:rsidRPr="00F43D8C">
        <w:t xml:space="preserve"> masked declines to the </w:t>
      </w:r>
      <w:r w:rsidR="00AA7B6C" w:rsidRPr="00F43D8C">
        <w:rPr>
          <w:b/>
        </w:rPr>
        <w:t>U.K.</w:t>
      </w:r>
      <w:r w:rsidR="00AA7B6C" w:rsidRPr="00F43D8C">
        <w:t xml:space="preserve">, </w:t>
      </w:r>
      <w:r w:rsidR="00AA7B6C" w:rsidRPr="00F43D8C">
        <w:rPr>
          <w:b/>
        </w:rPr>
        <w:t xml:space="preserve">Poland </w:t>
      </w:r>
      <w:r w:rsidR="00AA7B6C" w:rsidRPr="00F43D8C">
        <w:t>and</w:t>
      </w:r>
      <w:r w:rsidR="00AA7B6C" w:rsidRPr="00F43D8C">
        <w:rPr>
          <w:b/>
        </w:rPr>
        <w:t xml:space="preserve"> Belgium</w:t>
      </w:r>
      <w:r w:rsidR="00AA7B6C">
        <w:rPr>
          <w:b/>
        </w:rPr>
        <w:t>.</w:t>
      </w:r>
    </w:p>
    <w:p w:rsidR="00121B5D" w:rsidRPr="00F43D8C" w:rsidRDefault="00121B5D" w:rsidP="00697EC5">
      <w:pPr>
        <w:pStyle w:val="ListParagraph"/>
        <w:numPr>
          <w:ilvl w:val="0"/>
          <w:numId w:val="16"/>
        </w:numPr>
        <w:spacing w:after="0"/>
        <w:ind w:hanging="274"/>
        <w:rPr>
          <w:b/>
        </w:rPr>
      </w:pPr>
      <w:r w:rsidRPr="00F43D8C">
        <w:rPr>
          <w:b/>
        </w:rPr>
        <w:t>Australia</w:t>
      </w:r>
      <w:r w:rsidR="00F46882">
        <w:t xml:space="preserve"> leaped into the state’s t</w:t>
      </w:r>
      <w:r w:rsidR="00D200CF" w:rsidRPr="00F43D8C">
        <w:t>op 10</w:t>
      </w:r>
      <w:r w:rsidR="00AA7B6C">
        <w:t xml:space="preserve"> </w:t>
      </w:r>
      <w:r w:rsidR="00D200CF" w:rsidRPr="00F43D8C">
        <w:t xml:space="preserve">markets, as </w:t>
      </w:r>
      <w:r w:rsidR="00D200CF" w:rsidRPr="00F43D8C">
        <w:rPr>
          <w:b/>
        </w:rPr>
        <w:t>the Philippines</w:t>
      </w:r>
      <w:r w:rsidR="00D200CF" w:rsidRPr="00F43D8C">
        <w:t xml:space="preserve"> (down 9%) dropped</w:t>
      </w:r>
      <w:r w:rsidR="00BD4BBB">
        <w:t xml:space="preserve"> from 10</w:t>
      </w:r>
      <w:r w:rsidR="00BD4BBB" w:rsidRPr="00BD4BBB">
        <w:rPr>
          <w:vertAlign w:val="superscript"/>
        </w:rPr>
        <w:t>th</w:t>
      </w:r>
      <w:r w:rsidR="00D200CF" w:rsidRPr="00F43D8C">
        <w:t xml:space="preserve"> to 14</w:t>
      </w:r>
      <w:r w:rsidR="00D200CF" w:rsidRPr="00F43D8C">
        <w:rPr>
          <w:vertAlign w:val="superscript"/>
        </w:rPr>
        <w:t>th</w:t>
      </w:r>
      <w:r w:rsidRPr="00F43D8C">
        <w:t>.</w:t>
      </w:r>
      <w:r w:rsidR="00717F98">
        <w:t xml:space="preserve"> Other</w:t>
      </w:r>
      <w:r w:rsidR="009106E6">
        <w:t>wise, there was minimal change in the ranking</w:t>
      </w:r>
      <w:r w:rsidR="00F46882">
        <w:t>s</w:t>
      </w:r>
      <w:r w:rsidR="009106E6">
        <w:t xml:space="preserve"> of</w:t>
      </w:r>
      <w:r w:rsidR="00717F98">
        <w:t xml:space="preserve"> the state’s other</w:t>
      </w:r>
      <w:r w:rsidR="009106E6">
        <w:t xml:space="preserve"> top 10 markets</w:t>
      </w:r>
      <w:r w:rsidR="00717F98">
        <w:t>.</w:t>
      </w:r>
    </w:p>
    <w:p w:rsidR="002503A5" w:rsidRPr="002503A5" w:rsidRDefault="004D23D5" w:rsidP="002503A5">
      <w:pPr>
        <w:pStyle w:val="ListParagraph"/>
        <w:numPr>
          <w:ilvl w:val="0"/>
          <w:numId w:val="16"/>
        </w:numPr>
        <w:spacing w:after="0"/>
        <w:ind w:hanging="274"/>
        <w:rPr>
          <w:b/>
        </w:rPr>
      </w:pPr>
      <w:r>
        <w:t>O</w:t>
      </w:r>
      <w:r w:rsidR="00BD4BBB">
        <w:t xml:space="preserve">utreach in </w:t>
      </w:r>
      <w:r w:rsidR="006918FD" w:rsidRPr="00F43D8C">
        <w:rPr>
          <w:b/>
        </w:rPr>
        <w:t>Morocco, Egypt</w:t>
      </w:r>
      <w:r w:rsidR="006918FD" w:rsidRPr="00F43D8C">
        <w:t xml:space="preserve">, </w:t>
      </w:r>
      <w:r w:rsidR="006918FD" w:rsidRPr="00F43D8C">
        <w:rPr>
          <w:b/>
        </w:rPr>
        <w:t>South Africa</w:t>
      </w:r>
      <w:r w:rsidR="006918FD" w:rsidRPr="00F43D8C">
        <w:t xml:space="preserve"> and </w:t>
      </w:r>
      <w:r w:rsidR="006918FD" w:rsidRPr="00F43D8C">
        <w:rPr>
          <w:b/>
        </w:rPr>
        <w:t>Tunisia</w:t>
      </w:r>
      <w:r w:rsidR="006918FD" w:rsidRPr="00F43D8C">
        <w:t xml:space="preserve"> shaped trends in </w:t>
      </w:r>
      <w:r w:rsidR="006918FD" w:rsidRPr="00F43D8C">
        <w:rPr>
          <w:b/>
        </w:rPr>
        <w:t>Africa</w:t>
      </w:r>
      <w:r w:rsidR="00271EFA">
        <w:t xml:space="preserve"> ($225 million, up 26%).</w:t>
      </w:r>
      <w:r w:rsidR="002503A5">
        <w:t xml:space="preserve"> </w:t>
      </w:r>
    </w:p>
    <w:p w:rsidR="00271EFA" w:rsidRPr="002503A5" w:rsidRDefault="00520464" w:rsidP="00F82889">
      <w:pPr>
        <w:pStyle w:val="ListParagraph"/>
        <w:numPr>
          <w:ilvl w:val="0"/>
          <w:numId w:val="16"/>
        </w:numPr>
        <w:spacing w:after="0"/>
        <w:ind w:hanging="274"/>
        <w:rPr>
          <w:b/>
        </w:rPr>
      </w:pPr>
      <w:r>
        <w:t>Other strong performers included</w:t>
      </w:r>
      <w:r w:rsidR="00271EFA">
        <w:t xml:space="preserve"> </w:t>
      </w:r>
      <w:r w:rsidR="00271EFA" w:rsidRPr="002503A5">
        <w:rPr>
          <w:b/>
        </w:rPr>
        <w:t>Costa Rica</w:t>
      </w:r>
      <w:r w:rsidR="00271EFA">
        <w:t xml:space="preserve"> (up 22%) i</w:t>
      </w:r>
      <w:r w:rsidR="00121B5D" w:rsidRPr="00F43D8C">
        <w:t xml:space="preserve">n </w:t>
      </w:r>
      <w:r w:rsidR="00A30F95" w:rsidRPr="002503A5">
        <w:rPr>
          <w:b/>
        </w:rPr>
        <w:t>Central &amp; South America</w:t>
      </w:r>
      <w:r w:rsidR="007C035E" w:rsidRPr="00F43D8C">
        <w:t xml:space="preserve"> ($944 million, down 13</w:t>
      </w:r>
      <w:r w:rsidR="001F5C09" w:rsidRPr="00F43D8C">
        <w:t>%</w:t>
      </w:r>
      <w:r w:rsidR="00271EFA">
        <w:t xml:space="preserve">) and </w:t>
      </w:r>
      <w:r w:rsidR="00271EFA" w:rsidRPr="002503A5">
        <w:rPr>
          <w:b/>
        </w:rPr>
        <w:t>Saudi Arabia</w:t>
      </w:r>
      <w:r w:rsidR="00271EFA" w:rsidRPr="00F43D8C">
        <w:t xml:space="preserve"> </w:t>
      </w:r>
      <w:r w:rsidR="00271EFA">
        <w:t xml:space="preserve">(up 14%) in the </w:t>
      </w:r>
      <w:r w:rsidR="00A30F95" w:rsidRPr="002503A5">
        <w:rPr>
          <w:b/>
        </w:rPr>
        <w:t>Middle East</w:t>
      </w:r>
      <w:r w:rsidR="004E209A" w:rsidRPr="00F43D8C">
        <w:t xml:space="preserve"> ($416 million, down 4</w:t>
      </w:r>
      <w:r w:rsidR="00271EFA">
        <w:t>%).</w:t>
      </w:r>
    </w:p>
    <w:p w:rsidR="007C165F" w:rsidRPr="002503A5" w:rsidRDefault="007C165F" w:rsidP="00F82889">
      <w:pPr>
        <w:spacing w:before="80" w:after="0"/>
        <w:rPr>
          <w:rStyle w:val="Heading4Char"/>
          <w:color w:val="auto"/>
        </w:rPr>
      </w:pPr>
      <w:r w:rsidRPr="002503A5">
        <w:rPr>
          <w:rStyle w:val="Heading4Char"/>
          <w:color w:val="auto"/>
        </w:rPr>
        <w:t xml:space="preserve">Figure </w:t>
      </w:r>
      <w:r w:rsidR="00E36364" w:rsidRPr="002503A5">
        <w:rPr>
          <w:rStyle w:val="Heading4Char"/>
          <w:color w:val="auto"/>
        </w:rPr>
        <w:fldChar w:fldCharType="begin"/>
      </w:r>
      <w:r w:rsidR="00E36364" w:rsidRPr="002503A5">
        <w:rPr>
          <w:rStyle w:val="Heading4Char"/>
          <w:color w:val="auto"/>
        </w:rPr>
        <w:instrText xml:space="preserve"> SEQ Figure \* ARABIC </w:instrText>
      </w:r>
      <w:r w:rsidR="00E36364" w:rsidRPr="002503A5">
        <w:rPr>
          <w:rStyle w:val="Heading4Char"/>
          <w:color w:val="auto"/>
        </w:rPr>
        <w:fldChar w:fldCharType="separate"/>
      </w:r>
      <w:r w:rsidR="009D1486" w:rsidRPr="002503A5">
        <w:rPr>
          <w:rStyle w:val="Heading4Char"/>
          <w:noProof/>
          <w:color w:val="auto"/>
        </w:rPr>
        <w:t>2</w:t>
      </w:r>
      <w:r w:rsidR="00E36364" w:rsidRPr="002503A5">
        <w:rPr>
          <w:rStyle w:val="Heading4Char"/>
          <w:color w:val="auto"/>
        </w:rPr>
        <w:fldChar w:fldCharType="end"/>
      </w:r>
      <w:r w:rsidR="00C84D0E" w:rsidRPr="002503A5">
        <w:rPr>
          <w:rStyle w:val="Heading4Char"/>
          <w:color w:val="auto"/>
        </w:rPr>
        <w:t xml:space="preserve">. </w:t>
      </w:r>
      <w:r w:rsidR="00542EF2" w:rsidRPr="002503A5">
        <w:rPr>
          <w:rStyle w:val="Heading4Char"/>
          <w:color w:val="auto"/>
        </w:rPr>
        <w:t>Exports and Trends for</w:t>
      </w:r>
      <w:r w:rsidR="0038665A" w:rsidRPr="002503A5">
        <w:rPr>
          <w:rStyle w:val="Heading4Char"/>
          <w:color w:val="auto"/>
        </w:rPr>
        <w:t xml:space="preserve"> Minnesota’s Top 10 Markets, </w:t>
      </w:r>
      <w:r w:rsidR="00D43A30" w:rsidRPr="002503A5">
        <w:rPr>
          <w:rStyle w:val="Heading4Char"/>
          <w:color w:val="auto"/>
        </w:rPr>
        <w:t>2019</w:t>
      </w:r>
    </w:p>
    <w:p w:rsidR="00B372BF" w:rsidRPr="00F43D8C" w:rsidRDefault="00DE7AA5" w:rsidP="00B43FEF">
      <w:pPr>
        <w:spacing w:after="0"/>
        <w:jc w:val="center"/>
      </w:pPr>
      <w:r w:rsidRPr="00F43D8C">
        <w:rPr>
          <w:noProof/>
        </w:rPr>
        <w:drawing>
          <wp:inline distT="0" distB="0" distL="0" distR="0">
            <wp:extent cx="6348237" cy="1844040"/>
            <wp:effectExtent l="0" t="0" r="0" b="3810"/>
            <wp:docPr id="5" name="Picture 5" descr="Country (Rank)  Exports (billions)  Percent Change, 2018 to 2019&#10;WORLD  $22.2  -2%&#10;Canada (1)   $4.7  -2%&#10;Mexico (2)   $2.5  -9%&#10;China (3)   $2.4  4%&#10;Japan (4)   $1.5  1%&#10;Germany (5)   $1.1  5%&#10;Korea (6)   $1.0  -3%&#10;Singapore (7)   $0.6  -6%&#10;Belgium (8)   $0.6  -3%&#10;U.K. (9)   $0.6  -10%&#10;Ireland (10)   $0.5  15%&#10;Other  $6.5  -3%&#10;"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roups\CARD\AEO\Thu-Mai\Tableau, Viz\MTO Tableau files\Export Stats Reports\Newsletter &amp; Fact Sheet charts\2019 Top10 Countr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70272" cy="1850441"/>
                    </a:xfrm>
                    <a:prstGeom prst="rect">
                      <a:avLst/>
                    </a:prstGeom>
                    <a:noFill/>
                    <a:ln>
                      <a:noFill/>
                    </a:ln>
                  </pic:spPr>
                </pic:pic>
              </a:graphicData>
            </a:graphic>
          </wp:inline>
        </w:drawing>
      </w:r>
    </w:p>
    <w:p w:rsidR="00AD20E9" w:rsidRPr="00F43D8C" w:rsidRDefault="005F2A2C" w:rsidP="00DE7AA5">
      <w:pPr>
        <w:pStyle w:val="Heading2"/>
        <w:tabs>
          <w:tab w:val="left" w:pos="360"/>
        </w:tabs>
        <w:spacing w:before="0" w:line="271" w:lineRule="auto"/>
        <w:ind w:left="360" w:right="18" w:hanging="360"/>
        <w:rPr>
          <w:color w:val="auto"/>
        </w:rPr>
        <w:sectPr w:rsidR="00AD20E9" w:rsidRPr="00F43D8C" w:rsidSect="00EF688D">
          <w:footnotePr>
            <w:numRestart w:val="eachSect"/>
          </w:footnotePr>
          <w:endnotePr>
            <w:numFmt w:val="decimal"/>
          </w:endnotePr>
          <w:type w:val="continuous"/>
          <w:pgSz w:w="12240" w:h="15840" w:code="1"/>
          <w:pgMar w:top="864" w:right="1152" w:bottom="864" w:left="1152" w:header="576" w:footer="576" w:gutter="0"/>
          <w:cols w:space="720"/>
          <w:titlePg/>
          <w:docGrid w:linePitch="299"/>
        </w:sectPr>
      </w:pPr>
      <w:r w:rsidRPr="00F43D8C">
        <w:rPr>
          <w:rFonts w:asciiTheme="minorHAnsi" w:hAnsiTheme="minorHAnsi"/>
          <w:b w:val="0"/>
          <w:i/>
          <w:color w:val="auto"/>
          <w:sz w:val="28"/>
        </w:rPr>
        <w:lastRenderedPageBreak/>
        <w:t xml:space="preserve">Mineral Fuels, </w:t>
      </w:r>
      <w:r w:rsidR="00BF3ADC" w:rsidRPr="00F43D8C">
        <w:rPr>
          <w:rFonts w:asciiTheme="minorHAnsi" w:hAnsiTheme="minorHAnsi"/>
          <w:b w:val="0"/>
          <w:i/>
          <w:color w:val="auto"/>
          <w:sz w:val="28"/>
        </w:rPr>
        <w:t>Optic/</w:t>
      </w:r>
      <w:r w:rsidR="008C2D17" w:rsidRPr="00F43D8C">
        <w:rPr>
          <w:rFonts w:asciiTheme="minorHAnsi" w:hAnsiTheme="minorHAnsi"/>
          <w:b w:val="0"/>
          <w:i/>
          <w:color w:val="auto"/>
          <w:sz w:val="28"/>
        </w:rPr>
        <w:t xml:space="preserve">Medical, </w:t>
      </w:r>
      <w:r w:rsidR="00BF3ADC" w:rsidRPr="00F43D8C">
        <w:rPr>
          <w:rFonts w:asciiTheme="minorHAnsi" w:hAnsiTheme="minorHAnsi"/>
          <w:b w:val="0"/>
          <w:i/>
          <w:color w:val="auto"/>
          <w:sz w:val="28"/>
        </w:rPr>
        <w:t>Pharmaceuticals</w:t>
      </w:r>
      <w:r w:rsidRPr="00F43D8C">
        <w:rPr>
          <w:rFonts w:asciiTheme="minorHAnsi" w:hAnsiTheme="minorHAnsi"/>
          <w:b w:val="0"/>
          <w:i/>
          <w:color w:val="auto"/>
          <w:sz w:val="28"/>
        </w:rPr>
        <w:t>, Glass and Ammunition</w:t>
      </w:r>
      <w:r w:rsidR="00BF3ADC" w:rsidRPr="00F43D8C">
        <w:rPr>
          <w:rFonts w:asciiTheme="minorHAnsi" w:hAnsiTheme="minorHAnsi"/>
          <w:b w:val="0"/>
          <w:i/>
          <w:color w:val="auto"/>
          <w:sz w:val="28"/>
        </w:rPr>
        <w:t xml:space="preserve"> Lead</w:t>
      </w:r>
      <w:r w:rsidR="00686D73" w:rsidRPr="00F43D8C">
        <w:rPr>
          <w:rFonts w:asciiTheme="minorHAnsi" w:hAnsiTheme="minorHAnsi"/>
          <w:b w:val="0"/>
          <w:i/>
          <w:color w:val="auto"/>
          <w:sz w:val="28"/>
        </w:rPr>
        <w:t xml:space="preserve"> </w:t>
      </w:r>
      <w:r w:rsidR="00BF3ADC" w:rsidRPr="00F43D8C">
        <w:rPr>
          <w:rFonts w:asciiTheme="minorHAnsi" w:hAnsiTheme="minorHAnsi"/>
          <w:b w:val="0"/>
          <w:i/>
          <w:color w:val="auto"/>
          <w:sz w:val="28"/>
        </w:rPr>
        <w:t>Gains</w:t>
      </w:r>
    </w:p>
    <w:p w:rsidR="002D4A79" w:rsidRPr="00F43D8C" w:rsidRDefault="00EB532B" w:rsidP="004B3151">
      <w:pPr>
        <w:pStyle w:val="ListParagraph"/>
        <w:numPr>
          <w:ilvl w:val="0"/>
          <w:numId w:val="7"/>
        </w:numPr>
        <w:spacing w:before="60" w:after="0" w:line="271" w:lineRule="auto"/>
        <w:ind w:left="360" w:right="18"/>
        <w:rPr>
          <w:b/>
          <w:sz w:val="24"/>
        </w:rPr>
      </w:pPr>
      <w:r w:rsidRPr="00F43D8C">
        <w:rPr>
          <w:b/>
        </w:rPr>
        <w:t>O</w:t>
      </w:r>
      <w:r w:rsidR="00BB3B1B" w:rsidRPr="00F43D8C">
        <w:rPr>
          <w:b/>
        </w:rPr>
        <w:t>ptic</w:t>
      </w:r>
      <w:r w:rsidR="00C96EAD" w:rsidRPr="00F43D8C">
        <w:rPr>
          <w:b/>
        </w:rPr>
        <w:t>/</w:t>
      </w:r>
      <w:r w:rsidR="00AE0192" w:rsidRPr="00F43D8C">
        <w:rPr>
          <w:b/>
        </w:rPr>
        <w:t xml:space="preserve">medical </w:t>
      </w:r>
      <w:r w:rsidR="004C58F4" w:rsidRPr="00F43D8C">
        <w:rPr>
          <w:b/>
        </w:rPr>
        <w:t>goods</w:t>
      </w:r>
      <w:r w:rsidR="004C58F4" w:rsidRPr="00F43D8C">
        <w:t xml:space="preserve"> </w:t>
      </w:r>
      <w:r w:rsidR="0020462B">
        <w:t>sales surged</w:t>
      </w:r>
      <w:r w:rsidR="00846B2F" w:rsidRPr="00F43D8C">
        <w:t xml:space="preserve"> </w:t>
      </w:r>
      <w:r w:rsidR="00B75E73" w:rsidRPr="00F43D8C">
        <w:t>to</w:t>
      </w:r>
      <w:r w:rsidRPr="00F43D8C">
        <w:rPr>
          <w:b/>
        </w:rPr>
        <w:t xml:space="preserve"> </w:t>
      </w:r>
      <w:r w:rsidR="00922F72" w:rsidRPr="00F43D8C">
        <w:rPr>
          <w:b/>
        </w:rPr>
        <w:t xml:space="preserve">China </w:t>
      </w:r>
      <w:r w:rsidR="00922F72" w:rsidRPr="00F43D8C">
        <w:t xml:space="preserve">and </w:t>
      </w:r>
      <w:r w:rsidR="002D4A79" w:rsidRPr="00F43D8C">
        <w:rPr>
          <w:b/>
        </w:rPr>
        <w:t>Europe</w:t>
      </w:r>
      <w:r w:rsidR="00922F72" w:rsidRPr="00F43D8C">
        <w:t xml:space="preserve"> </w:t>
      </w:r>
      <w:r w:rsidR="006918FD" w:rsidRPr="00F43D8C">
        <w:t>(including to</w:t>
      </w:r>
      <w:r w:rsidR="00922F72" w:rsidRPr="00F43D8C">
        <w:rPr>
          <w:b/>
        </w:rPr>
        <w:t xml:space="preserve"> </w:t>
      </w:r>
      <w:r w:rsidR="00464C8D" w:rsidRPr="00F43D8C">
        <w:rPr>
          <w:b/>
        </w:rPr>
        <w:t xml:space="preserve">France, Turkey, the Netherlands </w:t>
      </w:r>
      <w:r w:rsidR="00464C8D" w:rsidRPr="00F43D8C">
        <w:t>an</w:t>
      </w:r>
      <w:r w:rsidRPr="00F43D8C">
        <w:t>d</w:t>
      </w:r>
      <w:r w:rsidRPr="00F43D8C">
        <w:rPr>
          <w:b/>
        </w:rPr>
        <w:t xml:space="preserve"> Ireland</w:t>
      </w:r>
      <w:r w:rsidR="00922F72" w:rsidRPr="00F43D8C">
        <w:t xml:space="preserve">). </w:t>
      </w:r>
      <w:r w:rsidR="006918FD" w:rsidRPr="00F43D8C">
        <w:t>Increased e</w:t>
      </w:r>
      <w:r w:rsidR="001406DC" w:rsidRPr="00F43D8C">
        <w:t>xports of</w:t>
      </w:r>
      <w:r w:rsidRPr="00F43D8C">
        <w:t xml:space="preserve"> </w:t>
      </w:r>
      <w:r w:rsidR="00922F72" w:rsidRPr="00F43D8C">
        <w:rPr>
          <w:b/>
        </w:rPr>
        <w:t>o</w:t>
      </w:r>
      <w:r w:rsidR="00235FD0">
        <w:rPr>
          <w:b/>
        </w:rPr>
        <w:t>rthopedic/artificial</w:t>
      </w:r>
      <w:r w:rsidR="000B2D86" w:rsidRPr="00F43D8C">
        <w:rPr>
          <w:b/>
        </w:rPr>
        <w:t xml:space="preserve"> body parts</w:t>
      </w:r>
      <w:r w:rsidR="00AA5510">
        <w:rPr>
          <w:b/>
        </w:rPr>
        <w:t>,</w:t>
      </w:r>
      <w:r w:rsidR="00922F72" w:rsidRPr="00F43D8C">
        <w:t xml:space="preserve"> </w:t>
      </w:r>
      <w:r w:rsidR="00922F72" w:rsidRPr="00F43D8C">
        <w:rPr>
          <w:b/>
        </w:rPr>
        <w:t xml:space="preserve">medical/surgical </w:t>
      </w:r>
      <w:r w:rsidR="00AA5510">
        <w:rPr>
          <w:b/>
        </w:rPr>
        <w:t xml:space="preserve">instruments </w:t>
      </w:r>
      <w:r w:rsidR="00F61778" w:rsidRPr="00F43D8C">
        <w:t xml:space="preserve">and </w:t>
      </w:r>
      <w:r w:rsidR="00F61778" w:rsidRPr="00F43D8C">
        <w:rPr>
          <w:b/>
        </w:rPr>
        <w:t xml:space="preserve">testing </w:t>
      </w:r>
      <w:r w:rsidR="00922F72" w:rsidRPr="00F43D8C">
        <w:rPr>
          <w:b/>
        </w:rPr>
        <w:t>instruments</w:t>
      </w:r>
      <w:r w:rsidR="00AA5510">
        <w:t xml:space="preserve"> countered</w:t>
      </w:r>
      <w:r w:rsidR="00411E0D" w:rsidRPr="00F43D8C">
        <w:t xml:space="preserve"> </w:t>
      </w:r>
      <w:r w:rsidR="00AA5510">
        <w:t>lower</w:t>
      </w:r>
      <w:r w:rsidR="00411E0D" w:rsidRPr="00F43D8C">
        <w:t xml:space="preserve"> </w:t>
      </w:r>
      <w:r w:rsidR="00411E0D" w:rsidRPr="00F43D8C">
        <w:rPr>
          <w:b/>
        </w:rPr>
        <w:t xml:space="preserve">measuring </w:t>
      </w:r>
      <w:r w:rsidR="00235FD0">
        <w:t xml:space="preserve">and </w:t>
      </w:r>
      <w:r w:rsidR="00411E0D" w:rsidRPr="00F43D8C">
        <w:rPr>
          <w:b/>
        </w:rPr>
        <w:t>regulating instruments</w:t>
      </w:r>
      <w:r w:rsidR="000B2D86" w:rsidRPr="00F43D8C">
        <w:rPr>
          <w:b/>
        </w:rPr>
        <w:t>,</w:t>
      </w:r>
      <w:r w:rsidR="00411E0D" w:rsidRPr="00F43D8C">
        <w:t xml:space="preserve"> </w:t>
      </w:r>
      <w:r w:rsidR="00411E0D" w:rsidRPr="00F43D8C">
        <w:rPr>
          <w:b/>
        </w:rPr>
        <w:t>optical fibers</w:t>
      </w:r>
      <w:r w:rsidR="00AA5510">
        <w:rPr>
          <w:b/>
        </w:rPr>
        <w:t xml:space="preserve"> </w:t>
      </w:r>
      <w:r w:rsidR="00AA5510" w:rsidRPr="00AA5510">
        <w:t xml:space="preserve">and </w:t>
      </w:r>
      <w:r w:rsidR="00AA5510">
        <w:rPr>
          <w:b/>
        </w:rPr>
        <w:t xml:space="preserve">breathing equipment </w:t>
      </w:r>
      <w:r w:rsidR="0020462B">
        <w:t>exports</w:t>
      </w:r>
      <w:r w:rsidR="00AA5510">
        <w:t>.</w:t>
      </w:r>
    </w:p>
    <w:p w:rsidR="002D4A79" w:rsidRPr="00F43D8C" w:rsidRDefault="00642531" w:rsidP="006010C4">
      <w:pPr>
        <w:pStyle w:val="ListParagraph"/>
        <w:numPr>
          <w:ilvl w:val="0"/>
          <w:numId w:val="7"/>
        </w:numPr>
        <w:spacing w:before="60" w:after="0" w:line="271" w:lineRule="auto"/>
        <w:ind w:left="360" w:right="18"/>
        <w:rPr>
          <w:b/>
          <w:sz w:val="24"/>
        </w:rPr>
      </w:pPr>
      <w:r w:rsidRPr="00F43D8C">
        <w:rPr>
          <w:b/>
        </w:rPr>
        <w:t xml:space="preserve">Pharmaceutical </w:t>
      </w:r>
      <w:r w:rsidR="005C7F9E" w:rsidRPr="00F43D8C">
        <w:t>demand</w:t>
      </w:r>
      <w:r w:rsidRPr="00F43D8C">
        <w:rPr>
          <w:b/>
        </w:rPr>
        <w:t xml:space="preserve"> </w:t>
      </w:r>
      <w:r w:rsidRPr="00F43D8C">
        <w:t>jumped 7%</w:t>
      </w:r>
      <w:r w:rsidR="006918FD" w:rsidRPr="00F43D8C">
        <w:t>,</w:t>
      </w:r>
      <w:r w:rsidRPr="00F43D8C">
        <w:t xml:space="preserve"> propelled by </w:t>
      </w:r>
      <w:r w:rsidRPr="00F43D8C">
        <w:rPr>
          <w:b/>
        </w:rPr>
        <w:t xml:space="preserve">China </w:t>
      </w:r>
      <w:r w:rsidRPr="00F43D8C">
        <w:t xml:space="preserve">($250 million, up 10%) and </w:t>
      </w:r>
      <w:r w:rsidRPr="00F43D8C">
        <w:rPr>
          <w:b/>
        </w:rPr>
        <w:t>the Netherlands</w:t>
      </w:r>
      <w:r w:rsidRPr="00F43D8C">
        <w:t xml:space="preserve"> ($29 million, up 208%). High-growth segments included </w:t>
      </w:r>
      <w:r w:rsidRPr="00F43D8C">
        <w:rPr>
          <w:b/>
        </w:rPr>
        <w:t>blood products</w:t>
      </w:r>
      <w:r w:rsidRPr="00F43D8C">
        <w:t xml:space="preserve"> and </w:t>
      </w:r>
      <w:r w:rsidRPr="00F43D8C">
        <w:rPr>
          <w:b/>
        </w:rPr>
        <w:t>drugs</w:t>
      </w:r>
      <w:r w:rsidRPr="00F43D8C">
        <w:t>.</w:t>
      </w:r>
    </w:p>
    <w:p w:rsidR="003329A5" w:rsidRPr="00F43D8C" w:rsidRDefault="00642531" w:rsidP="002D4A79">
      <w:pPr>
        <w:spacing w:before="60" w:after="0" w:line="271" w:lineRule="auto"/>
        <w:ind w:right="18"/>
        <w:rPr>
          <w:b/>
          <w:sz w:val="24"/>
        </w:rPr>
      </w:pPr>
      <w:r w:rsidRPr="00F43D8C">
        <w:rPr>
          <w:rStyle w:val="Heading4Char"/>
          <w:color w:val="auto"/>
        </w:rPr>
        <w:t xml:space="preserve">     </w:t>
      </w:r>
      <w:r w:rsidR="003329A5" w:rsidRPr="00F43D8C">
        <w:rPr>
          <w:rStyle w:val="Heading4Char"/>
          <w:color w:val="auto"/>
        </w:rPr>
        <w:t xml:space="preserve">Figure </w:t>
      </w:r>
      <w:r w:rsidR="003329A5" w:rsidRPr="00F43D8C">
        <w:rPr>
          <w:rStyle w:val="Heading4Char"/>
          <w:b/>
          <w:color w:val="auto"/>
        </w:rPr>
        <w:fldChar w:fldCharType="begin"/>
      </w:r>
      <w:r w:rsidR="003329A5" w:rsidRPr="00F43D8C">
        <w:rPr>
          <w:rStyle w:val="Heading4Char"/>
          <w:color w:val="auto"/>
        </w:rPr>
        <w:instrText xml:space="preserve"> SEQ Figure \* ARABIC </w:instrText>
      </w:r>
      <w:r w:rsidR="003329A5" w:rsidRPr="00F43D8C">
        <w:rPr>
          <w:rStyle w:val="Heading4Char"/>
          <w:b/>
          <w:color w:val="auto"/>
        </w:rPr>
        <w:fldChar w:fldCharType="separate"/>
      </w:r>
      <w:r w:rsidR="003329A5" w:rsidRPr="00F43D8C">
        <w:rPr>
          <w:rStyle w:val="Heading4Char"/>
          <w:noProof/>
          <w:color w:val="auto"/>
        </w:rPr>
        <w:t>3</w:t>
      </w:r>
      <w:r w:rsidR="003329A5" w:rsidRPr="00F43D8C">
        <w:rPr>
          <w:rStyle w:val="Heading4Char"/>
          <w:b/>
          <w:color w:val="auto"/>
        </w:rPr>
        <w:fldChar w:fldCharType="end"/>
      </w:r>
      <w:r w:rsidR="003329A5" w:rsidRPr="00F43D8C">
        <w:rPr>
          <w:rStyle w:val="Heading4Char"/>
          <w:color w:val="auto"/>
        </w:rPr>
        <w:t xml:space="preserve">. Top </w:t>
      </w:r>
      <w:r w:rsidR="000B2D86" w:rsidRPr="00F43D8C">
        <w:rPr>
          <w:rStyle w:val="Heading4Char"/>
          <w:color w:val="auto"/>
        </w:rPr>
        <w:t>Exported</w:t>
      </w:r>
      <w:r w:rsidR="003329A5" w:rsidRPr="00F43D8C">
        <w:rPr>
          <w:rStyle w:val="Heading4Char"/>
          <w:color w:val="auto"/>
        </w:rPr>
        <w:t xml:space="preserve"> Optic/Medical Products</w:t>
      </w:r>
    </w:p>
    <w:p w:rsidR="003329A5" w:rsidRPr="00F43D8C" w:rsidRDefault="003329A5" w:rsidP="002D4A79">
      <w:pPr>
        <w:spacing w:after="60" w:line="271" w:lineRule="auto"/>
        <w:sectPr w:rsidR="003329A5" w:rsidRPr="00F43D8C" w:rsidSect="00BC5D6C">
          <w:footerReference w:type="default" r:id="rId15"/>
          <w:footnotePr>
            <w:numRestart w:val="eachSect"/>
          </w:footnotePr>
          <w:endnotePr>
            <w:numFmt w:val="decimal"/>
          </w:endnotePr>
          <w:type w:val="continuous"/>
          <w:pgSz w:w="12240" w:h="15840" w:code="1"/>
          <w:pgMar w:top="864" w:right="1152" w:bottom="864" w:left="1152" w:header="720" w:footer="720" w:gutter="0"/>
          <w:cols w:num="2" w:space="180"/>
          <w:titlePg/>
          <w:docGrid w:linePitch="299"/>
        </w:sectPr>
      </w:pPr>
      <w:r w:rsidRPr="00F43D8C">
        <w:rPr>
          <w:noProof/>
        </w:rPr>
        <w:drawing>
          <wp:inline distT="0" distB="0" distL="0" distR="0" wp14:anchorId="40372EC9" wp14:editId="200AA366">
            <wp:extent cx="3017520" cy="1699260"/>
            <wp:effectExtent l="0" t="0" r="0" b="0"/>
            <wp:docPr id="3" name="Chart 3" descr="product and share&#10;Medical, Surgical Instruments 34%&#10;Optical Fibers 17%&#10;Orthopedic, Artif. Body Parts 12%&#10;Measuring Instruments 8%&#10;Other 29%&#10;" title="Figure 3 Optics, Medical"/>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A09F3" w:rsidRPr="00F43D8C" w:rsidRDefault="008A09F3" w:rsidP="008A09F3">
      <w:pPr>
        <w:pStyle w:val="ListParagraph"/>
        <w:numPr>
          <w:ilvl w:val="0"/>
          <w:numId w:val="7"/>
        </w:numPr>
        <w:spacing w:after="0" w:line="271" w:lineRule="auto"/>
        <w:ind w:left="360"/>
      </w:pPr>
      <w:r w:rsidRPr="00F43D8C">
        <w:rPr>
          <w:b/>
        </w:rPr>
        <w:t>Canada</w:t>
      </w:r>
      <w:r w:rsidRPr="00F43D8C">
        <w:t xml:space="preserve"> (</w:t>
      </w:r>
      <w:r>
        <w:t xml:space="preserve">$280 million, </w:t>
      </w:r>
      <w:r w:rsidRPr="00F43D8C">
        <w:t>up 142%</w:t>
      </w:r>
      <w:r w:rsidR="00776D3B">
        <w:t xml:space="preserve"> - mainly </w:t>
      </w:r>
      <w:r w:rsidR="00776D3B" w:rsidRPr="00776D3B">
        <w:rPr>
          <w:b/>
        </w:rPr>
        <w:t>light oils</w:t>
      </w:r>
      <w:r w:rsidRPr="00F43D8C">
        <w:t>)</w:t>
      </w:r>
      <w:r w:rsidR="00776D3B">
        <w:t xml:space="preserve"> steered growth in</w:t>
      </w:r>
      <w:r w:rsidRPr="00F43D8C">
        <w:t xml:space="preserve"> </w:t>
      </w:r>
      <w:r w:rsidRPr="00F43D8C">
        <w:rPr>
          <w:b/>
        </w:rPr>
        <w:t xml:space="preserve">mineral fuels </w:t>
      </w:r>
      <w:r w:rsidRPr="008A09F3">
        <w:t>($320 million, up 106%)</w:t>
      </w:r>
      <w:r>
        <w:rPr>
          <w:b/>
        </w:rPr>
        <w:t>.</w:t>
      </w:r>
    </w:p>
    <w:p w:rsidR="008A09F3" w:rsidRPr="00F43D8C" w:rsidRDefault="008A09F3" w:rsidP="008A09F3">
      <w:pPr>
        <w:pStyle w:val="ListParagraph"/>
        <w:numPr>
          <w:ilvl w:val="0"/>
          <w:numId w:val="7"/>
        </w:numPr>
        <w:spacing w:after="0" w:line="271" w:lineRule="auto"/>
        <w:ind w:left="360" w:right="18"/>
      </w:pPr>
      <w:r>
        <w:t>Almost 60%</w:t>
      </w:r>
      <w:r w:rsidRPr="00830532">
        <w:t xml:space="preserve"> of</w:t>
      </w:r>
      <w:r>
        <w:rPr>
          <w:b/>
        </w:rPr>
        <w:t xml:space="preserve"> </w:t>
      </w:r>
      <w:r w:rsidRPr="00830532">
        <w:rPr>
          <w:b/>
        </w:rPr>
        <w:t>glass goods</w:t>
      </w:r>
      <w:r>
        <w:t xml:space="preserve"> </w:t>
      </w:r>
      <w:r w:rsidRPr="00F43D8C">
        <w:t>($</w:t>
      </w:r>
      <w:r>
        <w:t>154 million, up 26%) were</w:t>
      </w:r>
      <w:r w:rsidRPr="00F43D8C">
        <w:t xml:space="preserve"> shipped to </w:t>
      </w:r>
      <w:r w:rsidRPr="00F43D8C">
        <w:rPr>
          <w:b/>
        </w:rPr>
        <w:t>Canada</w:t>
      </w:r>
      <w:r>
        <w:t xml:space="preserve"> (up 24%) </w:t>
      </w:r>
      <w:r w:rsidRPr="00F43D8C">
        <w:t xml:space="preserve">and </w:t>
      </w:r>
      <w:r w:rsidRPr="00F43D8C">
        <w:rPr>
          <w:b/>
        </w:rPr>
        <w:t>Mexico</w:t>
      </w:r>
      <w:r>
        <w:t xml:space="preserve"> (up 124%)</w:t>
      </w:r>
      <w:r w:rsidRPr="00F43D8C">
        <w:t xml:space="preserve">. </w:t>
      </w:r>
      <w:r>
        <w:rPr>
          <w:b/>
        </w:rPr>
        <w:t>M</w:t>
      </w:r>
      <w:r w:rsidRPr="00F43D8C">
        <w:rPr>
          <w:b/>
        </w:rPr>
        <w:t>ulti-walled glass</w:t>
      </w:r>
      <w:r>
        <w:rPr>
          <w:b/>
        </w:rPr>
        <w:t xml:space="preserve"> unit</w:t>
      </w:r>
      <w:r w:rsidRPr="00F43D8C">
        <w:rPr>
          <w:b/>
        </w:rPr>
        <w:t>s</w:t>
      </w:r>
      <w:r w:rsidRPr="00F43D8C">
        <w:t xml:space="preserve"> ($79 million, up 33%) </w:t>
      </w:r>
      <w:r>
        <w:t xml:space="preserve">and </w:t>
      </w:r>
      <w:r w:rsidRPr="00830532">
        <w:rPr>
          <w:b/>
        </w:rPr>
        <w:t>glass fibers</w:t>
      </w:r>
      <w:r>
        <w:t xml:space="preserve"> ($34 million, up 28%) </w:t>
      </w:r>
      <w:r w:rsidRPr="00F43D8C">
        <w:t>drove growth.</w:t>
      </w:r>
    </w:p>
    <w:p w:rsidR="008A09F3" w:rsidRPr="00F43D8C" w:rsidRDefault="008A09F3" w:rsidP="008A09F3">
      <w:pPr>
        <w:pStyle w:val="ListParagraph"/>
        <w:numPr>
          <w:ilvl w:val="0"/>
          <w:numId w:val="7"/>
        </w:numPr>
        <w:spacing w:after="0" w:line="271" w:lineRule="auto"/>
        <w:ind w:left="360" w:right="18"/>
      </w:pPr>
      <w:r w:rsidRPr="00F43D8C">
        <w:rPr>
          <w:b/>
        </w:rPr>
        <w:t>Australia</w:t>
      </w:r>
      <w:r w:rsidRPr="00F43D8C">
        <w:t xml:space="preserve"> ($25 million, up 148%) fueled </w:t>
      </w:r>
      <w:r>
        <w:t xml:space="preserve">much of the </w:t>
      </w:r>
      <w:r w:rsidR="00776D3B">
        <w:t>increase</w:t>
      </w:r>
      <w:r w:rsidRPr="00F43D8C">
        <w:t xml:space="preserve"> in </w:t>
      </w:r>
      <w:r w:rsidRPr="00F43D8C">
        <w:rPr>
          <w:b/>
        </w:rPr>
        <w:t>arms/ammunition</w:t>
      </w:r>
      <w:r w:rsidRPr="00F43D8C">
        <w:t xml:space="preserve"> ($103 million, up 38%).</w:t>
      </w:r>
    </w:p>
    <w:p w:rsidR="008A09F3" w:rsidRPr="00F43D8C" w:rsidRDefault="008A09F3" w:rsidP="008A09F3">
      <w:pPr>
        <w:pStyle w:val="ListParagraph"/>
        <w:numPr>
          <w:ilvl w:val="0"/>
          <w:numId w:val="7"/>
        </w:numPr>
        <w:spacing w:after="0" w:line="271" w:lineRule="auto"/>
        <w:ind w:left="360"/>
      </w:pPr>
      <w:r w:rsidRPr="00F43D8C">
        <w:t xml:space="preserve">Other fast-growing areas were </w:t>
      </w:r>
      <w:r w:rsidRPr="00F43D8C">
        <w:rPr>
          <w:b/>
        </w:rPr>
        <w:t>fats/oils</w:t>
      </w:r>
      <w:r w:rsidRPr="00F43D8C">
        <w:t xml:space="preserve"> (up $26 million, due to </w:t>
      </w:r>
      <w:r w:rsidRPr="00F43D8C">
        <w:rPr>
          <w:b/>
        </w:rPr>
        <w:t>Mexico</w:t>
      </w:r>
      <w:r w:rsidRPr="00F43D8C">
        <w:t xml:space="preserve">), </w:t>
      </w:r>
      <w:r w:rsidRPr="00F43D8C">
        <w:rPr>
          <w:b/>
        </w:rPr>
        <w:t>wood pulp</w:t>
      </w:r>
      <w:r w:rsidRPr="00F43D8C">
        <w:t xml:space="preserve"> (up $23 million, due to </w:t>
      </w:r>
      <w:r w:rsidRPr="00F43D8C">
        <w:rPr>
          <w:b/>
        </w:rPr>
        <w:t>Indonesia</w:t>
      </w:r>
      <w:r w:rsidRPr="00F43D8C">
        <w:t xml:space="preserve">), </w:t>
      </w:r>
      <w:r w:rsidRPr="00F43D8C">
        <w:rPr>
          <w:b/>
        </w:rPr>
        <w:t>fertilizers</w:t>
      </w:r>
      <w:r w:rsidRPr="00F43D8C">
        <w:t xml:space="preserve"> (up $15 million, due to </w:t>
      </w:r>
      <w:r w:rsidRPr="00F43D8C">
        <w:rPr>
          <w:b/>
        </w:rPr>
        <w:t>Canada</w:t>
      </w:r>
      <w:r w:rsidRPr="00F43D8C">
        <w:t xml:space="preserve">) and </w:t>
      </w:r>
      <w:r w:rsidRPr="00F43D8C">
        <w:rPr>
          <w:b/>
        </w:rPr>
        <w:t>other edibles</w:t>
      </w:r>
      <w:r w:rsidRPr="00F43D8C">
        <w:t xml:space="preserve"> (up $15 million, due to </w:t>
      </w:r>
      <w:r w:rsidRPr="00F43D8C">
        <w:rPr>
          <w:b/>
        </w:rPr>
        <w:t>Canada</w:t>
      </w:r>
      <w:r w:rsidRPr="00F43D8C">
        <w:t>).</w:t>
      </w:r>
    </w:p>
    <w:p w:rsidR="008A09F3" w:rsidRPr="00F43D8C" w:rsidRDefault="008A09F3" w:rsidP="008A09F3">
      <w:pPr>
        <w:pStyle w:val="ListParagraph"/>
        <w:numPr>
          <w:ilvl w:val="0"/>
          <w:numId w:val="7"/>
        </w:numPr>
        <w:spacing w:after="0" w:line="271" w:lineRule="auto"/>
        <w:ind w:left="360" w:right="18"/>
      </w:pPr>
      <w:r w:rsidRPr="00F43D8C">
        <w:t>Four of the top five products dragged exports down, with each plummeting by $90 million to $200 million.</w:t>
      </w:r>
      <w:r>
        <w:t xml:space="preserve"> </w:t>
      </w:r>
      <w:r w:rsidRPr="00F43D8C">
        <w:t xml:space="preserve">Demand for </w:t>
      </w:r>
      <w:r w:rsidRPr="0020462B">
        <w:rPr>
          <w:b/>
        </w:rPr>
        <w:t>electrical equipment</w:t>
      </w:r>
      <w:r w:rsidRPr="00F43D8C">
        <w:t xml:space="preserve"> weakened the most, particularly to </w:t>
      </w:r>
      <w:r w:rsidRPr="0020462B">
        <w:rPr>
          <w:b/>
        </w:rPr>
        <w:t>China, Germany</w:t>
      </w:r>
      <w:r w:rsidRPr="00F43D8C">
        <w:t xml:space="preserve"> and the </w:t>
      </w:r>
      <w:r w:rsidRPr="0020462B">
        <w:rPr>
          <w:b/>
        </w:rPr>
        <w:t>U.K</w:t>
      </w:r>
      <w:r w:rsidRPr="00F43D8C">
        <w:t xml:space="preserve">., and for product segments such as </w:t>
      </w:r>
      <w:r w:rsidRPr="0020462B">
        <w:rPr>
          <w:b/>
        </w:rPr>
        <w:t>integrated circuits</w:t>
      </w:r>
      <w:r w:rsidRPr="00F43D8C">
        <w:t xml:space="preserve">, </w:t>
      </w:r>
      <w:r w:rsidRPr="0020462B">
        <w:rPr>
          <w:b/>
        </w:rPr>
        <w:t>telecommunications equipment</w:t>
      </w:r>
      <w:r w:rsidRPr="00F43D8C">
        <w:t xml:space="preserve"> and </w:t>
      </w:r>
      <w:r w:rsidRPr="0020462B">
        <w:rPr>
          <w:b/>
        </w:rPr>
        <w:t>electric capacitors.</w:t>
      </w:r>
      <w:r w:rsidRPr="00F43D8C">
        <w:t xml:space="preserve"> </w:t>
      </w:r>
    </w:p>
    <w:p w:rsidR="002D4A79" w:rsidRPr="00F43D8C" w:rsidRDefault="00C16F89" w:rsidP="002D4A79">
      <w:pPr>
        <w:pStyle w:val="ListParagraph"/>
        <w:numPr>
          <w:ilvl w:val="0"/>
          <w:numId w:val="7"/>
        </w:numPr>
        <w:spacing w:after="0" w:line="271" w:lineRule="auto"/>
        <w:ind w:left="360" w:right="18"/>
      </w:pPr>
      <w:r w:rsidRPr="00F43D8C">
        <w:t>More sales of</w:t>
      </w:r>
      <w:r w:rsidR="002D4A79" w:rsidRPr="00F43D8C">
        <w:t xml:space="preserve"> </w:t>
      </w:r>
      <w:r w:rsidRPr="00F43D8C">
        <w:rPr>
          <w:b/>
        </w:rPr>
        <w:t xml:space="preserve">centrifuges/filters </w:t>
      </w:r>
      <w:r w:rsidRPr="00F43D8C">
        <w:t xml:space="preserve">and </w:t>
      </w:r>
      <w:r w:rsidR="002D4A79" w:rsidRPr="00F43D8C">
        <w:rPr>
          <w:b/>
        </w:rPr>
        <w:t>road construction machinery</w:t>
      </w:r>
      <w:r w:rsidRPr="00F43D8C">
        <w:t xml:space="preserve"> to</w:t>
      </w:r>
      <w:r w:rsidR="002D4A79" w:rsidRPr="00F43D8C">
        <w:t xml:space="preserve"> </w:t>
      </w:r>
      <w:r w:rsidR="002D4A79" w:rsidRPr="00F43D8C">
        <w:rPr>
          <w:b/>
        </w:rPr>
        <w:t>Australia</w:t>
      </w:r>
      <w:r w:rsidRPr="00F43D8C">
        <w:t>,</w:t>
      </w:r>
      <w:r w:rsidR="002D4A79" w:rsidRPr="00F43D8C">
        <w:t xml:space="preserve"> and </w:t>
      </w:r>
      <w:r w:rsidR="002D4A79" w:rsidRPr="00F43D8C">
        <w:rPr>
          <w:b/>
        </w:rPr>
        <w:t>dairy equipment</w:t>
      </w:r>
      <w:r w:rsidRPr="00F43D8C">
        <w:t xml:space="preserve"> to</w:t>
      </w:r>
      <w:r w:rsidR="002D4A79" w:rsidRPr="00F43D8C">
        <w:t xml:space="preserve"> </w:t>
      </w:r>
      <w:r w:rsidR="002D4A79" w:rsidRPr="00F43D8C">
        <w:rPr>
          <w:b/>
        </w:rPr>
        <w:t>Canada</w:t>
      </w:r>
      <w:r w:rsidRPr="00F43D8C">
        <w:rPr>
          <w:b/>
        </w:rPr>
        <w:t>,</w:t>
      </w:r>
      <w:r w:rsidRPr="00F43D8C">
        <w:t xml:space="preserve"> </w:t>
      </w:r>
      <w:r w:rsidR="005C7F9E" w:rsidRPr="00F43D8C">
        <w:t>provided relief against slumping</w:t>
      </w:r>
      <w:r w:rsidR="002D4A79" w:rsidRPr="00F43D8C">
        <w:t xml:space="preserve"> sales of </w:t>
      </w:r>
      <w:r w:rsidR="002D4A79" w:rsidRPr="00F43D8C">
        <w:rPr>
          <w:b/>
        </w:rPr>
        <w:t>heating, spraying</w:t>
      </w:r>
      <w:r w:rsidR="002D4A79" w:rsidRPr="00F43D8C">
        <w:t xml:space="preserve"> and </w:t>
      </w:r>
      <w:r w:rsidR="005C7F9E" w:rsidRPr="00F43D8C">
        <w:rPr>
          <w:b/>
        </w:rPr>
        <w:t>pumping machinery</w:t>
      </w:r>
      <w:r w:rsidR="00121B5D" w:rsidRPr="00F43D8C">
        <w:t xml:space="preserve"> </w:t>
      </w:r>
      <w:r w:rsidR="002D4A79" w:rsidRPr="00F43D8C">
        <w:t>to</w:t>
      </w:r>
      <w:r w:rsidR="002D4A79" w:rsidRPr="00F43D8C">
        <w:rPr>
          <w:b/>
        </w:rPr>
        <w:t xml:space="preserve"> China.</w:t>
      </w:r>
    </w:p>
    <w:p w:rsidR="008A09F3" w:rsidRPr="00F43D8C" w:rsidRDefault="008A09F3" w:rsidP="008A09F3">
      <w:pPr>
        <w:pStyle w:val="ListParagraph"/>
        <w:numPr>
          <w:ilvl w:val="0"/>
          <w:numId w:val="7"/>
        </w:numPr>
        <w:spacing w:after="0" w:line="271" w:lineRule="auto"/>
        <w:ind w:left="360" w:right="-72"/>
      </w:pPr>
      <w:r w:rsidRPr="00F43D8C">
        <w:t xml:space="preserve">Large losses in </w:t>
      </w:r>
      <w:r w:rsidRPr="00F43D8C">
        <w:rPr>
          <w:b/>
        </w:rPr>
        <w:t>plastics</w:t>
      </w:r>
      <w:r w:rsidRPr="00F43D8C">
        <w:t xml:space="preserve"> to </w:t>
      </w:r>
      <w:r w:rsidRPr="00F43D8C">
        <w:rPr>
          <w:b/>
        </w:rPr>
        <w:t>Mexico</w:t>
      </w:r>
      <w:r w:rsidRPr="00F43D8C">
        <w:t>,</w:t>
      </w:r>
      <w:r w:rsidRPr="00F43D8C">
        <w:rPr>
          <w:b/>
        </w:rPr>
        <w:t xml:space="preserve"> Poland, Brazil</w:t>
      </w:r>
      <w:r w:rsidRPr="00F43D8C">
        <w:t xml:space="preserve"> and </w:t>
      </w:r>
      <w:r w:rsidRPr="00F43D8C">
        <w:rPr>
          <w:b/>
        </w:rPr>
        <w:t>China</w:t>
      </w:r>
      <w:r w:rsidRPr="00F43D8C">
        <w:t xml:space="preserve"> hindered </w:t>
      </w:r>
      <w:r>
        <w:t>strong</w:t>
      </w:r>
      <w:r w:rsidRPr="00F43D8C">
        <w:t xml:space="preserve"> gains to </w:t>
      </w:r>
      <w:r w:rsidRPr="00F43D8C">
        <w:rPr>
          <w:b/>
        </w:rPr>
        <w:t>Germany</w:t>
      </w:r>
      <w:r w:rsidRPr="00F43D8C">
        <w:t xml:space="preserve"> and </w:t>
      </w:r>
      <w:r w:rsidRPr="00F43D8C">
        <w:rPr>
          <w:b/>
        </w:rPr>
        <w:t>Costa Rica</w:t>
      </w:r>
      <w:r w:rsidRPr="00F43D8C">
        <w:t xml:space="preserve">. Demand for </w:t>
      </w:r>
      <w:r>
        <w:rPr>
          <w:b/>
        </w:rPr>
        <w:t>primary</w:t>
      </w:r>
      <w:r w:rsidRPr="00F43D8C">
        <w:t xml:space="preserve"> </w:t>
      </w:r>
      <w:r w:rsidRPr="00F43D8C">
        <w:rPr>
          <w:b/>
        </w:rPr>
        <w:t xml:space="preserve">polymers &amp; resins </w:t>
      </w:r>
      <w:r w:rsidRPr="00F43D8C">
        <w:t>and various</w:t>
      </w:r>
      <w:r w:rsidRPr="00F43D8C">
        <w:rPr>
          <w:b/>
        </w:rPr>
        <w:t xml:space="preserve"> plastic sheets &amp; film</w:t>
      </w:r>
      <w:r w:rsidRPr="00F43D8C">
        <w:t xml:space="preserve"> faltered, in contrast to 2018.</w:t>
      </w:r>
    </w:p>
    <w:p w:rsidR="00CE1F32" w:rsidRPr="00F43D8C" w:rsidRDefault="00CE1F32" w:rsidP="00CE1F32">
      <w:pPr>
        <w:pStyle w:val="ListParagraph"/>
        <w:numPr>
          <w:ilvl w:val="0"/>
          <w:numId w:val="7"/>
        </w:numPr>
        <w:spacing w:after="0" w:line="271" w:lineRule="auto"/>
        <w:ind w:left="360"/>
      </w:pPr>
      <w:r w:rsidRPr="00F43D8C">
        <w:rPr>
          <w:b/>
        </w:rPr>
        <w:t>Passenger</w:t>
      </w:r>
      <w:r w:rsidRPr="00F43D8C">
        <w:t xml:space="preserve"> and </w:t>
      </w:r>
      <w:r w:rsidRPr="00F43D8C">
        <w:rPr>
          <w:b/>
        </w:rPr>
        <w:t xml:space="preserve">special vehicles </w:t>
      </w:r>
      <w:r w:rsidR="00C128B5" w:rsidRPr="00F43D8C">
        <w:t>sales lost ground in</w:t>
      </w:r>
      <w:r w:rsidRPr="00F43D8C">
        <w:t xml:space="preserve"> </w:t>
      </w:r>
      <w:r w:rsidRPr="00F43D8C">
        <w:rPr>
          <w:b/>
        </w:rPr>
        <w:t>Canada</w:t>
      </w:r>
      <w:r w:rsidRPr="00F43D8C">
        <w:t xml:space="preserve">, while </w:t>
      </w:r>
      <w:r w:rsidRPr="00F43D8C">
        <w:rPr>
          <w:b/>
        </w:rPr>
        <w:t>vehicle parts</w:t>
      </w:r>
      <w:r w:rsidRPr="00F43D8C">
        <w:t xml:space="preserve"> </w:t>
      </w:r>
      <w:r w:rsidR="00C128B5" w:rsidRPr="00F43D8C">
        <w:t>gained traction in</w:t>
      </w:r>
      <w:r w:rsidRPr="00F43D8C">
        <w:rPr>
          <w:b/>
        </w:rPr>
        <w:t xml:space="preserve"> Mexico.</w:t>
      </w:r>
      <w:r w:rsidRPr="00F43D8C">
        <w:t xml:space="preserve"> </w:t>
      </w:r>
    </w:p>
    <w:p w:rsidR="006C0226" w:rsidRPr="00F43D8C" w:rsidRDefault="00D46B21" w:rsidP="00642531">
      <w:pPr>
        <w:pStyle w:val="ListParagraph"/>
        <w:numPr>
          <w:ilvl w:val="0"/>
          <w:numId w:val="7"/>
        </w:numPr>
        <w:spacing w:after="0" w:line="271" w:lineRule="auto"/>
        <w:ind w:left="360"/>
      </w:pPr>
      <w:r w:rsidRPr="00F43D8C">
        <w:rPr>
          <w:b/>
        </w:rPr>
        <w:t>O</w:t>
      </w:r>
      <w:r w:rsidR="006C0226" w:rsidRPr="00F43D8C">
        <w:rPr>
          <w:b/>
        </w:rPr>
        <w:t>il seeds, misc. grain</w:t>
      </w:r>
      <w:r w:rsidR="006C0226" w:rsidRPr="00F43D8C">
        <w:t xml:space="preserve"> </w:t>
      </w:r>
      <w:r w:rsidRPr="00F43D8C">
        <w:t xml:space="preserve">exports </w:t>
      </w:r>
      <w:r w:rsidR="006C0226" w:rsidRPr="00F43D8C">
        <w:t xml:space="preserve">plunged </w:t>
      </w:r>
      <w:r w:rsidR="005A2891" w:rsidRPr="00F43D8C">
        <w:t>$89 million</w:t>
      </w:r>
      <w:r w:rsidRPr="00F43D8C">
        <w:t>,</w:t>
      </w:r>
      <w:r w:rsidR="005A2891" w:rsidRPr="00F43D8C">
        <w:t xml:space="preserve"> </w:t>
      </w:r>
      <w:r w:rsidR="00F64763">
        <w:t xml:space="preserve">as sales of </w:t>
      </w:r>
      <w:r w:rsidR="005A2891" w:rsidRPr="00F43D8C">
        <w:rPr>
          <w:b/>
        </w:rPr>
        <w:t>soybeans</w:t>
      </w:r>
      <w:r w:rsidR="00C96EAD" w:rsidRPr="00F43D8C">
        <w:t xml:space="preserve"> </w:t>
      </w:r>
      <w:r w:rsidR="00F64763" w:rsidRPr="00F64763">
        <w:t>(down</w:t>
      </w:r>
      <w:r w:rsidR="00F64763">
        <w:rPr>
          <w:b/>
        </w:rPr>
        <w:t xml:space="preserve"> </w:t>
      </w:r>
      <w:r w:rsidR="00F64763" w:rsidRPr="00F64763">
        <w:t>$57 million – driven by</w:t>
      </w:r>
      <w:r w:rsidR="00F64763">
        <w:rPr>
          <w:b/>
        </w:rPr>
        <w:t xml:space="preserve"> China</w:t>
      </w:r>
      <w:r w:rsidR="00F64763" w:rsidRPr="00F64763">
        <w:t>) and</w:t>
      </w:r>
      <w:r w:rsidR="00F64763">
        <w:rPr>
          <w:b/>
        </w:rPr>
        <w:t xml:space="preserve"> soybean meal </w:t>
      </w:r>
      <w:r w:rsidR="00F64763" w:rsidRPr="00B43FEF">
        <w:t>(down $29 million,</w:t>
      </w:r>
      <w:r w:rsidR="00F64763">
        <w:rPr>
          <w:b/>
        </w:rPr>
        <w:t xml:space="preserve"> </w:t>
      </w:r>
      <w:r w:rsidR="00F64763" w:rsidRPr="00F64763">
        <w:t xml:space="preserve">in part due to </w:t>
      </w:r>
      <w:r w:rsidR="00F64763">
        <w:rPr>
          <w:b/>
        </w:rPr>
        <w:t xml:space="preserve">Morocco </w:t>
      </w:r>
      <w:r w:rsidR="00F64763" w:rsidRPr="00F64763">
        <w:t>and</w:t>
      </w:r>
      <w:r w:rsidR="00F64763">
        <w:rPr>
          <w:b/>
        </w:rPr>
        <w:t xml:space="preserve"> Colombia</w:t>
      </w:r>
      <w:r w:rsidR="00F64763" w:rsidRPr="00F64763">
        <w:t>)</w:t>
      </w:r>
      <w:r w:rsidR="00F64763">
        <w:t xml:space="preserve"> contracted.</w:t>
      </w:r>
    </w:p>
    <w:p w:rsidR="000D50BF" w:rsidRPr="00F43D8C" w:rsidRDefault="00C72BBA" w:rsidP="004B3151">
      <w:pPr>
        <w:pStyle w:val="Heading4"/>
        <w:spacing w:before="60"/>
        <w:rPr>
          <w:rFonts w:eastAsiaTheme="minorEastAsia"/>
          <w:b/>
          <w:color w:val="auto"/>
        </w:rPr>
      </w:pPr>
      <w:r w:rsidRPr="00F43D8C">
        <w:rPr>
          <w:color w:val="auto"/>
        </w:rPr>
        <w:t>Figure 4</w:t>
      </w:r>
      <w:r w:rsidR="00542EF2" w:rsidRPr="00F43D8C">
        <w:rPr>
          <w:color w:val="auto"/>
        </w:rPr>
        <w:t>. Exports and Trends for</w:t>
      </w:r>
      <w:r w:rsidR="007F1C4A" w:rsidRPr="00F43D8C">
        <w:rPr>
          <w:color w:val="auto"/>
        </w:rPr>
        <w:t xml:space="preserve"> Minnesota’s Top 10 Products, </w:t>
      </w:r>
      <w:r w:rsidR="00D43A30" w:rsidRPr="00F43D8C">
        <w:rPr>
          <w:color w:val="auto"/>
        </w:rPr>
        <w:t>2019</w:t>
      </w:r>
    </w:p>
    <w:tbl>
      <w:tblPr>
        <w:tblpPr w:leftFromText="180" w:rightFromText="180" w:vertAnchor="page" w:horzAnchor="margin" w:tblpY="13309"/>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FBB"/>
        <w:tblLook w:val="04A0" w:firstRow="1" w:lastRow="0" w:firstColumn="1" w:lastColumn="0" w:noHBand="0" w:noVBand="1"/>
        <w:tblCaption w:val="Additional information"/>
        <w:tblDescription w:val="Minnesota Export Statistics is the most current resource available for tracking the state’s trends of exports of goods and is prepared for the Minnesota Trade Office (MTO) by the Department of Employment and Economic Development’s (DEED) Economic Analysis Unit (by Thu-Mai Ho-Kim).  The quarterly and annual statistics reports primarily cover export data based on the Harmonized Tariff System (Schedule B), collected by the U.S. Department of Commerce (USDOC) and distributed by IHS Markit. Reports are available on DEED’s website at “Export and Trade Statistics” (http://mn.gov/deed/data/export-stats/).  Additional Notes: The U.S. Department of Agriculture (USDA) publishes alternate annual agricultural export estimates based on different methodology. USDA estimated that Minnesota exported $6.9 billion in agricultural and related food products in 2017, ranking fifth highest among all states. Data on services exports are limited. The Coalition of Services Industries, a national industry group, estimated Minnesota services exports at $11 billion in 2017. DEED estimated Minnesota’s services exports at $14 billion for 2019, based on pro-rating U.S. services exports data, using the state’s GDP industry shares."/>
      </w:tblPr>
      <w:tblGrid>
        <w:gridCol w:w="10255"/>
      </w:tblGrid>
      <w:tr w:rsidR="00EF688D" w:rsidRPr="00F43D8C" w:rsidTr="00EF688D">
        <w:trPr>
          <w:trHeight w:val="309"/>
        </w:trPr>
        <w:tc>
          <w:tcPr>
            <w:tcW w:w="10255" w:type="dxa"/>
            <w:shd w:val="clear" w:color="auto" w:fill="DAEFBB"/>
          </w:tcPr>
          <w:p w:rsidR="00EF688D" w:rsidRPr="00F43D8C" w:rsidRDefault="00EF688D" w:rsidP="00EF688D">
            <w:pPr>
              <w:spacing w:after="0"/>
              <w:rPr>
                <w:sz w:val="14"/>
                <w:szCs w:val="14"/>
              </w:rPr>
            </w:pPr>
            <w:r w:rsidRPr="00F43D8C">
              <w:rPr>
                <w:rStyle w:val="Emphasis"/>
                <w:rFonts w:cstheme="minorHAnsi"/>
                <w:sz w:val="14"/>
                <w:szCs w:val="14"/>
              </w:rPr>
              <w:t xml:space="preserve">Minnesota Export Statistics </w:t>
            </w:r>
            <w:r w:rsidRPr="00F43D8C">
              <w:rPr>
                <w:sz w:val="14"/>
                <w:szCs w:val="14"/>
              </w:rPr>
              <w:t xml:space="preserve">is the most current resource available for tracking the state’s trends of exports of goods and is prepared for the Minnesota Trade Office (MTO) by the Department of Employment and Economic Development’s (DEED) Economic Analysis Unit (by Thu-Mai Ho-Kim).  </w:t>
            </w:r>
            <w:r w:rsidRPr="00F43D8C">
              <w:rPr>
                <w:rFonts w:cs="Calibri"/>
                <w:sz w:val="14"/>
                <w:szCs w:val="14"/>
              </w:rPr>
              <w:t xml:space="preserve">The quarterly and annual statistics reports primarily cover export data based on the Harmonized Tariff System (Schedule B), collected by the U.S. Department of Commerce (USDOC) and distributed by IHS </w:t>
            </w:r>
            <w:proofErr w:type="spellStart"/>
            <w:r w:rsidRPr="00F43D8C">
              <w:rPr>
                <w:rFonts w:cs="Calibri"/>
                <w:sz w:val="14"/>
                <w:szCs w:val="14"/>
              </w:rPr>
              <w:t>Markit</w:t>
            </w:r>
            <w:proofErr w:type="spellEnd"/>
            <w:r w:rsidRPr="00F43D8C">
              <w:rPr>
                <w:rFonts w:cs="Calibri"/>
                <w:sz w:val="14"/>
                <w:szCs w:val="14"/>
              </w:rPr>
              <w:t>. Reports are available on DEED’s website at “Export and Trade Statistics” (</w:t>
            </w:r>
            <w:hyperlink r:id="rId17" w:history="1">
              <w:r w:rsidRPr="00F43D8C">
                <w:rPr>
                  <w:rStyle w:val="Hyperlink"/>
                  <w:color w:val="auto"/>
                  <w:sz w:val="14"/>
                  <w:szCs w:val="14"/>
                </w:rPr>
                <w:t>http://mn.gov/deed/data/export-stats/</w:t>
              </w:r>
            </w:hyperlink>
            <w:r w:rsidRPr="00F43D8C">
              <w:rPr>
                <w:sz w:val="14"/>
                <w:szCs w:val="14"/>
              </w:rPr>
              <w:t>)</w:t>
            </w:r>
            <w:r w:rsidRPr="00F43D8C">
              <w:rPr>
                <w:rFonts w:cs="Calibri"/>
                <w:sz w:val="14"/>
                <w:szCs w:val="14"/>
              </w:rPr>
              <w:t xml:space="preserve">.  Additional Notes: The U.S. Department of Agriculture (USDA) publishes alternate annual agricultural export estimates based on different methodology. </w:t>
            </w:r>
            <w:r w:rsidRPr="00F43D8C">
              <w:rPr>
                <w:sz w:val="14"/>
                <w:szCs w:val="14"/>
              </w:rPr>
              <w:t>USDA estimated that Minnesota exported $6.9 billion in agricultural and related food products in 2017, ranking fifth highest among all states. Data on services exports are limited. The Coalition of Services Industries, a national industry group, estimated Minnesota services exports at $11 billion in 2017. DEED estimated Minnesota’s services exports at $14 billion for 2019, based on pro-rating U.S. services exports data, using the state’s GDP industry shares.</w:t>
            </w:r>
          </w:p>
        </w:tc>
      </w:tr>
    </w:tbl>
    <w:p w:rsidR="00542EF2" w:rsidRDefault="00636B16" w:rsidP="00B43FEF">
      <w:pPr>
        <w:pStyle w:val="Heading4"/>
        <w:spacing w:before="0" w:after="60"/>
        <w:jc w:val="center"/>
        <w:rPr>
          <w:color w:val="auto"/>
        </w:rPr>
      </w:pPr>
      <w:r w:rsidRPr="00F43D8C">
        <w:rPr>
          <w:noProof/>
          <w:color w:val="auto"/>
        </w:rPr>
        <w:drawing>
          <wp:inline distT="0" distB="0" distL="0" distR="0" wp14:anchorId="7A67BC43" wp14:editId="78AE4707">
            <wp:extent cx="6217920" cy="1805784"/>
            <wp:effectExtent l="0" t="0" r="0" b="4445"/>
            <wp:docPr id="10" name="Picture 10" descr="PRODUCT  Exports (billions)  Percent Change, 2018 to 2019&#10;TOTAL  $22.2  -2%&#10;Optics, Medical  $4.6  2%&#10;Machinery  $3.4  -3%&#10;Electrical Equipment  $2.9  -6%&#10;Plastics  $1.4  -8%&#10;Vehicles  $1.3  -7%&#10;Pharmaceuticals  $0.7  7%&#10;Food By-Products  $0.6  0%&#10;Ores, Slag, Ash  $0.6  0%&#10;Aircraft, Spacecraft  $0.5  -3%&#10;Meat  $0.4  -3%&#10;Other  $5.8  -1%&#10;"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oups\CARD\AEO\Thu-Mai\Tableau, Viz\MTO Tableau files\Export Stats Reports\Newsletter &amp; Fact Sheet charts\2019 Top 10 2H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7920" cy="1805784"/>
                    </a:xfrm>
                    <a:prstGeom prst="rect">
                      <a:avLst/>
                    </a:prstGeom>
                    <a:noFill/>
                    <a:ln>
                      <a:noFill/>
                    </a:ln>
                  </pic:spPr>
                </pic:pic>
              </a:graphicData>
            </a:graphic>
          </wp:inline>
        </w:drawing>
      </w:r>
    </w:p>
    <w:p w:rsidR="00636B16" w:rsidRDefault="00636B16" w:rsidP="00636B16"/>
    <w:p w:rsidR="007F1C4A" w:rsidRPr="00F43D8C" w:rsidRDefault="007F1C4A" w:rsidP="00636B16">
      <w:pPr>
        <w:spacing w:after="240"/>
        <w:jc w:val="center"/>
        <w:rPr>
          <w:rFonts w:eastAsia="Times New Roman" w:cs="Times New Roman"/>
          <w:snapToGrid w:val="0"/>
          <w:w w:val="0"/>
          <w:sz w:val="0"/>
          <w:szCs w:val="0"/>
          <w:u w:color="000000"/>
          <w:bdr w:val="none" w:sz="0" w:space="0" w:color="000000"/>
          <w:shd w:val="clear" w:color="000000" w:fill="000000"/>
          <w:lang w:eastAsia="x-none" w:bidi="x-none"/>
        </w:rPr>
      </w:pPr>
    </w:p>
    <w:sectPr w:rsidR="007F1C4A" w:rsidRPr="00F43D8C" w:rsidSect="004B3151">
      <w:footerReference w:type="default" r:id="rId19"/>
      <w:footnotePr>
        <w:numRestart w:val="eachSect"/>
      </w:footnotePr>
      <w:endnotePr>
        <w:numFmt w:val="decimal"/>
      </w:endnotePr>
      <w:type w:val="continuous"/>
      <w:pgSz w:w="12240" w:h="15840" w:code="1"/>
      <w:pgMar w:top="720" w:right="1152" w:bottom="720" w:left="11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A7F" w:rsidRDefault="00897A7F">
      <w:r>
        <w:separator/>
      </w:r>
    </w:p>
  </w:endnote>
  <w:endnote w:type="continuationSeparator" w:id="0">
    <w:p w:rsidR="00897A7F" w:rsidRDefault="0089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7D" w:rsidRDefault="00CC1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B7D" w:rsidRDefault="00CC1B7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15" w:rsidRPr="00A14E15" w:rsidRDefault="00A14E15" w:rsidP="00A14E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9A5" w:rsidRPr="00A14E15" w:rsidRDefault="003329A5" w:rsidP="00A14E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35635"/>
      <w:docPartObj>
        <w:docPartGallery w:val="Page Numbers (Bottom of Page)"/>
        <w:docPartUnique/>
      </w:docPartObj>
    </w:sdtPr>
    <w:sdtEndPr>
      <w:rPr>
        <w:noProof/>
      </w:rPr>
    </w:sdtEndPr>
    <w:sdtContent>
      <w:p w:rsidR="00EF688D" w:rsidRDefault="00EF688D">
        <w:pPr>
          <w:pStyle w:val="Footer"/>
          <w:jc w:val="right"/>
        </w:pPr>
        <w:r>
          <w:fldChar w:fldCharType="begin"/>
        </w:r>
        <w:r>
          <w:instrText xml:space="preserve"> PAGE   \* MERGEFORMAT </w:instrText>
        </w:r>
        <w:r>
          <w:fldChar w:fldCharType="separate"/>
        </w:r>
        <w:r w:rsidR="004A106F">
          <w:rPr>
            <w:noProof/>
          </w:rPr>
          <w:t>3</w:t>
        </w:r>
        <w:r>
          <w:rPr>
            <w:noProof/>
          </w:rPr>
          <w:fldChar w:fldCharType="end"/>
        </w:r>
      </w:p>
    </w:sdtContent>
  </w:sdt>
  <w:p w:rsidR="00C72BBA" w:rsidRPr="00A14E15" w:rsidRDefault="00C72BBA" w:rsidP="00A14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A7F" w:rsidRDefault="00897A7F">
      <w:r>
        <w:separator/>
      </w:r>
    </w:p>
  </w:footnote>
  <w:footnote w:type="continuationSeparator" w:id="0">
    <w:p w:rsidR="00897A7F" w:rsidRDefault="00897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1B7D" w:rsidRDefault="00CC1B7D" w:rsidP="00E014F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948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D003E"/>
    <w:multiLevelType w:val="hybridMultilevel"/>
    <w:tmpl w:val="EFA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D7251"/>
    <w:multiLevelType w:val="hybridMultilevel"/>
    <w:tmpl w:val="A20C3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055FB0"/>
    <w:multiLevelType w:val="hybridMultilevel"/>
    <w:tmpl w:val="39F0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B22E7"/>
    <w:multiLevelType w:val="hybridMultilevel"/>
    <w:tmpl w:val="5FE8A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E1423"/>
    <w:multiLevelType w:val="hybridMultilevel"/>
    <w:tmpl w:val="47CE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621A5E"/>
    <w:multiLevelType w:val="hybridMultilevel"/>
    <w:tmpl w:val="787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61121C"/>
    <w:multiLevelType w:val="hybridMultilevel"/>
    <w:tmpl w:val="CFAA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B7674F"/>
    <w:multiLevelType w:val="hybridMultilevel"/>
    <w:tmpl w:val="28C6AC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3D731D63"/>
    <w:multiLevelType w:val="hybridMultilevel"/>
    <w:tmpl w:val="0FB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81A19"/>
    <w:multiLevelType w:val="hybridMultilevel"/>
    <w:tmpl w:val="B832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373CB2"/>
    <w:multiLevelType w:val="hybridMultilevel"/>
    <w:tmpl w:val="B27C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1704E9"/>
    <w:multiLevelType w:val="hybridMultilevel"/>
    <w:tmpl w:val="187C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6C2E21"/>
    <w:multiLevelType w:val="hybridMultilevel"/>
    <w:tmpl w:val="BB483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A38056F"/>
    <w:multiLevelType w:val="hybridMultilevel"/>
    <w:tmpl w:val="88CE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DA42E3"/>
    <w:multiLevelType w:val="hybridMultilevel"/>
    <w:tmpl w:val="8A0ED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802F2B"/>
    <w:multiLevelType w:val="hybridMultilevel"/>
    <w:tmpl w:val="92C4D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975A35"/>
    <w:multiLevelType w:val="hybridMultilevel"/>
    <w:tmpl w:val="E5021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F11FFB"/>
    <w:multiLevelType w:val="hybridMultilevel"/>
    <w:tmpl w:val="4CDA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E717D2"/>
    <w:multiLevelType w:val="hybridMultilevel"/>
    <w:tmpl w:val="8FA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4"/>
  </w:num>
  <w:num w:numId="4">
    <w:abstractNumId w:val="6"/>
  </w:num>
  <w:num w:numId="5">
    <w:abstractNumId w:val="2"/>
  </w:num>
  <w:num w:numId="6">
    <w:abstractNumId w:val="9"/>
  </w:num>
  <w:num w:numId="7">
    <w:abstractNumId w:val="19"/>
  </w:num>
  <w:num w:numId="8">
    <w:abstractNumId w:val="17"/>
  </w:num>
  <w:num w:numId="9">
    <w:abstractNumId w:val="11"/>
  </w:num>
  <w:num w:numId="10">
    <w:abstractNumId w:val="10"/>
  </w:num>
  <w:num w:numId="11">
    <w:abstractNumId w:val="7"/>
  </w:num>
  <w:num w:numId="12">
    <w:abstractNumId w:val="3"/>
  </w:num>
  <w:num w:numId="13">
    <w:abstractNumId w:val="18"/>
  </w:num>
  <w:num w:numId="14">
    <w:abstractNumId w:val="13"/>
  </w:num>
  <w:num w:numId="15">
    <w:abstractNumId w:val="8"/>
  </w:num>
  <w:num w:numId="16">
    <w:abstractNumId w:val="12"/>
  </w:num>
  <w:num w:numId="17">
    <w:abstractNumId w:val="5"/>
  </w:num>
  <w:num w:numId="18">
    <w:abstractNumId w:val="1"/>
  </w:num>
  <w:num w:numId="19">
    <w:abstractNumId w:val="4"/>
  </w:num>
  <w:num w:numId="20">
    <w:abstractNumId w:val="4"/>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6385"/>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AB"/>
    <w:rsid w:val="00002128"/>
    <w:rsid w:val="000041CC"/>
    <w:rsid w:val="00007266"/>
    <w:rsid w:val="000115BA"/>
    <w:rsid w:val="0001235B"/>
    <w:rsid w:val="00013717"/>
    <w:rsid w:val="000146CA"/>
    <w:rsid w:val="00017FE0"/>
    <w:rsid w:val="000218A0"/>
    <w:rsid w:val="00024BB5"/>
    <w:rsid w:val="00034FBE"/>
    <w:rsid w:val="00035328"/>
    <w:rsid w:val="00036238"/>
    <w:rsid w:val="00046117"/>
    <w:rsid w:val="00051FE0"/>
    <w:rsid w:val="00051FF7"/>
    <w:rsid w:val="00055A2D"/>
    <w:rsid w:val="0005790D"/>
    <w:rsid w:val="0006144E"/>
    <w:rsid w:val="00070016"/>
    <w:rsid w:val="000716AC"/>
    <w:rsid w:val="000731F2"/>
    <w:rsid w:val="00073987"/>
    <w:rsid w:val="00073E4C"/>
    <w:rsid w:val="000750C3"/>
    <w:rsid w:val="00076DF3"/>
    <w:rsid w:val="00077712"/>
    <w:rsid w:val="00077989"/>
    <w:rsid w:val="00077EF4"/>
    <w:rsid w:val="0008038B"/>
    <w:rsid w:val="00084F9F"/>
    <w:rsid w:val="000859F2"/>
    <w:rsid w:val="00085EED"/>
    <w:rsid w:val="000903C9"/>
    <w:rsid w:val="00090B7B"/>
    <w:rsid w:val="0009219A"/>
    <w:rsid w:val="00092621"/>
    <w:rsid w:val="0009348A"/>
    <w:rsid w:val="00096FFD"/>
    <w:rsid w:val="000A409A"/>
    <w:rsid w:val="000A491B"/>
    <w:rsid w:val="000A4AB3"/>
    <w:rsid w:val="000A5664"/>
    <w:rsid w:val="000A7EF0"/>
    <w:rsid w:val="000B2A85"/>
    <w:rsid w:val="000B2D86"/>
    <w:rsid w:val="000B38B1"/>
    <w:rsid w:val="000B445D"/>
    <w:rsid w:val="000B518F"/>
    <w:rsid w:val="000C1CB0"/>
    <w:rsid w:val="000C2181"/>
    <w:rsid w:val="000C3AE5"/>
    <w:rsid w:val="000C7D1B"/>
    <w:rsid w:val="000D18A9"/>
    <w:rsid w:val="000D50BF"/>
    <w:rsid w:val="000D5400"/>
    <w:rsid w:val="000D5D94"/>
    <w:rsid w:val="000D6FAF"/>
    <w:rsid w:val="000E0786"/>
    <w:rsid w:val="000E3376"/>
    <w:rsid w:val="000E6BD9"/>
    <w:rsid w:val="000E7ED0"/>
    <w:rsid w:val="000F0519"/>
    <w:rsid w:val="000F1844"/>
    <w:rsid w:val="000F1B22"/>
    <w:rsid w:val="000F3E1F"/>
    <w:rsid w:val="000F4677"/>
    <w:rsid w:val="000F54F2"/>
    <w:rsid w:val="000F6660"/>
    <w:rsid w:val="000F6CDA"/>
    <w:rsid w:val="00107686"/>
    <w:rsid w:val="001104C3"/>
    <w:rsid w:val="001127F8"/>
    <w:rsid w:val="00112A1D"/>
    <w:rsid w:val="00112A91"/>
    <w:rsid w:val="00114D4B"/>
    <w:rsid w:val="00116C04"/>
    <w:rsid w:val="00117F52"/>
    <w:rsid w:val="001214D7"/>
    <w:rsid w:val="00121B5D"/>
    <w:rsid w:val="0012471B"/>
    <w:rsid w:val="001250AB"/>
    <w:rsid w:val="001263E2"/>
    <w:rsid w:val="00130080"/>
    <w:rsid w:val="00131B23"/>
    <w:rsid w:val="00131EDB"/>
    <w:rsid w:val="00132A66"/>
    <w:rsid w:val="00133985"/>
    <w:rsid w:val="00134ECC"/>
    <w:rsid w:val="00134F20"/>
    <w:rsid w:val="001360E3"/>
    <w:rsid w:val="001406DC"/>
    <w:rsid w:val="00142003"/>
    <w:rsid w:val="0014228E"/>
    <w:rsid w:val="00147356"/>
    <w:rsid w:val="00155169"/>
    <w:rsid w:val="00155C52"/>
    <w:rsid w:val="00162EF3"/>
    <w:rsid w:val="0016340E"/>
    <w:rsid w:val="00170A9E"/>
    <w:rsid w:val="00173478"/>
    <w:rsid w:val="00173D78"/>
    <w:rsid w:val="00176E55"/>
    <w:rsid w:val="0018375B"/>
    <w:rsid w:val="0018461A"/>
    <w:rsid w:val="001866EF"/>
    <w:rsid w:val="00192539"/>
    <w:rsid w:val="00192CA0"/>
    <w:rsid w:val="001942D2"/>
    <w:rsid w:val="001968E6"/>
    <w:rsid w:val="001978D1"/>
    <w:rsid w:val="001979B1"/>
    <w:rsid w:val="001A08C3"/>
    <w:rsid w:val="001B0716"/>
    <w:rsid w:val="001B0D71"/>
    <w:rsid w:val="001B1416"/>
    <w:rsid w:val="001B344A"/>
    <w:rsid w:val="001B3687"/>
    <w:rsid w:val="001B6B06"/>
    <w:rsid w:val="001C28D2"/>
    <w:rsid w:val="001C3A93"/>
    <w:rsid w:val="001C6967"/>
    <w:rsid w:val="001D0609"/>
    <w:rsid w:val="001D704D"/>
    <w:rsid w:val="001E4570"/>
    <w:rsid w:val="001E4F28"/>
    <w:rsid w:val="001E53CF"/>
    <w:rsid w:val="001E6B49"/>
    <w:rsid w:val="001E79C1"/>
    <w:rsid w:val="001F56E0"/>
    <w:rsid w:val="001F5C09"/>
    <w:rsid w:val="001F62FF"/>
    <w:rsid w:val="002003FA"/>
    <w:rsid w:val="0020291D"/>
    <w:rsid w:val="00202963"/>
    <w:rsid w:val="00203298"/>
    <w:rsid w:val="002040F2"/>
    <w:rsid w:val="0020462B"/>
    <w:rsid w:val="00205084"/>
    <w:rsid w:val="00211025"/>
    <w:rsid w:val="0021231E"/>
    <w:rsid w:val="0021557D"/>
    <w:rsid w:val="002158EE"/>
    <w:rsid w:val="00215DA6"/>
    <w:rsid w:val="00217960"/>
    <w:rsid w:val="002224AE"/>
    <w:rsid w:val="00222FBC"/>
    <w:rsid w:val="0022389E"/>
    <w:rsid w:val="00225F0B"/>
    <w:rsid w:val="00226A71"/>
    <w:rsid w:val="002303BC"/>
    <w:rsid w:val="0023239F"/>
    <w:rsid w:val="00235FD0"/>
    <w:rsid w:val="002408B6"/>
    <w:rsid w:val="00245025"/>
    <w:rsid w:val="0024609E"/>
    <w:rsid w:val="002503A5"/>
    <w:rsid w:val="00250661"/>
    <w:rsid w:val="00253674"/>
    <w:rsid w:val="002538D5"/>
    <w:rsid w:val="00254B81"/>
    <w:rsid w:val="002607E0"/>
    <w:rsid w:val="0026310F"/>
    <w:rsid w:val="00270CC6"/>
    <w:rsid w:val="00271EFA"/>
    <w:rsid w:val="00272910"/>
    <w:rsid w:val="00275F40"/>
    <w:rsid w:val="00277973"/>
    <w:rsid w:val="00277C67"/>
    <w:rsid w:val="0028048A"/>
    <w:rsid w:val="00281C4F"/>
    <w:rsid w:val="002831FE"/>
    <w:rsid w:val="00284EDE"/>
    <w:rsid w:val="00287234"/>
    <w:rsid w:val="002907B4"/>
    <w:rsid w:val="00294EDA"/>
    <w:rsid w:val="002969E6"/>
    <w:rsid w:val="00297DBE"/>
    <w:rsid w:val="002A27D6"/>
    <w:rsid w:val="002A2F54"/>
    <w:rsid w:val="002A3F50"/>
    <w:rsid w:val="002A4808"/>
    <w:rsid w:val="002A52FC"/>
    <w:rsid w:val="002B1415"/>
    <w:rsid w:val="002B36A6"/>
    <w:rsid w:val="002B38F3"/>
    <w:rsid w:val="002B6B53"/>
    <w:rsid w:val="002B6EBF"/>
    <w:rsid w:val="002C0C4E"/>
    <w:rsid w:val="002C164C"/>
    <w:rsid w:val="002C52C4"/>
    <w:rsid w:val="002C6521"/>
    <w:rsid w:val="002C74B4"/>
    <w:rsid w:val="002D2A7E"/>
    <w:rsid w:val="002D2EF5"/>
    <w:rsid w:val="002D4A79"/>
    <w:rsid w:val="002D6206"/>
    <w:rsid w:val="002D6A99"/>
    <w:rsid w:val="002D6F33"/>
    <w:rsid w:val="002D73E6"/>
    <w:rsid w:val="002E3F44"/>
    <w:rsid w:val="002E54F1"/>
    <w:rsid w:val="002E71A7"/>
    <w:rsid w:val="002F0687"/>
    <w:rsid w:val="002F1C0E"/>
    <w:rsid w:val="002F1FEC"/>
    <w:rsid w:val="002F285F"/>
    <w:rsid w:val="002F7ABC"/>
    <w:rsid w:val="003047CE"/>
    <w:rsid w:val="00304E7F"/>
    <w:rsid w:val="003139FE"/>
    <w:rsid w:val="0031458A"/>
    <w:rsid w:val="00314865"/>
    <w:rsid w:val="00314EBD"/>
    <w:rsid w:val="00320905"/>
    <w:rsid w:val="00326E34"/>
    <w:rsid w:val="00327817"/>
    <w:rsid w:val="0033034E"/>
    <w:rsid w:val="00330852"/>
    <w:rsid w:val="00332036"/>
    <w:rsid w:val="003329A5"/>
    <w:rsid w:val="00332B6B"/>
    <w:rsid w:val="00337018"/>
    <w:rsid w:val="00337315"/>
    <w:rsid w:val="003413C6"/>
    <w:rsid w:val="003415A0"/>
    <w:rsid w:val="00342DD3"/>
    <w:rsid w:val="00343C68"/>
    <w:rsid w:val="0034596F"/>
    <w:rsid w:val="00352999"/>
    <w:rsid w:val="0035427F"/>
    <w:rsid w:val="003608E7"/>
    <w:rsid w:val="00361002"/>
    <w:rsid w:val="003610A2"/>
    <w:rsid w:val="00365F97"/>
    <w:rsid w:val="00370F35"/>
    <w:rsid w:val="00371C8B"/>
    <w:rsid w:val="00373CD5"/>
    <w:rsid w:val="00374F2A"/>
    <w:rsid w:val="00375BF0"/>
    <w:rsid w:val="0037721A"/>
    <w:rsid w:val="003816E0"/>
    <w:rsid w:val="0038303E"/>
    <w:rsid w:val="003833B0"/>
    <w:rsid w:val="00383D01"/>
    <w:rsid w:val="0038665A"/>
    <w:rsid w:val="0039075E"/>
    <w:rsid w:val="00390F3B"/>
    <w:rsid w:val="00391815"/>
    <w:rsid w:val="00391E28"/>
    <w:rsid w:val="00392609"/>
    <w:rsid w:val="00396483"/>
    <w:rsid w:val="003A3D11"/>
    <w:rsid w:val="003B0B33"/>
    <w:rsid w:val="003B2771"/>
    <w:rsid w:val="003B3B3A"/>
    <w:rsid w:val="003B4BE4"/>
    <w:rsid w:val="003B4D8B"/>
    <w:rsid w:val="003B62FF"/>
    <w:rsid w:val="003C316B"/>
    <w:rsid w:val="003C3E3E"/>
    <w:rsid w:val="003C57B0"/>
    <w:rsid w:val="003C7165"/>
    <w:rsid w:val="003D03FE"/>
    <w:rsid w:val="003D044E"/>
    <w:rsid w:val="003D23DD"/>
    <w:rsid w:val="003D2B14"/>
    <w:rsid w:val="003D4F5D"/>
    <w:rsid w:val="003D744B"/>
    <w:rsid w:val="003D7C4C"/>
    <w:rsid w:val="003E1B39"/>
    <w:rsid w:val="003E7EAB"/>
    <w:rsid w:val="003F24D7"/>
    <w:rsid w:val="003F27BF"/>
    <w:rsid w:val="003F41C6"/>
    <w:rsid w:val="003F44C1"/>
    <w:rsid w:val="004003DF"/>
    <w:rsid w:val="0040053E"/>
    <w:rsid w:val="0040062C"/>
    <w:rsid w:val="00402A86"/>
    <w:rsid w:val="00405F36"/>
    <w:rsid w:val="004061B1"/>
    <w:rsid w:val="00406C81"/>
    <w:rsid w:val="00406E6D"/>
    <w:rsid w:val="00407310"/>
    <w:rsid w:val="00411E0D"/>
    <w:rsid w:val="00412776"/>
    <w:rsid w:val="00415D0D"/>
    <w:rsid w:val="00420D04"/>
    <w:rsid w:val="0042279B"/>
    <w:rsid w:val="0042285F"/>
    <w:rsid w:val="00426066"/>
    <w:rsid w:val="00426DC1"/>
    <w:rsid w:val="004303E8"/>
    <w:rsid w:val="004304CD"/>
    <w:rsid w:val="00433DBF"/>
    <w:rsid w:val="004344C8"/>
    <w:rsid w:val="00435C4F"/>
    <w:rsid w:val="004362B0"/>
    <w:rsid w:val="00437CB6"/>
    <w:rsid w:val="0044214A"/>
    <w:rsid w:val="004430A9"/>
    <w:rsid w:val="00445385"/>
    <w:rsid w:val="00447207"/>
    <w:rsid w:val="00450EC4"/>
    <w:rsid w:val="004527A6"/>
    <w:rsid w:val="00453DF8"/>
    <w:rsid w:val="00455C32"/>
    <w:rsid w:val="00457D79"/>
    <w:rsid w:val="00464C8D"/>
    <w:rsid w:val="00464CC9"/>
    <w:rsid w:val="0046665A"/>
    <w:rsid w:val="0047028E"/>
    <w:rsid w:val="00470FED"/>
    <w:rsid w:val="004713E0"/>
    <w:rsid w:val="004736AA"/>
    <w:rsid w:val="00475201"/>
    <w:rsid w:val="00475D79"/>
    <w:rsid w:val="0047760E"/>
    <w:rsid w:val="00480418"/>
    <w:rsid w:val="00481845"/>
    <w:rsid w:val="0048185B"/>
    <w:rsid w:val="00481E39"/>
    <w:rsid w:val="0048260A"/>
    <w:rsid w:val="00482FFB"/>
    <w:rsid w:val="00484906"/>
    <w:rsid w:val="004867A4"/>
    <w:rsid w:val="00486B23"/>
    <w:rsid w:val="00487935"/>
    <w:rsid w:val="00487C0D"/>
    <w:rsid w:val="004900B8"/>
    <w:rsid w:val="004910BF"/>
    <w:rsid w:val="00491AC8"/>
    <w:rsid w:val="00493958"/>
    <w:rsid w:val="00493DF8"/>
    <w:rsid w:val="004944A7"/>
    <w:rsid w:val="00497570"/>
    <w:rsid w:val="00497998"/>
    <w:rsid w:val="004A106F"/>
    <w:rsid w:val="004A3CC9"/>
    <w:rsid w:val="004A43B9"/>
    <w:rsid w:val="004A5B9A"/>
    <w:rsid w:val="004A7FE8"/>
    <w:rsid w:val="004B3151"/>
    <w:rsid w:val="004B4BD6"/>
    <w:rsid w:val="004B6E42"/>
    <w:rsid w:val="004B74F8"/>
    <w:rsid w:val="004B7C0E"/>
    <w:rsid w:val="004C46FF"/>
    <w:rsid w:val="004C58F4"/>
    <w:rsid w:val="004D1EAB"/>
    <w:rsid w:val="004D23D5"/>
    <w:rsid w:val="004D2FBE"/>
    <w:rsid w:val="004D6223"/>
    <w:rsid w:val="004E1A2B"/>
    <w:rsid w:val="004E209A"/>
    <w:rsid w:val="004E7051"/>
    <w:rsid w:val="004E7967"/>
    <w:rsid w:val="004F046B"/>
    <w:rsid w:val="004F0B2F"/>
    <w:rsid w:val="004F5228"/>
    <w:rsid w:val="004F5A09"/>
    <w:rsid w:val="004F5CE6"/>
    <w:rsid w:val="00500A5C"/>
    <w:rsid w:val="005026CC"/>
    <w:rsid w:val="00503AD1"/>
    <w:rsid w:val="0050449A"/>
    <w:rsid w:val="005061AE"/>
    <w:rsid w:val="00513720"/>
    <w:rsid w:val="0051607A"/>
    <w:rsid w:val="00520464"/>
    <w:rsid w:val="005205F4"/>
    <w:rsid w:val="00524378"/>
    <w:rsid w:val="005269B7"/>
    <w:rsid w:val="00526AD1"/>
    <w:rsid w:val="005315EA"/>
    <w:rsid w:val="00535508"/>
    <w:rsid w:val="00542EF2"/>
    <w:rsid w:val="00545F38"/>
    <w:rsid w:val="0054634E"/>
    <w:rsid w:val="0055424F"/>
    <w:rsid w:val="00555E17"/>
    <w:rsid w:val="00557377"/>
    <w:rsid w:val="00560599"/>
    <w:rsid w:val="00563721"/>
    <w:rsid w:val="00565776"/>
    <w:rsid w:val="00566508"/>
    <w:rsid w:val="00570ACF"/>
    <w:rsid w:val="00573535"/>
    <w:rsid w:val="00573C2D"/>
    <w:rsid w:val="00575BB7"/>
    <w:rsid w:val="00580E08"/>
    <w:rsid w:val="00585250"/>
    <w:rsid w:val="00587796"/>
    <w:rsid w:val="005940DB"/>
    <w:rsid w:val="005A1B0C"/>
    <w:rsid w:val="005A2891"/>
    <w:rsid w:val="005A2AAC"/>
    <w:rsid w:val="005A3C50"/>
    <w:rsid w:val="005A61AB"/>
    <w:rsid w:val="005B0E04"/>
    <w:rsid w:val="005B23D6"/>
    <w:rsid w:val="005B2781"/>
    <w:rsid w:val="005B6872"/>
    <w:rsid w:val="005B6B09"/>
    <w:rsid w:val="005C4DE0"/>
    <w:rsid w:val="005C5B41"/>
    <w:rsid w:val="005C61D6"/>
    <w:rsid w:val="005C7F9E"/>
    <w:rsid w:val="005D315F"/>
    <w:rsid w:val="005E2D06"/>
    <w:rsid w:val="005F1D50"/>
    <w:rsid w:val="005F2A2C"/>
    <w:rsid w:val="005F3BCE"/>
    <w:rsid w:val="005F5087"/>
    <w:rsid w:val="005F5CDA"/>
    <w:rsid w:val="005F69A9"/>
    <w:rsid w:val="00600502"/>
    <w:rsid w:val="0060091E"/>
    <w:rsid w:val="0060605E"/>
    <w:rsid w:val="006139EC"/>
    <w:rsid w:val="00613CC2"/>
    <w:rsid w:val="00615CB4"/>
    <w:rsid w:val="006177AE"/>
    <w:rsid w:val="00620C18"/>
    <w:rsid w:val="00621A4A"/>
    <w:rsid w:val="00624E22"/>
    <w:rsid w:val="00626765"/>
    <w:rsid w:val="006267C6"/>
    <w:rsid w:val="006339F5"/>
    <w:rsid w:val="00634377"/>
    <w:rsid w:val="0063551B"/>
    <w:rsid w:val="00635F82"/>
    <w:rsid w:val="00636B16"/>
    <w:rsid w:val="00636B6E"/>
    <w:rsid w:val="00640620"/>
    <w:rsid w:val="00641D3B"/>
    <w:rsid w:val="00642531"/>
    <w:rsid w:val="00646942"/>
    <w:rsid w:val="006470D8"/>
    <w:rsid w:val="006519AF"/>
    <w:rsid w:val="006549A6"/>
    <w:rsid w:val="0066058B"/>
    <w:rsid w:val="006618F7"/>
    <w:rsid w:val="00662222"/>
    <w:rsid w:val="00663755"/>
    <w:rsid w:val="006674D7"/>
    <w:rsid w:val="00674128"/>
    <w:rsid w:val="00674A82"/>
    <w:rsid w:val="00674D0B"/>
    <w:rsid w:val="00675227"/>
    <w:rsid w:val="006754B7"/>
    <w:rsid w:val="00675630"/>
    <w:rsid w:val="006756C0"/>
    <w:rsid w:val="00676C69"/>
    <w:rsid w:val="00680F03"/>
    <w:rsid w:val="0068122B"/>
    <w:rsid w:val="006826BB"/>
    <w:rsid w:val="006830C9"/>
    <w:rsid w:val="0068364A"/>
    <w:rsid w:val="0068525B"/>
    <w:rsid w:val="00685D4F"/>
    <w:rsid w:val="00685DD6"/>
    <w:rsid w:val="006869A1"/>
    <w:rsid w:val="00686D73"/>
    <w:rsid w:val="006918FD"/>
    <w:rsid w:val="00691D49"/>
    <w:rsid w:val="00692D3B"/>
    <w:rsid w:val="006A17BE"/>
    <w:rsid w:val="006A26EE"/>
    <w:rsid w:val="006A3E64"/>
    <w:rsid w:val="006A3EBB"/>
    <w:rsid w:val="006A515F"/>
    <w:rsid w:val="006A56E4"/>
    <w:rsid w:val="006B029D"/>
    <w:rsid w:val="006B2D41"/>
    <w:rsid w:val="006B6D8D"/>
    <w:rsid w:val="006B7D05"/>
    <w:rsid w:val="006C0226"/>
    <w:rsid w:val="006C1643"/>
    <w:rsid w:val="006C3C15"/>
    <w:rsid w:val="006C7D4F"/>
    <w:rsid w:val="006D28F6"/>
    <w:rsid w:val="006D66D6"/>
    <w:rsid w:val="006D6A44"/>
    <w:rsid w:val="006E75E2"/>
    <w:rsid w:val="006E7964"/>
    <w:rsid w:val="006F01B5"/>
    <w:rsid w:val="006F4AD5"/>
    <w:rsid w:val="006F5527"/>
    <w:rsid w:val="006F6211"/>
    <w:rsid w:val="00702DA8"/>
    <w:rsid w:val="007046F7"/>
    <w:rsid w:val="007076DF"/>
    <w:rsid w:val="007117CE"/>
    <w:rsid w:val="0071377D"/>
    <w:rsid w:val="007138EB"/>
    <w:rsid w:val="007144F6"/>
    <w:rsid w:val="007163FD"/>
    <w:rsid w:val="00716EA8"/>
    <w:rsid w:val="00717F98"/>
    <w:rsid w:val="0072390C"/>
    <w:rsid w:val="00723A6D"/>
    <w:rsid w:val="007269AB"/>
    <w:rsid w:val="00727A28"/>
    <w:rsid w:val="00732F74"/>
    <w:rsid w:val="007332F9"/>
    <w:rsid w:val="00734ED0"/>
    <w:rsid w:val="00736085"/>
    <w:rsid w:val="00740D9C"/>
    <w:rsid w:val="00741394"/>
    <w:rsid w:val="007418D9"/>
    <w:rsid w:val="00741FA2"/>
    <w:rsid w:val="00742173"/>
    <w:rsid w:val="00743CDA"/>
    <w:rsid w:val="00744252"/>
    <w:rsid w:val="00745488"/>
    <w:rsid w:val="00746FD8"/>
    <w:rsid w:val="00750FE0"/>
    <w:rsid w:val="007548E4"/>
    <w:rsid w:val="0075694F"/>
    <w:rsid w:val="00757335"/>
    <w:rsid w:val="007613E1"/>
    <w:rsid w:val="00761522"/>
    <w:rsid w:val="00762E9C"/>
    <w:rsid w:val="00764F3A"/>
    <w:rsid w:val="00770689"/>
    <w:rsid w:val="00772951"/>
    <w:rsid w:val="007752C1"/>
    <w:rsid w:val="0077623A"/>
    <w:rsid w:val="00776D3B"/>
    <w:rsid w:val="007771AD"/>
    <w:rsid w:val="00777BE5"/>
    <w:rsid w:val="00784103"/>
    <w:rsid w:val="00784C0B"/>
    <w:rsid w:val="00792FA5"/>
    <w:rsid w:val="00795A9B"/>
    <w:rsid w:val="007964A2"/>
    <w:rsid w:val="007970F7"/>
    <w:rsid w:val="007A0496"/>
    <w:rsid w:val="007A2D2F"/>
    <w:rsid w:val="007A6F27"/>
    <w:rsid w:val="007A7979"/>
    <w:rsid w:val="007A7D3B"/>
    <w:rsid w:val="007B0321"/>
    <w:rsid w:val="007C035E"/>
    <w:rsid w:val="007C165F"/>
    <w:rsid w:val="007C1DCB"/>
    <w:rsid w:val="007C2679"/>
    <w:rsid w:val="007C29FD"/>
    <w:rsid w:val="007D01BE"/>
    <w:rsid w:val="007D082D"/>
    <w:rsid w:val="007D2377"/>
    <w:rsid w:val="007E1CBA"/>
    <w:rsid w:val="007E22C2"/>
    <w:rsid w:val="007E3861"/>
    <w:rsid w:val="007E4433"/>
    <w:rsid w:val="007E4D02"/>
    <w:rsid w:val="007E5495"/>
    <w:rsid w:val="007F1C4A"/>
    <w:rsid w:val="007F3673"/>
    <w:rsid w:val="007F3B3E"/>
    <w:rsid w:val="007F507E"/>
    <w:rsid w:val="007F61BA"/>
    <w:rsid w:val="007F63B6"/>
    <w:rsid w:val="00800885"/>
    <w:rsid w:val="00800E2F"/>
    <w:rsid w:val="0080162F"/>
    <w:rsid w:val="0080204A"/>
    <w:rsid w:val="008022A8"/>
    <w:rsid w:val="0080286D"/>
    <w:rsid w:val="00811627"/>
    <w:rsid w:val="008117B6"/>
    <w:rsid w:val="00813F99"/>
    <w:rsid w:val="00817E9E"/>
    <w:rsid w:val="00824824"/>
    <w:rsid w:val="0082792B"/>
    <w:rsid w:val="008303A2"/>
    <w:rsid w:val="00830532"/>
    <w:rsid w:val="00831E3F"/>
    <w:rsid w:val="00833913"/>
    <w:rsid w:val="00835A94"/>
    <w:rsid w:val="00836835"/>
    <w:rsid w:val="00836FB4"/>
    <w:rsid w:val="00837B67"/>
    <w:rsid w:val="00837BEB"/>
    <w:rsid w:val="0084055A"/>
    <w:rsid w:val="00846AB1"/>
    <w:rsid w:val="00846B2F"/>
    <w:rsid w:val="00851C18"/>
    <w:rsid w:val="00863EF0"/>
    <w:rsid w:val="00864F1C"/>
    <w:rsid w:val="00872803"/>
    <w:rsid w:val="00872BA2"/>
    <w:rsid w:val="008801AF"/>
    <w:rsid w:val="00881039"/>
    <w:rsid w:val="00882877"/>
    <w:rsid w:val="00883AAA"/>
    <w:rsid w:val="00883CEC"/>
    <w:rsid w:val="00890980"/>
    <w:rsid w:val="00892EBC"/>
    <w:rsid w:val="00895418"/>
    <w:rsid w:val="0089788C"/>
    <w:rsid w:val="00897A7F"/>
    <w:rsid w:val="00897AF8"/>
    <w:rsid w:val="008A09F3"/>
    <w:rsid w:val="008A37E5"/>
    <w:rsid w:val="008A5515"/>
    <w:rsid w:val="008A5FCC"/>
    <w:rsid w:val="008B4846"/>
    <w:rsid w:val="008B749E"/>
    <w:rsid w:val="008C09B5"/>
    <w:rsid w:val="008C2D17"/>
    <w:rsid w:val="008C3E75"/>
    <w:rsid w:val="008C560F"/>
    <w:rsid w:val="008C5F38"/>
    <w:rsid w:val="008C6A20"/>
    <w:rsid w:val="008C7870"/>
    <w:rsid w:val="008D2E08"/>
    <w:rsid w:val="008D4733"/>
    <w:rsid w:val="008D4971"/>
    <w:rsid w:val="008D77FD"/>
    <w:rsid w:val="008E1E77"/>
    <w:rsid w:val="008E6A92"/>
    <w:rsid w:val="008F4C17"/>
    <w:rsid w:val="008F5F07"/>
    <w:rsid w:val="008F7897"/>
    <w:rsid w:val="0090296E"/>
    <w:rsid w:val="009078DB"/>
    <w:rsid w:val="009106E6"/>
    <w:rsid w:val="0091354B"/>
    <w:rsid w:val="00913E49"/>
    <w:rsid w:val="00914B6D"/>
    <w:rsid w:val="00916358"/>
    <w:rsid w:val="009204BB"/>
    <w:rsid w:val="0092107D"/>
    <w:rsid w:val="009214D3"/>
    <w:rsid w:val="009225DE"/>
    <w:rsid w:val="00922AFC"/>
    <w:rsid w:val="00922F72"/>
    <w:rsid w:val="009237A5"/>
    <w:rsid w:val="009271CA"/>
    <w:rsid w:val="009301DE"/>
    <w:rsid w:val="009315F5"/>
    <w:rsid w:val="00933571"/>
    <w:rsid w:val="00933919"/>
    <w:rsid w:val="00934718"/>
    <w:rsid w:val="009370E2"/>
    <w:rsid w:val="009379AA"/>
    <w:rsid w:val="00940535"/>
    <w:rsid w:val="00945F19"/>
    <w:rsid w:val="00950841"/>
    <w:rsid w:val="00954414"/>
    <w:rsid w:val="00957BCF"/>
    <w:rsid w:val="00961671"/>
    <w:rsid w:val="00962B5C"/>
    <w:rsid w:val="009658D6"/>
    <w:rsid w:val="00970CFD"/>
    <w:rsid w:val="00975F96"/>
    <w:rsid w:val="0098324A"/>
    <w:rsid w:val="00985FFB"/>
    <w:rsid w:val="00987CAC"/>
    <w:rsid w:val="00990CFC"/>
    <w:rsid w:val="00993516"/>
    <w:rsid w:val="0099535F"/>
    <w:rsid w:val="00995DD7"/>
    <w:rsid w:val="00995E0E"/>
    <w:rsid w:val="00996052"/>
    <w:rsid w:val="009960C9"/>
    <w:rsid w:val="00996C55"/>
    <w:rsid w:val="00997193"/>
    <w:rsid w:val="00997DA9"/>
    <w:rsid w:val="009A2905"/>
    <w:rsid w:val="009A2C6B"/>
    <w:rsid w:val="009A38CE"/>
    <w:rsid w:val="009A5690"/>
    <w:rsid w:val="009A5B58"/>
    <w:rsid w:val="009A6EB1"/>
    <w:rsid w:val="009A72B6"/>
    <w:rsid w:val="009B159B"/>
    <w:rsid w:val="009B4294"/>
    <w:rsid w:val="009B430C"/>
    <w:rsid w:val="009B5295"/>
    <w:rsid w:val="009B7374"/>
    <w:rsid w:val="009B7C98"/>
    <w:rsid w:val="009C0727"/>
    <w:rsid w:val="009C1EF7"/>
    <w:rsid w:val="009C2556"/>
    <w:rsid w:val="009C52A7"/>
    <w:rsid w:val="009C6C52"/>
    <w:rsid w:val="009D0295"/>
    <w:rsid w:val="009D06AE"/>
    <w:rsid w:val="009D1486"/>
    <w:rsid w:val="009D162F"/>
    <w:rsid w:val="009D1776"/>
    <w:rsid w:val="009D2EA2"/>
    <w:rsid w:val="009D5976"/>
    <w:rsid w:val="009D79AE"/>
    <w:rsid w:val="009E040A"/>
    <w:rsid w:val="009E2345"/>
    <w:rsid w:val="009E40AA"/>
    <w:rsid w:val="009E4E40"/>
    <w:rsid w:val="009E710F"/>
    <w:rsid w:val="009F5B77"/>
    <w:rsid w:val="009F6A10"/>
    <w:rsid w:val="00A0253A"/>
    <w:rsid w:val="00A02A94"/>
    <w:rsid w:val="00A03293"/>
    <w:rsid w:val="00A0443D"/>
    <w:rsid w:val="00A10193"/>
    <w:rsid w:val="00A14055"/>
    <w:rsid w:val="00A14E15"/>
    <w:rsid w:val="00A24540"/>
    <w:rsid w:val="00A25107"/>
    <w:rsid w:val="00A27388"/>
    <w:rsid w:val="00A300BF"/>
    <w:rsid w:val="00A30F95"/>
    <w:rsid w:val="00A3163E"/>
    <w:rsid w:val="00A3255E"/>
    <w:rsid w:val="00A331C8"/>
    <w:rsid w:val="00A43E28"/>
    <w:rsid w:val="00A46428"/>
    <w:rsid w:val="00A47436"/>
    <w:rsid w:val="00A5105C"/>
    <w:rsid w:val="00A54B31"/>
    <w:rsid w:val="00A5691B"/>
    <w:rsid w:val="00A76173"/>
    <w:rsid w:val="00A762E1"/>
    <w:rsid w:val="00A77AE4"/>
    <w:rsid w:val="00A806F4"/>
    <w:rsid w:val="00A81FA6"/>
    <w:rsid w:val="00A84237"/>
    <w:rsid w:val="00A84E31"/>
    <w:rsid w:val="00A8697D"/>
    <w:rsid w:val="00A873DD"/>
    <w:rsid w:val="00A9059D"/>
    <w:rsid w:val="00A928F7"/>
    <w:rsid w:val="00A949FF"/>
    <w:rsid w:val="00A955CC"/>
    <w:rsid w:val="00A957E0"/>
    <w:rsid w:val="00AA0175"/>
    <w:rsid w:val="00AA0A83"/>
    <w:rsid w:val="00AA25E4"/>
    <w:rsid w:val="00AA3112"/>
    <w:rsid w:val="00AA5510"/>
    <w:rsid w:val="00AA6162"/>
    <w:rsid w:val="00AA733A"/>
    <w:rsid w:val="00AA7B6C"/>
    <w:rsid w:val="00AA7F1A"/>
    <w:rsid w:val="00AB25F9"/>
    <w:rsid w:val="00AB2F51"/>
    <w:rsid w:val="00AB3D47"/>
    <w:rsid w:val="00AB444F"/>
    <w:rsid w:val="00AB49F5"/>
    <w:rsid w:val="00AC1689"/>
    <w:rsid w:val="00AC1FDD"/>
    <w:rsid w:val="00AC2DE2"/>
    <w:rsid w:val="00AC4D72"/>
    <w:rsid w:val="00AC4F4B"/>
    <w:rsid w:val="00AC71A6"/>
    <w:rsid w:val="00AD15E0"/>
    <w:rsid w:val="00AD20E9"/>
    <w:rsid w:val="00AD24FE"/>
    <w:rsid w:val="00AD362B"/>
    <w:rsid w:val="00AD4B24"/>
    <w:rsid w:val="00AD729C"/>
    <w:rsid w:val="00AD73C3"/>
    <w:rsid w:val="00AE0192"/>
    <w:rsid w:val="00AE2FF1"/>
    <w:rsid w:val="00AE36A3"/>
    <w:rsid w:val="00AE515D"/>
    <w:rsid w:val="00AF3041"/>
    <w:rsid w:val="00AF48CD"/>
    <w:rsid w:val="00AF59D2"/>
    <w:rsid w:val="00AF5E69"/>
    <w:rsid w:val="00AF5FAD"/>
    <w:rsid w:val="00AF7EC8"/>
    <w:rsid w:val="00B015A7"/>
    <w:rsid w:val="00B01F89"/>
    <w:rsid w:val="00B040D7"/>
    <w:rsid w:val="00B053D9"/>
    <w:rsid w:val="00B06556"/>
    <w:rsid w:val="00B07368"/>
    <w:rsid w:val="00B11F31"/>
    <w:rsid w:val="00B12C14"/>
    <w:rsid w:val="00B16F92"/>
    <w:rsid w:val="00B21E7A"/>
    <w:rsid w:val="00B21EA3"/>
    <w:rsid w:val="00B3388D"/>
    <w:rsid w:val="00B345D9"/>
    <w:rsid w:val="00B34DF8"/>
    <w:rsid w:val="00B372BF"/>
    <w:rsid w:val="00B42940"/>
    <w:rsid w:val="00B43883"/>
    <w:rsid w:val="00B43D0A"/>
    <w:rsid w:val="00B43FEF"/>
    <w:rsid w:val="00B44303"/>
    <w:rsid w:val="00B47D07"/>
    <w:rsid w:val="00B5144B"/>
    <w:rsid w:val="00B5170B"/>
    <w:rsid w:val="00B53992"/>
    <w:rsid w:val="00B53D6E"/>
    <w:rsid w:val="00B56DF0"/>
    <w:rsid w:val="00B63DBF"/>
    <w:rsid w:val="00B64873"/>
    <w:rsid w:val="00B651E3"/>
    <w:rsid w:val="00B67FEA"/>
    <w:rsid w:val="00B710D2"/>
    <w:rsid w:val="00B7113C"/>
    <w:rsid w:val="00B712CC"/>
    <w:rsid w:val="00B723DF"/>
    <w:rsid w:val="00B731DE"/>
    <w:rsid w:val="00B74252"/>
    <w:rsid w:val="00B75E73"/>
    <w:rsid w:val="00B77533"/>
    <w:rsid w:val="00B85149"/>
    <w:rsid w:val="00B85A12"/>
    <w:rsid w:val="00B86498"/>
    <w:rsid w:val="00B87E22"/>
    <w:rsid w:val="00B9063F"/>
    <w:rsid w:val="00B945D4"/>
    <w:rsid w:val="00B94BAD"/>
    <w:rsid w:val="00BA084B"/>
    <w:rsid w:val="00BA55C7"/>
    <w:rsid w:val="00BA5870"/>
    <w:rsid w:val="00BA679F"/>
    <w:rsid w:val="00BB0399"/>
    <w:rsid w:val="00BB0EFB"/>
    <w:rsid w:val="00BB3223"/>
    <w:rsid w:val="00BB3B1B"/>
    <w:rsid w:val="00BB4344"/>
    <w:rsid w:val="00BB5074"/>
    <w:rsid w:val="00BC308B"/>
    <w:rsid w:val="00BC3B27"/>
    <w:rsid w:val="00BC4C9B"/>
    <w:rsid w:val="00BC5D6C"/>
    <w:rsid w:val="00BC7BEA"/>
    <w:rsid w:val="00BD209D"/>
    <w:rsid w:val="00BD4BBB"/>
    <w:rsid w:val="00BE08C4"/>
    <w:rsid w:val="00BE467F"/>
    <w:rsid w:val="00BE4DAD"/>
    <w:rsid w:val="00BE5E4B"/>
    <w:rsid w:val="00BE6C2B"/>
    <w:rsid w:val="00BE716C"/>
    <w:rsid w:val="00BF1AB9"/>
    <w:rsid w:val="00BF29E1"/>
    <w:rsid w:val="00BF2F12"/>
    <w:rsid w:val="00BF328B"/>
    <w:rsid w:val="00BF3A82"/>
    <w:rsid w:val="00BF3ADC"/>
    <w:rsid w:val="00BF4C9A"/>
    <w:rsid w:val="00BF58CF"/>
    <w:rsid w:val="00BF7554"/>
    <w:rsid w:val="00C0339F"/>
    <w:rsid w:val="00C07331"/>
    <w:rsid w:val="00C10955"/>
    <w:rsid w:val="00C128B5"/>
    <w:rsid w:val="00C13C70"/>
    <w:rsid w:val="00C15006"/>
    <w:rsid w:val="00C16D3F"/>
    <w:rsid w:val="00C16F89"/>
    <w:rsid w:val="00C20A34"/>
    <w:rsid w:val="00C22BC5"/>
    <w:rsid w:val="00C22CEA"/>
    <w:rsid w:val="00C24103"/>
    <w:rsid w:val="00C3073F"/>
    <w:rsid w:val="00C31877"/>
    <w:rsid w:val="00C31885"/>
    <w:rsid w:val="00C347A8"/>
    <w:rsid w:val="00C4222C"/>
    <w:rsid w:val="00C42BB6"/>
    <w:rsid w:val="00C43515"/>
    <w:rsid w:val="00C46BC0"/>
    <w:rsid w:val="00C50F36"/>
    <w:rsid w:val="00C53B91"/>
    <w:rsid w:val="00C5460D"/>
    <w:rsid w:val="00C5610C"/>
    <w:rsid w:val="00C60629"/>
    <w:rsid w:val="00C60694"/>
    <w:rsid w:val="00C620D3"/>
    <w:rsid w:val="00C62687"/>
    <w:rsid w:val="00C63D62"/>
    <w:rsid w:val="00C64195"/>
    <w:rsid w:val="00C64773"/>
    <w:rsid w:val="00C72BBA"/>
    <w:rsid w:val="00C73A21"/>
    <w:rsid w:val="00C76728"/>
    <w:rsid w:val="00C80771"/>
    <w:rsid w:val="00C836EC"/>
    <w:rsid w:val="00C844F7"/>
    <w:rsid w:val="00C84D0E"/>
    <w:rsid w:val="00C859C7"/>
    <w:rsid w:val="00C8680A"/>
    <w:rsid w:val="00C87B56"/>
    <w:rsid w:val="00C87D7F"/>
    <w:rsid w:val="00C91002"/>
    <w:rsid w:val="00C91F78"/>
    <w:rsid w:val="00C93462"/>
    <w:rsid w:val="00C9375C"/>
    <w:rsid w:val="00C96EAD"/>
    <w:rsid w:val="00C97042"/>
    <w:rsid w:val="00C979F3"/>
    <w:rsid w:val="00CA0EED"/>
    <w:rsid w:val="00CA2318"/>
    <w:rsid w:val="00CA2794"/>
    <w:rsid w:val="00CA32A9"/>
    <w:rsid w:val="00CB1215"/>
    <w:rsid w:val="00CB1C21"/>
    <w:rsid w:val="00CB322C"/>
    <w:rsid w:val="00CB630A"/>
    <w:rsid w:val="00CB65EF"/>
    <w:rsid w:val="00CB6DBB"/>
    <w:rsid w:val="00CB7903"/>
    <w:rsid w:val="00CC03E3"/>
    <w:rsid w:val="00CC0D0A"/>
    <w:rsid w:val="00CC0FBB"/>
    <w:rsid w:val="00CC1B7D"/>
    <w:rsid w:val="00CC2F73"/>
    <w:rsid w:val="00CC41DA"/>
    <w:rsid w:val="00CC5AB4"/>
    <w:rsid w:val="00CC6C4E"/>
    <w:rsid w:val="00CC6EA3"/>
    <w:rsid w:val="00CD31AC"/>
    <w:rsid w:val="00CD6700"/>
    <w:rsid w:val="00CD6C71"/>
    <w:rsid w:val="00CE10C0"/>
    <w:rsid w:val="00CE1F32"/>
    <w:rsid w:val="00CE313B"/>
    <w:rsid w:val="00CE496A"/>
    <w:rsid w:val="00CF0ECB"/>
    <w:rsid w:val="00CF1D5A"/>
    <w:rsid w:val="00D01CEF"/>
    <w:rsid w:val="00D02A61"/>
    <w:rsid w:val="00D038F3"/>
    <w:rsid w:val="00D0526A"/>
    <w:rsid w:val="00D06225"/>
    <w:rsid w:val="00D06537"/>
    <w:rsid w:val="00D075C8"/>
    <w:rsid w:val="00D1367B"/>
    <w:rsid w:val="00D14F5B"/>
    <w:rsid w:val="00D15973"/>
    <w:rsid w:val="00D17713"/>
    <w:rsid w:val="00D17CB6"/>
    <w:rsid w:val="00D200CF"/>
    <w:rsid w:val="00D20FFB"/>
    <w:rsid w:val="00D260F8"/>
    <w:rsid w:val="00D26D78"/>
    <w:rsid w:val="00D32E6E"/>
    <w:rsid w:val="00D350D0"/>
    <w:rsid w:val="00D41699"/>
    <w:rsid w:val="00D43A30"/>
    <w:rsid w:val="00D445FA"/>
    <w:rsid w:val="00D4503A"/>
    <w:rsid w:val="00D4520B"/>
    <w:rsid w:val="00D46B21"/>
    <w:rsid w:val="00D4777B"/>
    <w:rsid w:val="00D54752"/>
    <w:rsid w:val="00D56B8F"/>
    <w:rsid w:val="00D5791A"/>
    <w:rsid w:val="00D60DC5"/>
    <w:rsid w:val="00D623EB"/>
    <w:rsid w:val="00D637FE"/>
    <w:rsid w:val="00D66D1C"/>
    <w:rsid w:val="00D67BB2"/>
    <w:rsid w:val="00D72133"/>
    <w:rsid w:val="00D73299"/>
    <w:rsid w:val="00D75FCF"/>
    <w:rsid w:val="00D7605F"/>
    <w:rsid w:val="00D76B66"/>
    <w:rsid w:val="00D773D0"/>
    <w:rsid w:val="00D77DC0"/>
    <w:rsid w:val="00D80073"/>
    <w:rsid w:val="00D8119D"/>
    <w:rsid w:val="00D811FA"/>
    <w:rsid w:val="00D81A8E"/>
    <w:rsid w:val="00D8329D"/>
    <w:rsid w:val="00D85ED0"/>
    <w:rsid w:val="00D90957"/>
    <w:rsid w:val="00D90EBF"/>
    <w:rsid w:val="00D91EF5"/>
    <w:rsid w:val="00D9611D"/>
    <w:rsid w:val="00D97463"/>
    <w:rsid w:val="00D9773D"/>
    <w:rsid w:val="00D97C6C"/>
    <w:rsid w:val="00DA6F34"/>
    <w:rsid w:val="00DB17B0"/>
    <w:rsid w:val="00DB3AAA"/>
    <w:rsid w:val="00DC3253"/>
    <w:rsid w:val="00DC5FA6"/>
    <w:rsid w:val="00DC6760"/>
    <w:rsid w:val="00DD38FF"/>
    <w:rsid w:val="00DD4B3A"/>
    <w:rsid w:val="00DD60C4"/>
    <w:rsid w:val="00DE5657"/>
    <w:rsid w:val="00DE7AA5"/>
    <w:rsid w:val="00DF0316"/>
    <w:rsid w:val="00DF0BF2"/>
    <w:rsid w:val="00DF11D0"/>
    <w:rsid w:val="00DF4473"/>
    <w:rsid w:val="00DF519C"/>
    <w:rsid w:val="00DF57DB"/>
    <w:rsid w:val="00E00339"/>
    <w:rsid w:val="00E014FE"/>
    <w:rsid w:val="00E04238"/>
    <w:rsid w:val="00E12E0B"/>
    <w:rsid w:val="00E1539A"/>
    <w:rsid w:val="00E206EA"/>
    <w:rsid w:val="00E22C4B"/>
    <w:rsid w:val="00E230B4"/>
    <w:rsid w:val="00E24CCA"/>
    <w:rsid w:val="00E25E62"/>
    <w:rsid w:val="00E25F82"/>
    <w:rsid w:val="00E2669F"/>
    <w:rsid w:val="00E2702D"/>
    <w:rsid w:val="00E30182"/>
    <w:rsid w:val="00E3229A"/>
    <w:rsid w:val="00E33D16"/>
    <w:rsid w:val="00E36364"/>
    <w:rsid w:val="00E41451"/>
    <w:rsid w:val="00E415B8"/>
    <w:rsid w:val="00E427EE"/>
    <w:rsid w:val="00E45817"/>
    <w:rsid w:val="00E45BFB"/>
    <w:rsid w:val="00E46F93"/>
    <w:rsid w:val="00E6068D"/>
    <w:rsid w:val="00E61C32"/>
    <w:rsid w:val="00E629D1"/>
    <w:rsid w:val="00E6557B"/>
    <w:rsid w:val="00E66945"/>
    <w:rsid w:val="00E70C45"/>
    <w:rsid w:val="00E7213A"/>
    <w:rsid w:val="00E73382"/>
    <w:rsid w:val="00E75502"/>
    <w:rsid w:val="00E75ABE"/>
    <w:rsid w:val="00E7646B"/>
    <w:rsid w:val="00E77F8B"/>
    <w:rsid w:val="00E81560"/>
    <w:rsid w:val="00E83789"/>
    <w:rsid w:val="00E83838"/>
    <w:rsid w:val="00E850BA"/>
    <w:rsid w:val="00E8562C"/>
    <w:rsid w:val="00E86556"/>
    <w:rsid w:val="00E907EA"/>
    <w:rsid w:val="00E91310"/>
    <w:rsid w:val="00E92FA6"/>
    <w:rsid w:val="00E9477E"/>
    <w:rsid w:val="00E958D7"/>
    <w:rsid w:val="00E9694D"/>
    <w:rsid w:val="00EA1AF6"/>
    <w:rsid w:val="00EA2EEB"/>
    <w:rsid w:val="00EA342A"/>
    <w:rsid w:val="00EA5D5D"/>
    <w:rsid w:val="00EA692F"/>
    <w:rsid w:val="00EB37A8"/>
    <w:rsid w:val="00EB3B15"/>
    <w:rsid w:val="00EB40B0"/>
    <w:rsid w:val="00EB4443"/>
    <w:rsid w:val="00EB532B"/>
    <w:rsid w:val="00EC097B"/>
    <w:rsid w:val="00EC16F8"/>
    <w:rsid w:val="00EC1C7C"/>
    <w:rsid w:val="00EC336E"/>
    <w:rsid w:val="00EC7BBB"/>
    <w:rsid w:val="00ED249E"/>
    <w:rsid w:val="00ED2C08"/>
    <w:rsid w:val="00ED428E"/>
    <w:rsid w:val="00ED560D"/>
    <w:rsid w:val="00ED6B98"/>
    <w:rsid w:val="00ED6C94"/>
    <w:rsid w:val="00EE1040"/>
    <w:rsid w:val="00EE58ED"/>
    <w:rsid w:val="00EE5B40"/>
    <w:rsid w:val="00EE67F7"/>
    <w:rsid w:val="00EE7685"/>
    <w:rsid w:val="00EF029E"/>
    <w:rsid w:val="00EF0EA0"/>
    <w:rsid w:val="00EF35D0"/>
    <w:rsid w:val="00EF4396"/>
    <w:rsid w:val="00EF4C89"/>
    <w:rsid w:val="00EF4EBE"/>
    <w:rsid w:val="00EF5F9F"/>
    <w:rsid w:val="00EF64BD"/>
    <w:rsid w:val="00EF688D"/>
    <w:rsid w:val="00F00EB5"/>
    <w:rsid w:val="00F05050"/>
    <w:rsid w:val="00F050F6"/>
    <w:rsid w:val="00F12FA6"/>
    <w:rsid w:val="00F141DF"/>
    <w:rsid w:val="00F15307"/>
    <w:rsid w:val="00F16041"/>
    <w:rsid w:val="00F17A7A"/>
    <w:rsid w:val="00F22538"/>
    <w:rsid w:val="00F25611"/>
    <w:rsid w:val="00F30A87"/>
    <w:rsid w:val="00F31DA3"/>
    <w:rsid w:val="00F3371D"/>
    <w:rsid w:val="00F33DBC"/>
    <w:rsid w:val="00F406A9"/>
    <w:rsid w:val="00F40BF4"/>
    <w:rsid w:val="00F41942"/>
    <w:rsid w:val="00F43BA6"/>
    <w:rsid w:val="00F43D8C"/>
    <w:rsid w:val="00F46882"/>
    <w:rsid w:val="00F5227C"/>
    <w:rsid w:val="00F52DF8"/>
    <w:rsid w:val="00F54C78"/>
    <w:rsid w:val="00F57850"/>
    <w:rsid w:val="00F6011C"/>
    <w:rsid w:val="00F61778"/>
    <w:rsid w:val="00F643DA"/>
    <w:rsid w:val="00F64763"/>
    <w:rsid w:val="00F656AF"/>
    <w:rsid w:val="00F65C61"/>
    <w:rsid w:val="00F6667B"/>
    <w:rsid w:val="00F67A1C"/>
    <w:rsid w:val="00F7027C"/>
    <w:rsid w:val="00F70333"/>
    <w:rsid w:val="00F73106"/>
    <w:rsid w:val="00F7494E"/>
    <w:rsid w:val="00F74B06"/>
    <w:rsid w:val="00F800CB"/>
    <w:rsid w:val="00F80AFA"/>
    <w:rsid w:val="00F8155F"/>
    <w:rsid w:val="00F82889"/>
    <w:rsid w:val="00F82D92"/>
    <w:rsid w:val="00F860A4"/>
    <w:rsid w:val="00F86357"/>
    <w:rsid w:val="00F87BF8"/>
    <w:rsid w:val="00F93C02"/>
    <w:rsid w:val="00F95C7C"/>
    <w:rsid w:val="00FA13BE"/>
    <w:rsid w:val="00FA4229"/>
    <w:rsid w:val="00FA65D1"/>
    <w:rsid w:val="00FA6CA0"/>
    <w:rsid w:val="00FA701F"/>
    <w:rsid w:val="00FA7CEA"/>
    <w:rsid w:val="00FB01B3"/>
    <w:rsid w:val="00FB49ED"/>
    <w:rsid w:val="00FB5013"/>
    <w:rsid w:val="00FB6A28"/>
    <w:rsid w:val="00FC1241"/>
    <w:rsid w:val="00FC1F82"/>
    <w:rsid w:val="00FC260C"/>
    <w:rsid w:val="00FC662C"/>
    <w:rsid w:val="00FC7B75"/>
    <w:rsid w:val="00FC7FB2"/>
    <w:rsid w:val="00FD2F99"/>
    <w:rsid w:val="00FD3B61"/>
    <w:rsid w:val="00FD5E0B"/>
    <w:rsid w:val="00FD6BB7"/>
    <w:rsid w:val="00FE317E"/>
    <w:rsid w:val="00FE4B51"/>
    <w:rsid w:val="00FE752E"/>
    <w:rsid w:val="00FE7DFE"/>
    <w:rsid w:val="00FF06F1"/>
    <w:rsid w:val="00FF2C7A"/>
    <w:rsid w:val="00FF4869"/>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A5DA09F-BFB4-4848-9451-EF5E8F85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65F"/>
  </w:style>
  <w:style w:type="paragraph" w:styleId="Heading1">
    <w:name w:val="heading 1"/>
    <w:basedOn w:val="Normal"/>
    <w:next w:val="Normal"/>
    <w:link w:val="Heading1Char"/>
    <w:uiPriority w:val="9"/>
    <w:qFormat/>
    <w:rsid w:val="007C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16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70CFD"/>
    <w:pPr>
      <w:keepNext/>
      <w:keepLines/>
      <w:spacing w:before="200" w:after="0"/>
      <w:outlineLvl w:val="3"/>
    </w:pPr>
    <w:rPr>
      <w:rFonts w:eastAsiaTheme="majorEastAsia" w:cstheme="majorBidi"/>
      <w:bCs/>
      <w:i/>
      <w:iCs/>
      <w:color w:val="4F81BD" w:themeColor="accent1"/>
      <w:sz w:val="24"/>
    </w:rPr>
  </w:style>
  <w:style w:type="paragraph" w:styleId="Heading5">
    <w:name w:val="heading 5"/>
    <w:basedOn w:val="Normal"/>
    <w:next w:val="Normal"/>
    <w:link w:val="Heading5Char"/>
    <w:uiPriority w:val="9"/>
    <w:unhideWhenUsed/>
    <w:qFormat/>
    <w:rsid w:val="007C16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16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16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16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C16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E91310"/>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Triangles">
    <w:name w:val="1Triangles"/>
    <w:rsid w:val="00E91310"/>
    <w:pPr>
      <w:widowControl w:val="0"/>
      <w:tabs>
        <w:tab w:val="left" w:pos="720"/>
      </w:tabs>
      <w:autoSpaceDE w:val="0"/>
      <w:autoSpaceDN w:val="0"/>
      <w:adjustRightInd w:val="0"/>
      <w:ind w:left="720" w:hanging="720"/>
      <w:jc w:val="both"/>
    </w:pPr>
    <w:rPr>
      <w:sz w:val="24"/>
      <w:szCs w:val="24"/>
    </w:rPr>
  </w:style>
  <w:style w:type="paragraph" w:customStyle="1" w:styleId="2Triangles">
    <w:name w:val="2Triangles"/>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Triangles">
    <w:name w:val="3Triangles"/>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Triangles">
    <w:name w:val="4Triangles"/>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Triangles">
    <w:name w:val="5Triangles"/>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Triangles">
    <w:name w:val="6Triangles"/>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Triangles">
    <w:name w:val="7Triangles"/>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Triangles">
    <w:name w:val="8Triangles"/>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E91310"/>
    <w:pPr>
      <w:widowControl w:val="0"/>
      <w:autoSpaceDE w:val="0"/>
      <w:autoSpaceDN w:val="0"/>
      <w:adjustRightInd w:val="0"/>
      <w:ind w:left="-1080"/>
    </w:pPr>
    <w:rPr>
      <w:sz w:val="24"/>
      <w:szCs w:val="24"/>
    </w:rPr>
  </w:style>
  <w:style w:type="character" w:customStyle="1" w:styleId="DefaultPara">
    <w:name w:val="Default Para"/>
    <w:rsid w:val="00E91310"/>
  </w:style>
  <w:style w:type="character" w:customStyle="1" w:styleId="SYSHYPERTEXT">
    <w:name w:val="SYS_HYPERTEXT"/>
    <w:rsid w:val="00E91310"/>
    <w:rPr>
      <w:color w:val="0000FF"/>
    </w:rPr>
  </w:style>
  <w:style w:type="paragraph" w:styleId="Header">
    <w:name w:val="header"/>
    <w:basedOn w:val="Normal"/>
    <w:rsid w:val="00E91310"/>
    <w:pPr>
      <w:tabs>
        <w:tab w:val="center" w:pos="4320"/>
        <w:tab w:val="right" w:pos="8640"/>
      </w:tabs>
    </w:pPr>
  </w:style>
  <w:style w:type="character" w:styleId="PageNumber">
    <w:name w:val="page number"/>
    <w:basedOn w:val="DefaultParagraphFont"/>
    <w:rsid w:val="00E91310"/>
  </w:style>
  <w:style w:type="paragraph" w:styleId="BodyText">
    <w:name w:val="Body Text"/>
    <w:basedOn w:val="Normal"/>
    <w:link w:val="BodyTextChar"/>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FF"/>
    </w:rPr>
  </w:style>
  <w:style w:type="paragraph" w:styleId="Caption">
    <w:name w:val="caption"/>
    <w:basedOn w:val="Normal"/>
    <w:next w:val="Normal"/>
    <w:uiPriority w:val="35"/>
    <w:unhideWhenUsed/>
    <w:qFormat/>
    <w:rsid w:val="007C165F"/>
    <w:pPr>
      <w:spacing w:line="240" w:lineRule="auto"/>
    </w:pPr>
    <w:rPr>
      <w:b/>
      <w:bCs/>
      <w:color w:val="4F81BD" w:themeColor="accent1"/>
      <w:sz w:val="18"/>
      <w:szCs w:val="18"/>
    </w:rPr>
  </w:style>
  <w:style w:type="paragraph" w:styleId="BodyText2">
    <w:name w:val="Body Text 2"/>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3">
    <w:name w:val="Body Text 3"/>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styleId="Hyperlink">
    <w:name w:val="Hyperlink"/>
    <w:rsid w:val="00E91310"/>
    <w:rPr>
      <w:color w:val="0000FF"/>
      <w:u w:val="single"/>
    </w:rPr>
  </w:style>
  <w:style w:type="character" w:styleId="FollowedHyperlink">
    <w:name w:val="FollowedHyperlink"/>
    <w:rsid w:val="00E91310"/>
    <w:rPr>
      <w:color w:val="800080"/>
      <w:u w:val="single"/>
    </w:rPr>
  </w:style>
  <w:style w:type="paragraph" w:styleId="Footer">
    <w:name w:val="footer"/>
    <w:basedOn w:val="Normal"/>
    <w:link w:val="FooterChar"/>
    <w:uiPriority w:val="99"/>
    <w:rsid w:val="00E91310"/>
    <w:pPr>
      <w:tabs>
        <w:tab w:val="center" w:pos="4320"/>
        <w:tab w:val="right" w:pos="8640"/>
      </w:tabs>
    </w:pPr>
  </w:style>
  <w:style w:type="paragraph" w:customStyle="1" w:styleId="Default">
    <w:name w:val="Default"/>
    <w:rsid w:val="0080088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05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C89"/>
    <w:rPr>
      <w:rFonts w:ascii="Tahoma" w:hAnsi="Tahoma" w:cs="Tahoma"/>
      <w:sz w:val="16"/>
      <w:szCs w:val="16"/>
    </w:rPr>
  </w:style>
  <w:style w:type="paragraph" w:styleId="ListParagraph">
    <w:name w:val="List Paragraph"/>
    <w:basedOn w:val="Normal"/>
    <w:uiPriority w:val="34"/>
    <w:qFormat/>
    <w:rsid w:val="007C165F"/>
    <w:pPr>
      <w:ind w:left="720"/>
      <w:contextualSpacing/>
    </w:pPr>
  </w:style>
  <w:style w:type="paragraph" w:styleId="ListBullet">
    <w:name w:val="List Bullet"/>
    <w:basedOn w:val="Normal"/>
    <w:rsid w:val="00C4222C"/>
    <w:pPr>
      <w:numPr>
        <w:numId w:val="1"/>
      </w:numPr>
      <w:spacing w:after="120"/>
    </w:pPr>
  </w:style>
  <w:style w:type="character" w:customStyle="1" w:styleId="BodyTextChar">
    <w:name w:val="Body Text Char"/>
    <w:basedOn w:val="DefaultParagraphFont"/>
    <w:link w:val="BodyText"/>
    <w:rsid w:val="00CE313B"/>
    <w:rPr>
      <w:color w:val="FF00FF"/>
      <w:sz w:val="22"/>
      <w:szCs w:val="22"/>
    </w:rPr>
  </w:style>
  <w:style w:type="paragraph" w:customStyle="1" w:styleId="StyleListBulletAfter12pt">
    <w:name w:val="Style List Bullet + After:  12 pt"/>
    <w:basedOn w:val="ListBullet"/>
    <w:rsid w:val="00C4222C"/>
  </w:style>
  <w:style w:type="character" w:styleId="Strong">
    <w:name w:val="Strong"/>
    <w:basedOn w:val="DefaultParagraphFont"/>
    <w:uiPriority w:val="22"/>
    <w:qFormat/>
    <w:rsid w:val="007C165F"/>
    <w:rPr>
      <w:b/>
      <w:bCs/>
    </w:rPr>
  </w:style>
  <w:style w:type="character" w:styleId="Emphasis">
    <w:name w:val="Emphasis"/>
    <w:basedOn w:val="DefaultParagraphFont"/>
    <w:uiPriority w:val="2"/>
    <w:qFormat/>
    <w:rsid w:val="007C165F"/>
    <w:rPr>
      <w:i/>
      <w:iCs/>
    </w:rPr>
  </w:style>
  <w:style w:type="paragraph" w:styleId="Revision">
    <w:name w:val="Revision"/>
    <w:hidden/>
    <w:uiPriority w:val="99"/>
    <w:semiHidden/>
    <w:rsid w:val="00895418"/>
  </w:style>
  <w:style w:type="paragraph" w:styleId="NoSpacing">
    <w:name w:val="No Spacing"/>
    <w:uiPriority w:val="1"/>
    <w:qFormat/>
    <w:rsid w:val="007C165F"/>
    <w:pPr>
      <w:spacing w:after="0" w:line="240" w:lineRule="auto"/>
    </w:pPr>
  </w:style>
  <w:style w:type="character" w:customStyle="1" w:styleId="Heading1Char">
    <w:name w:val="Heading 1 Char"/>
    <w:basedOn w:val="DefaultParagraphFont"/>
    <w:link w:val="Heading1"/>
    <w:uiPriority w:val="9"/>
    <w:rsid w:val="007C1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6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16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70CFD"/>
    <w:rPr>
      <w:rFonts w:eastAsiaTheme="majorEastAsia" w:cstheme="majorBidi"/>
      <w:bCs/>
      <w:i/>
      <w:iCs/>
      <w:color w:val="4F81BD" w:themeColor="accent1"/>
      <w:sz w:val="24"/>
    </w:rPr>
  </w:style>
  <w:style w:type="character" w:customStyle="1" w:styleId="Heading5Char">
    <w:name w:val="Heading 5 Char"/>
    <w:basedOn w:val="DefaultParagraphFont"/>
    <w:link w:val="Heading5"/>
    <w:uiPriority w:val="9"/>
    <w:rsid w:val="007C16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C16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16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16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C165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C16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16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C1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165F"/>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7C165F"/>
    <w:rPr>
      <w:i/>
      <w:iCs/>
      <w:color w:val="000000" w:themeColor="text1"/>
    </w:rPr>
  </w:style>
  <w:style w:type="character" w:customStyle="1" w:styleId="QuoteChar">
    <w:name w:val="Quote Char"/>
    <w:basedOn w:val="DefaultParagraphFont"/>
    <w:link w:val="Quote"/>
    <w:uiPriority w:val="29"/>
    <w:rsid w:val="007C165F"/>
    <w:rPr>
      <w:i/>
      <w:iCs/>
      <w:color w:val="000000" w:themeColor="text1"/>
    </w:rPr>
  </w:style>
  <w:style w:type="paragraph" w:styleId="IntenseQuote">
    <w:name w:val="Intense Quote"/>
    <w:basedOn w:val="Normal"/>
    <w:next w:val="Normal"/>
    <w:link w:val="IntenseQuoteChar"/>
    <w:uiPriority w:val="30"/>
    <w:qFormat/>
    <w:rsid w:val="007C16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165F"/>
    <w:rPr>
      <w:b/>
      <w:bCs/>
      <w:i/>
      <w:iCs/>
      <w:color w:val="4F81BD" w:themeColor="accent1"/>
    </w:rPr>
  </w:style>
  <w:style w:type="character" w:styleId="SubtleEmphasis">
    <w:name w:val="Subtle Emphasis"/>
    <w:basedOn w:val="DefaultParagraphFont"/>
    <w:uiPriority w:val="19"/>
    <w:qFormat/>
    <w:rsid w:val="007C165F"/>
    <w:rPr>
      <w:i/>
      <w:iCs/>
      <w:color w:val="808080" w:themeColor="text1" w:themeTint="7F"/>
    </w:rPr>
  </w:style>
  <w:style w:type="character" w:styleId="IntenseEmphasis">
    <w:name w:val="Intense Emphasis"/>
    <w:basedOn w:val="DefaultParagraphFont"/>
    <w:uiPriority w:val="21"/>
    <w:qFormat/>
    <w:rsid w:val="007C165F"/>
    <w:rPr>
      <w:b/>
      <w:bCs/>
      <w:i/>
      <w:iCs/>
      <w:color w:val="4F81BD" w:themeColor="accent1"/>
    </w:rPr>
  </w:style>
  <w:style w:type="character" w:styleId="SubtleReference">
    <w:name w:val="Subtle Reference"/>
    <w:basedOn w:val="DefaultParagraphFont"/>
    <w:uiPriority w:val="31"/>
    <w:qFormat/>
    <w:rsid w:val="007C165F"/>
    <w:rPr>
      <w:smallCaps/>
      <w:color w:val="C0504D" w:themeColor="accent2"/>
      <w:u w:val="single"/>
    </w:rPr>
  </w:style>
  <w:style w:type="character" w:styleId="IntenseReference">
    <w:name w:val="Intense Reference"/>
    <w:basedOn w:val="DefaultParagraphFont"/>
    <w:uiPriority w:val="32"/>
    <w:qFormat/>
    <w:rsid w:val="007C165F"/>
    <w:rPr>
      <w:b/>
      <w:bCs/>
      <w:smallCaps/>
      <w:color w:val="C0504D" w:themeColor="accent2"/>
      <w:spacing w:val="5"/>
      <w:u w:val="single"/>
    </w:rPr>
  </w:style>
  <w:style w:type="character" w:styleId="BookTitle">
    <w:name w:val="Book Title"/>
    <w:basedOn w:val="DefaultParagraphFont"/>
    <w:uiPriority w:val="33"/>
    <w:qFormat/>
    <w:rsid w:val="007C165F"/>
    <w:rPr>
      <w:b/>
      <w:bCs/>
      <w:smallCaps/>
      <w:spacing w:val="5"/>
    </w:rPr>
  </w:style>
  <w:style w:type="paragraph" w:styleId="TOCHeading">
    <w:name w:val="TOC Heading"/>
    <w:basedOn w:val="Heading1"/>
    <w:next w:val="Normal"/>
    <w:uiPriority w:val="39"/>
    <w:semiHidden/>
    <w:unhideWhenUsed/>
    <w:qFormat/>
    <w:rsid w:val="007C165F"/>
    <w:pPr>
      <w:outlineLvl w:val="9"/>
    </w:pPr>
  </w:style>
  <w:style w:type="character" w:customStyle="1" w:styleId="FooterChar">
    <w:name w:val="Footer Char"/>
    <w:basedOn w:val="DefaultParagraphFont"/>
    <w:link w:val="Footer"/>
    <w:uiPriority w:val="99"/>
    <w:rsid w:val="001B6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572">
      <w:bodyDiv w:val="1"/>
      <w:marLeft w:val="60"/>
      <w:marRight w:val="60"/>
      <w:marTop w:val="60"/>
      <w:marBottom w:val="15"/>
      <w:divBdr>
        <w:top w:val="none" w:sz="0" w:space="0" w:color="auto"/>
        <w:left w:val="none" w:sz="0" w:space="0" w:color="auto"/>
        <w:bottom w:val="none" w:sz="0" w:space="0" w:color="auto"/>
        <w:right w:val="none" w:sz="0" w:space="0" w:color="auto"/>
      </w:divBdr>
      <w:divsChild>
        <w:div w:id="130952323">
          <w:marLeft w:val="0"/>
          <w:marRight w:val="0"/>
          <w:marTop w:val="0"/>
          <w:marBottom w:val="0"/>
          <w:divBdr>
            <w:top w:val="none" w:sz="0" w:space="0" w:color="auto"/>
            <w:left w:val="none" w:sz="0" w:space="0" w:color="auto"/>
            <w:bottom w:val="none" w:sz="0" w:space="0" w:color="auto"/>
            <w:right w:val="none" w:sz="0" w:space="0" w:color="auto"/>
          </w:divBdr>
        </w:div>
        <w:div w:id="135029660">
          <w:marLeft w:val="0"/>
          <w:marRight w:val="0"/>
          <w:marTop w:val="0"/>
          <w:marBottom w:val="0"/>
          <w:divBdr>
            <w:top w:val="none" w:sz="0" w:space="0" w:color="auto"/>
            <w:left w:val="none" w:sz="0" w:space="0" w:color="auto"/>
            <w:bottom w:val="none" w:sz="0" w:space="0" w:color="auto"/>
            <w:right w:val="none" w:sz="0" w:space="0" w:color="auto"/>
          </w:divBdr>
        </w:div>
        <w:div w:id="140199586">
          <w:marLeft w:val="0"/>
          <w:marRight w:val="0"/>
          <w:marTop w:val="0"/>
          <w:marBottom w:val="0"/>
          <w:divBdr>
            <w:top w:val="none" w:sz="0" w:space="0" w:color="auto"/>
            <w:left w:val="none" w:sz="0" w:space="0" w:color="auto"/>
            <w:bottom w:val="none" w:sz="0" w:space="0" w:color="auto"/>
            <w:right w:val="none" w:sz="0" w:space="0" w:color="auto"/>
          </w:divBdr>
        </w:div>
        <w:div w:id="165025019">
          <w:marLeft w:val="0"/>
          <w:marRight w:val="0"/>
          <w:marTop w:val="0"/>
          <w:marBottom w:val="0"/>
          <w:divBdr>
            <w:top w:val="none" w:sz="0" w:space="0" w:color="auto"/>
            <w:left w:val="none" w:sz="0" w:space="0" w:color="auto"/>
            <w:bottom w:val="none" w:sz="0" w:space="0" w:color="auto"/>
            <w:right w:val="none" w:sz="0" w:space="0" w:color="auto"/>
          </w:divBdr>
        </w:div>
        <w:div w:id="233275361">
          <w:marLeft w:val="0"/>
          <w:marRight w:val="0"/>
          <w:marTop w:val="0"/>
          <w:marBottom w:val="0"/>
          <w:divBdr>
            <w:top w:val="none" w:sz="0" w:space="0" w:color="auto"/>
            <w:left w:val="none" w:sz="0" w:space="0" w:color="auto"/>
            <w:bottom w:val="none" w:sz="0" w:space="0" w:color="auto"/>
            <w:right w:val="none" w:sz="0" w:space="0" w:color="auto"/>
          </w:divBdr>
        </w:div>
        <w:div w:id="236519906">
          <w:marLeft w:val="0"/>
          <w:marRight w:val="0"/>
          <w:marTop w:val="0"/>
          <w:marBottom w:val="0"/>
          <w:divBdr>
            <w:top w:val="none" w:sz="0" w:space="0" w:color="auto"/>
            <w:left w:val="none" w:sz="0" w:space="0" w:color="auto"/>
            <w:bottom w:val="none" w:sz="0" w:space="0" w:color="auto"/>
            <w:right w:val="none" w:sz="0" w:space="0" w:color="auto"/>
          </w:divBdr>
        </w:div>
        <w:div w:id="274560804">
          <w:marLeft w:val="0"/>
          <w:marRight w:val="0"/>
          <w:marTop w:val="0"/>
          <w:marBottom w:val="0"/>
          <w:divBdr>
            <w:top w:val="none" w:sz="0" w:space="0" w:color="auto"/>
            <w:left w:val="none" w:sz="0" w:space="0" w:color="auto"/>
            <w:bottom w:val="none" w:sz="0" w:space="0" w:color="auto"/>
            <w:right w:val="none" w:sz="0" w:space="0" w:color="auto"/>
          </w:divBdr>
        </w:div>
        <w:div w:id="331493830">
          <w:marLeft w:val="0"/>
          <w:marRight w:val="0"/>
          <w:marTop w:val="0"/>
          <w:marBottom w:val="0"/>
          <w:divBdr>
            <w:top w:val="none" w:sz="0" w:space="0" w:color="auto"/>
            <w:left w:val="none" w:sz="0" w:space="0" w:color="auto"/>
            <w:bottom w:val="none" w:sz="0" w:space="0" w:color="auto"/>
            <w:right w:val="none" w:sz="0" w:space="0" w:color="auto"/>
          </w:divBdr>
        </w:div>
        <w:div w:id="444538856">
          <w:marLeft w:val="0"/>
          <w:marRight w:val="0"/>
          <w:marTop w:val="0"/>
          <w:marBottom w:val="0"/>
          <w:divBdr>
            <w:top w:val="none" w:sz="0" w:space="0" w:color="auto"/>
            <w:left w:val="none" w:sz="0" w:space="0" w:color="auto"/>
            <w:bottom w:val="none" w:sz="0" w:space="0" w:color="auto"/>
            <w:right w:val="none" w:sz="0" w:space="0" w:color="auto"/>
          </w:divBdr>
        </w:div>
        <w:div w:id="513375455">
          <w:marLeft w:val="0"/>
          <w:marRight w:val="0"/>
          <w:marTop w:val="0"/>
          <w:marBottom w:val="0"/>
          <w:divBdr>
            <w:top w:val="none" w:sz="0" w:space="0" w:color="auto"/>
            <w:left w:val="none" w:sz="0" w:space="0" w:color="auto"/>
            <w:bottom w:val="none" w:sz="0" w:space="0" w:color="auto"/>
            <w:right w:val="none" w:sz="0" w:space="0" w:color="auto"/>
          </w:divBdr>
        </w:div>
        <w:div w:id="514464967">
          <w:marLeft w:val="0"/>
          <w:marRight w:val="0"/>
          <w:marTop w:val="0"/>
          <w:marBottom w:val="0"/>
          <w:divBdr>
            <w:top w:val="none" w:sz="0" w:space="0" w:color="auto"/>
            <w:left w:val="none" w:sz="0" w:space="0" w:color="auto"/>
            <w:bottom w:val="none" w:sz="0" w:space="0" w:color="auto"/>
            <w:right w:val="none" w:sz="0" w:space="0" w:color="auto"/>
          </w:divBdr>
        </w:div>
        <w:div w:id="522091692">
          <w:marLeft w:val="0"/>
          <w:marRight w:val="0"/>
          <w:marTop w:val="0"/>
          <w:marBottom w:val="0"/>
          <w:divBdr>
            <w:top w:val="none" w:sz="0" w:space="0" w:color="auto"/>
            <w:left w:val="none" w:sz="0" w:space="0" w:color="auto"/>
            <w:bottom w:val="none" w:sz="0" w:space="0" w:color="auto"/>
            <w:right w:val="none" w:sz="0" w:space="0" w:color="auto"/>
          </w:divBdr>
        </w:div>
        <w:div w:id="549847490">
          <w:marLeft w:val="0"/>
          <w:marRight w:val="0"/>
          <w:marTop w:val="0"/>
          <w:marBottom w:val="0"/>
          <w:divBdr>
            <w:top w:val="none" w:sz="0" w:space="0" w:color="auto"/>
            <w:left w:val="none" w:sz="0" w:space="0" w:color="auto"/>
            <w:bottom w:val="none" w:sz="0" w:space="0" w:color="auto"/>
            <w:right w:val="none" w:sz="0" w:space="0" w:color="auto"/>
          </w:divBdr>
        </w:div>
        <w:div w:id="571158826">
          <w:marLeft w:val="0"/>
          <w:marRight w:val="0"/>
          <w:marTop w:val="0"/>
          <w:marBottom w:val="0"/>
          <w:divBdr>
            <w:top w:val="none" w:sz="0" w:space="0" w:color="auto"/>
            <w:left w:val="none" w:sz="0" w:space="0" w:color="auto"/>
            <w:bottom w:val="none" w:sz="0" w:space="0" w:color="auto"/>
            <w:right w:val="none" w:sz="0" w:space="0" w:color="auto"/>
          </w:divBdr>
        </w:div>
        <w:div w:id="734858534">
          <w:marLeft w:val="0"/>
          <w:marRight w:val="0"/>
          <w:marTop w:val="0"/>
          <w:marBottom w:val="0"/>
          <w:divBdr>
            <w:top w:val="none" w:sz="0" w:space="0" w:color="auto"/>
            <w:left w:val="none" w:sz="0" w:space="0" w:color="auto"/>
            <w:bottom w:val="none" w:sz="0" w:space="0" w:color="auto"/>
            <w:right w:val="none" w:sz="0" w:space="0" w:color="auto"/>
          </w:divBdr>
        </w:div>
        <w:div w:id="852917297">
          <w:marLeft w:val="0"/>
          <w:marRight w:val="0"/>
          <w:marTop w:val="0"/>
          <w:marBottom w:val="0"/>
          <w:divBdr>
            <w:top w:val="none" w:sz="0" w:space="0" w:color="auto"/>
            <w:left w:val="none" w:sz="0" w:space="0" w:color="auto"/>
            <w:bottom w:val="none" w:sz="0" w:space="0" w:color="auto"/>
            <w:right w:val="none" w:sz="0" w:space="0" w:color="auto"/>
          </w:divBdr>
        </w:div>
        <w:div w:id="885220769">
          <w:marLeft w:val="0"/>
          <w:marRight w:val="0"/>
          <w:marTop w:val="0"/>
          <w:marBottom w:val="0"/>
          <w:divBdr>
            <w:top w:val="none" w:sz="0" w:space="0" w:color="auto"/>
            <w:left w:val="none" w:sz="0" w:space="0" w:color="auto"/>
            <w:bottom w:val="none" w:sz="0" w:space="0" w:color="auto"/>
            <w:right w:val="none" w:sz="0" w:space="0" w:color="auto"/>
          </w:divBdr>
        </w:div>
        <w:div w:id="921719138">
          <w:marLeft w:val="0"/>
          <w:marRight w:val="0"/>
          <w:marTop w:val="0"/>
          <w:marBottom w:val="0"/>
          <w:divBdr>
            <w:top w:val="none" w:sz="0" w:space="0" w:color="auto"/>
            <w:left w:val="none" w:sz="0" w:space="0" w:color="auto"/>
            <w:bottom w:val="none" w:sz="0" w:space="0" w:color="auto"/>
            <w:right w:val="none" w:sz="0" w:space="0" w:color="auto"/>
          </w:divBdr>
        </w:div>
        <w:div w:id="1124808185">
          <w:marLeft w:val="0"/>
          <w:marRight w:val="0"/>
          <w:marTop w:val="0"/>
          <w:marBottom w:val="0"/>
          <w:divBdr>
            <w:top w:val="none" w:sz="0" w:space="0" w:color="auto"/>
            <w:left w:val="none" w:sz="0" w:space="0" w:color="auto"/>
            <w:bottom w:val="none" w:sz="0" w:space="0" w:color="auto"/>
            <w:right w:val="none" w:sz="0" w:space="0" w:color="auto"/>
          </w:divBdr>
        </w:div>
        <w:div w:id="1298149345">
          <w:marLeft w:val="0"/>
          <w:marRight w:val="0"/>
          <w:marTop w:val="0"/>
          <w:marBottom w:val="0"/>
          <w:divBdr>
            <w:top w:val="none" w:sz="0" w:space="0" w:color="auto"/>
            <w:left w:val="none" w:sz="0" w:space="0" w:color="auto"/>
            <w:bottom w:val="none" w:sz="0" w:space="0" w:color="auto"/>
            <w:right w:val="none" w:sz="0" w:space="0" w:color="auto"/>
          </w:divBdr>
        </w:div>
        <w:div w:id="1319269194">
          <w:marLeft w:val="0"/>
          <w:marRight w:val="0"/>
          <w:marTop w:val="0"/>
          <w:marBottom w:val="0"/>
          <w:divBdr>
            <w:top w:val="none" w:sz="0" w:space="0" w:color="auto"/>
            <w:left w:val="none" w:sz="0" w:space="0" w:color="auto"/>
            <w:bottom w:val="none" w:sz="0" w:space="0" w:color="auto"/>
            <w:right w:val="none" w:sz="0" w:space="0" w:color="auto"/>
          </w:divBdr>
        </w:div>
        <w:div w:id="1368215720">
          <w:marLeft w:val="0"/>
          <w:marRight w:val="0"/>
          <w:marTop w:val="0"/>
          <w:marBottom w:val="0"/>
          <w:divBdr>
            <w:top w:val="none" w:sz="0" w:space="0" w:color="auto"/>
            <w:left w:val="none" w:sz="0" w:space="0" w:color="auto"/>
            <w:bottom w:val="none" w:sz="0" w:space="0" w:color="auto"/>
            <w:right w:val="none" w:sz="0" w:space="0" w:color="auto"/>
          </w:divBdr>
        </w:div>
        <w:div w:id="1411851049">
          <w:marLeft w:val="0"/>
          <w:marRight w:val="0"/>
          <w:marTop w:val="0"/>
          <w:marBottom w:val="0"/>
          <w:divBdr>
            <w:top w:val="none" w:sz="0" w:space="0" w:color="auto"/>
            <w:left w:val="none" w:sz="0" w:space="0" w:color="auto"/>
            <w:bottom w:val="none" w:sz="0" w:space="0" w:color="auto"/>
            <w:right w:val="none" w:sz="0" w:space="0" w:color="auto"/>
          </w:divBdr>
        </w:div>
        <w:div w:id="1519932120">
          <w:marLeft w:val="0"/>
          <w:marRight w:val="0"/>
          <w:marTop w:val="0"/>
          <w:marBottom w:val="0"/>
          <w:divBdr>
            <w:top w:val="none" w:sz="0" w:space="0" w:color="auto"/>
            <w:left w:val="none" w:sz="0" w:space="0" w:color="auto"/>
            <w:bottom w:val="none" w:sz="0" w:space="0" w:color="auto"/>
            <w:right w:val="none" w:sz="0" w:space="0" w:color="auto"/>
          </w:divBdr>
        </w:div>
        <w:div w:id="1557472255">
          <w:marLeft w:val="0"/>
          <w:marRight w:val="0"/>
          <w:marTop w:val="0"/>
          <w:marBottom w:val="0"/>
          <w:divBdr>
            <w:top w:val="none" w:sz="0" w:space="0" w:color="auto"/>
            <w:left w:val="none" w:sz="0" w:space="0" w:color="auto"/>
            <w:bottom w:val="none" w:sz="0" w:space="0" w:color="auto"/>
            <w:right w:val="none" w:sz="0" w:space="0" w:color="auto"/>
          </w:divBdr>
        </w:div>
        <w:div w:id="1582105048">
          <w:marLeft w:val="0"/>
          <w:marRight w:val="0"/>
          <w:marTop w:val="0"/>
          <w:marBottom w:val="0"/>
          <w:divBdr>
            <w:top w:val="none" w:sz="0" w:space="0" w:color="auto"/>
            <w:left w:val="none" w:sz="0" w:space="0" w:color="auto"/>
            <w:bottom w:val="none" w:sz="0" w:space="0" w:color="auto"/>
            <w:right w:val="none" w:sz="0" w:space="0" w:color="auto"/>
          </w:divBdr>
        </w:div>
        <w:div w:id="1710063345">
          <w:marLeft w:val="0"/>
          <w:marRight w:val="0"/>
          <w:marTop w:val="0"/>
          <w:marBottom w:val="0"/>
          <w:divBdr>
            <w:top w:val="none" w:sz="0" w:space="0" w:color="auto"/>
            <w:left w:val="none" w:sz="0" w:space="0" w:color="auto"/>
            <w:bottom w:val="none" w:sz="0" w:space="0" w:color="auto"/>
            <w:right w:val="none" w:sz="0" w:space="0" w:color="auto"/>
          </w:divBdr>
        </w:div>
        <w:div w:id="1752772614">
          <w:marLeft w:val="0"/>
          <w:marRight w:val="0"/>
          <w:marTop w:val="0"/>
          <w:marBottom w:val="0"/>
          <w:divBdr>
            <w:top w:val="none" w:sz="0" w:space="0" w:color="auto"/>
            <w:left w:val="none" w:sz="0" w:space="0" w:color="auto"/>
            <w:bottom w:val="none" w:sz="0" w:space="0" w:color="auto"/>
            <w:right w:val="none" w:sz="0" w:space="0" w:color="auto"/>
          </w:divBdr>
        </w:div>
        <w:div w:id="1813214408">
          <w:marLeft w:val="0"/>
          <w:marRight w:val="0"/>
          <w:marTop w:val="0"/>
          <w:marBottom w:val="0"/>
          <w:divBdr>
            <w:top w:val="none" w:sz="0" w:space="0" w:color="auto"/>
            <w:left w:val="none" w:sz="0" w:space="0" w:color="auto"/>
            <w:bottom w:val="none" w:sz="0" w:space="0" w:color="auto"/>
            <w:right w:val="none" w:sz="0" w:space="0" w:color="auto"/>
          </w:divBdr>
        </w:div>
        <w:div w:id="1819223066">
          <w:marLeft w:val="0"/>
          <w:marRight w:val="0"/>
          <w:marTop w:val="0"/>
          <w:marBottom w:val="0"/>
          <w:divBdr>
            <w:top w:val="none" w:sz="0" w:space="0" w:color="auto"/>
            <w:left w:val="none" w:sz="0" w:space="0" w:color="auto"/>
            <w:bottom w:val="none" w:sz="0" w:space="0" w:color="auto"/>
            <w:right w:val="none" w:sz="0" w:space="0" w:color="auto"/>
          </w:divBdr>
        </w:div>
        <w:div w:id="1850943744">
          <w:marLeft w:val="0"/>
          <w:marRight w:val="0"/>
          <w:marTop w:val="0"/>
          <w:marBottom w:val="0"/>
          <w:divBdr>
            <w:top w:val="none" w:sz="0" w:space="0" w:color="auto"/>
            <w:left w:val="none" w:sz="0" w:space="0" w:color="auto"/>
            <w:bottom w:val="none" w:sz="0" w:space="0" w:color="auto"/>
            <w:right w:val="none" w:sz="0" w:space="0" w:color="auto"/>
          </w:divBdr>
        </w:div>
        <w:div w:id="1886482137">
          <w:marLeft w:val="0"/>
          <w:marRight w:val="0"/>
          <w:marTop w:val="0"/>
          <w:marBottom w:val="0"/>
          <w:divBdr>
            <w:top w:val="none" w:sz="0" w:space="0" w:color="auto"/>
            <w:left w:val="none" w:sz="0" w:space="0" w:color="auto"/>
            <w:bottom w:val="none" w:sz="0" w:space="0" w:color="auto"/>
            <w:right w:val="none" w:sz="0" w:space="0" w:color="auto"/>
          </w:divBdr>
        </w:div>
        <w:div w:id="1978029152">
          <w:marLeft w:val="0"/>
          <w:marRight w:val="0"/>
          <w:marTop w:val="0"/>
          <w:marBottom w:val="0"/>
          <w:divBdr>
            <w:top w:val="none" w:sz="0" w:space="0" w:color="auto"/>
            <w:left w:val="none" w:sz="0" w:space="0" w:color="auto"/>
            <w:bottom w:val="none" w:sz="0" w:space="0" w:color="auto"/>
            <w:right w:val="none" w:sz="0" w:space="0" w:color="auto"/>
          </w:divBdr>
        </w:div>
        <w:div w:id="2045397593">
          <w:marLeft w:val="0"/>
          <w:marRight w:val="0"/>
          <w:marTop w:val="0"/>
          <w:marBottom w:val="0"/>
          <w:divBdr>
            <w:top w:val="none" w:sz="0" w:space="0" w:color="auto"/>
            <w:left w:val="none" w:sz="0" w:space="0" w:color="auto"/>
            <w:bottom w:val="none" w:sz="0" w:space="0" w:color="auto"/>
            <w:right w:val="none" w:sz="0" w:space="0" w:color="auto"/>
          </w:divBdr>
        </w:div>
      </w:divsChild>
    </w:div>
    <w:div w:id="148258125">
      <w:bodyDiv w:val="1"/>
      <w:marLeft w:val="0"/>
      <w:marRight w:val="0"/>
      <w:marTop w:val="0"/>
      <w:marBottom w:val="0"/>
      <w:divBdr>
        <w:top w:val="none" w:sz="0" w:space="0" w:color="auto"/>
        <w:left w:val="none" w:sz="0" w:space="0" w:color="auto"/>
        <w:bottom w:val="none" w:sz="0" w:space="0" w:color="auto"/>
        <w:right w:val="none" w:sz="0" w:space="0" w:color="auto"/>
      </w:divBdr>
    </w:div>
    <w:div w:id="507446586">
      <w:bodyDiv w:val="1"/>
      <w:marLeft w:val="0"/>
      <w:marRight w:val="0"/>
      <w:marTop w:val="0"/>
      <w:marBottom w:val="0"/>
      <w:divBdr>
        <w:top w:val="none" w:sz="0" w:space="0" w:color="auto"/>
        <w:left w:val="none" w:sz="0" w:space="0" w:color="auto"/>
        <w:bottom w:val="none" w:sz="0" w:space="0" w:color="auto"/>
        <w:right w:val="none" w:sz="0" w:space="0" w:color="auto"/>
      </w:divBdr>
    </w:div>
    <w:div w:id="556091595">
      <w:bodyDiv w:val="1"/>
      <w:marLeft w:val="0"/>
      <w:marRight w:val="0"/>
      <w:marTop w:val="0"/>
      <w:marBottom w:val="0"/>
      <w:divBdr>
        <w:top w:val="none" w:sz="0" w:space="0" w:color="auto"/>
        <w:left w:val="none" w:sz="0" w:space="0" w:color="auto"/>
        <w:bottom w:val="none" w:sz="0" w:space="0" w:color="auto"/>
        <w:right w:val="none" w:sz="0" w:space="0" w:color="auto"/>
      </w:divBdr>
    </w:div>
    <w:div w:id="569192947">
      <w:bodyDiv w:val="1"/>
      <w:marLeft w:val="0"/>
      <w:marRight w:val="0"/>
      <w:marTop w:val="0"/>
      <w:marBottom w:val="0"/>
      <w:divBdr>
        <w:top w:val="none" w:sz="0" w:space="0" w:color="auto"/>
        <w:left w:val="none" w:sz="0" w:space="0" w:color="auto"/>
        <w:bottom w:val="none" w:sz="0" w:space="0" w:color="auto"/>
        <w:right w:val="none" w:sz="0" w:space="0" w:color="auto"/>
      </w:divBdr>
    </w:div>
    <w:div w:id="617833075">
      <w:bodyDiv w:val="1"/>
      <w:marLeft w:val="0"/>
      <w:marRight w:val="0"/>
      <w:marTop w:val="0"/>
      <w:marBottom w:val="0"/>
      <w:divBdr>
        <w:top w:val="none" w:sz="0" w:space="0" w:color="auto"/>
        <w:left w:val="none" w:sz="0" w:space="0" w:color="auto"/>
        <w:bottom w:val="none" w:sz="0" w:space="0" w:color="auto"/>
        <w:right w:val="none" w:sz="0" w:space="0" w:color="auto"/>
      </w:divBdr>
    </w:div>
    <w:div w:id="799149858">
      <w:bodyDiv w:val="1"/>
      <w:marLeft w:val="0"/>
      <w:marRight w:val="0"/>
      <w:marTop w:val="0"/>
      <w:marBottom w:val="0"/>
      <w:divBdr>
        <w:top w:val="none" w:sz="0" w:space="0" w:color="auto"/>
        <w:left w:val="none" w:sz="0" w:space="0" w:color="auto"/>
        <w:bottom w:val="none" w:sz="0" w:space="0" w:color="auto"/>
        <w:right w:val="none" w:sz="0" w:space="0" w:color="auto"/>
      </w:divBdr>
    </w:div>
    <w:div w:id="846596447">
      <w:bodyDiv w:val="1"/>
      <w:marLeft w:val="0"/>
      <w:marRight w:val="0"/>
      <w:marTop w:val="0"/>
      <w:marBottom w:val="0"/>
      <w:divBdr>
        <w:top w:val="none" w:sz="0" w:space="0" w:color="auto"/>
        <w:left w:val="none" w:sz="0" w:space="0" w:color="auto"/>
        <w:bottom w:val="none" w:sz="0" w:space="0" w:color="auto"/>
        <w:right w:val="none" w:sz="0" w:space="0" w:color="auto"/>
      </w:divBdr>
    </w:div>
    <w:div w:id="1491678343">
      <w:bodyDiv w:val="1"/>
      <w:marLeft w:val="60"/>
      <w:marRight w:val="60"/>
      <w:marTop w:val="60"/>
      <w:marBottom w:val="15"/>
      <w:divBdr>
        <w:top w:val="none" w:sz="0" w:space="0" w:color="auto"/>
        <w:left w:val="none" w:sz="0" w:space="0" w:color="auto"/>
        <w:bottom w:val="none" w:sz="0" w:space="0" w:color="auto"/>
        <w:right w:val="none" w:sz="0" w:space="0" w:color="auto"/>
      </w:divBdr>
      <w:divsChild>
        <w:div w:id="6180454">
          <w:marLeft w:val="0"/>
          <w:marRight w:val="0"/>
          <w:marTop w:val="0"/>
          <w:marBottom w:val="0"/>
          <w:divBdr>
            <w:top w:val="none" w:sz="0" w:space="0" w:color="auto"/>
            <w:left w:val="none" w:sz="0" w:space="0" w:color="auto"/>
            <w:bottom w:val="none" w:sz="0" w:space="0" w:color="auto"/>
            <w:right w:val="none" w:sz="0" w:space="0" w:color="auto"/>
          </w:divBdr>
        </w:div>
        <w:div w:id="48652241">
          <w:marLeft w:val="0"/>
          <w:marRight w:val="0"/>
          <w:marTop w:val="0"/>
          <w:marBottom w:val="0"/>
          <w:divBdr>
            <w:top w:val="none" w:sz="0" w:space="0" w:color="auto"/>
            <w:left w:val="none" w:sz="0" w:space="0" w:color="auto"/>
            <w:bottom w:val="none" w:sz="0" w:space="0" w:color="auto"/>
            <w:right w:val="none" w:sz="0" w:space="0" w:color="auto"/>
          </w:divBdr>
        </w:div>
        <w:div w:id="75983683">
          <w:marLeft w:val="0"/>
          <w:marRight w:val="0"/>
          <w:marTop w:val="0"/>
          <w:marBottom w:val="0"/>
          <w:divBdr>
            <w:top w:val="none" w:sz="0" w:space="0" w:color="auto"/>
            <w:left w:val="none" w:sz="0" w:space="0" w:color="auto"/>
            <w:bottom w:val="none" w:sz="0" w:space="0" w:color="auto"/>
            <w:right w:val="none" w:sz="0" w:space="0" w:color="auto"/>
          </w:divBdr>
        </w:div>
        <w:div w:id="264308144">
          <w:marLeft w:val="0"/>
          <w:marRight w:val="0"/>
          <w:marTop w:val="0"/>
          <w:marBottom w:val="0"/>
          <w:divBdr>
            <w:top w:val="none" w:sz="0" w:space="0" w:color="auto"/>
            <w:left w:val="none" w:sz="0" w:space="0" w:color="auto"/>
            <w:bottom w:val="none" w:sz="0" w:space="0" w:color="auto"/>
            <w:right w:val="none" w:sz="0" w:space="0" w:color="auto"/>
          </w:divBdr>
        </w:div>
        <w:div w:id="320622269">
          <w:marLeft w:val="0"/>
          <w:marRight w:val="0"/>
          <w:marTop w:val="0"/>
          <w:marBottom w:val="0"/>
          <w:divBdr>
            <w:top w:val="none" w:sz="0" w:space="0" w:color="auto"/>
            <w:left w:val="none" w:sz="0" w:space="0" w:color="auto"/>
            <w:bottom w:val="none" w:sz="0" w:space="0" w:color="auto"/>
            <w:right w:val="none" w:sz="0" w:space="0" w:color="auto"/>
          </w:divBdr>
        </w:div>
        <w:div w:id="379676130">
          <w:marLeft w:val="0"/>
          <w:marRight w:val="0"/>
          <w:marTop w:val="0"/>
          <w:marBottom w:val="0"/>
          <w:divBdr>
            <w:top w:val="none" w:sz="0" w:space="0" w:color="auto"/>
            <w:left w:val="none" w:sz="0" w:space="0" w:color="auto"/>
            <w:bottom w:val="none" w:sz="0" w:space="0" w:color="auto"/>
            <w:right w:val="none" w:sz="0" w:space="0" w:color="auto"/>
          </w:divBdr>
        </w:div>
        <w:div w:id="433013661">
          <w:marLeft w:val="0"/>
          <w:marRight w:val="0"/>
          <w:marTop w:val="0"/>
          <w:marBottom w:val="0"/>
          <w:divBdr>
            <w:top w:val="none" w:sz="0" w:space="0" w:color="auto"/>
            <w:left w:val="none" w:sz="0" w:space="0" w:color="auto"/>
            <w:bottom w:val="none" w:sz="0" w:space="0" w:color="auto"/>
            <w:right w:val="none" w:sz="0" w:space="0" w:color="auto"/>
          </w:divBdr>
        </w:div>
        <w:div w:id="491798577">
          <w:marLeft w:val="0"/>
          <w:marRight w:val="0"/>
          <w:marTop w:val="0"/>
          <w:marBottom w:val="0"/>
          <w:divBdr>
            <w:top w:val="none" w:sz="0" w:space="0" w:color="auto"/>
            <w:left w:val="none" w:sz="0" w:space="0" w:color="auto"/>
            <w:bottom w:val="none" w:sz="0" w:space="0" w:color="auto"/>
            <w:right w:val="none" w:sz="0" w:space="0" w:color="auto"/>
          </w:divBdr>
        </w:div>
        <w:div w:id="533082959">
          <w:marLeft w:val="0"/>
          <w:marRight w:val="0"/>
          <w:marTop w:val="0"/>
          <w:marBottom w:val="0"/>
          <w:divBdr>
            <w:top w:val="none" w:sz="0" w:space="0" w:color="auto"/>
            <w:left w:val="none" w:sz="0" w:space="0" w:color="auto"/>
            <w:bottom w:val="none" w:sz="0" w:space="0" w:color="auto"/>
            <w:right w:val="none" w:sz="0" w:space="0" w:color="auto"/>
          </w:divBdr>
        </w:div>
        <w:div w:id="549615924">
          <w:marLeft w:val="0"/>
          <w:marRight w:val="0"/>
          <w:marTop w:val="0"/>
          <w:marBottom w:val="0"/>
          <w:divBdr>
            <w:top w:val="none" w:sz="0" w:space="0" w:color="auto"/>
            <w:left w:val="none" w:sz="0" w:space="0" w:color="auto"/>
            <w:bottom w:val="none" w:sz="0" w:space="0" w:color="auto"/>
            <w:right w:val="none" w:sz="0" w:space="0" w:color="auto"/>
          </w:divBdr>
        </w:div>
        <w:div w:id="693576273">
          <w:marLeft w:val="0"/>
          <w:marRight w:val="0"/>
          <w:marTop w:val="0"/>
          <w:marBottom w:val="0"/>
          <w:divBdr>
            <w:top w:val="none" w:sz="0" w:space="0" w:color="auto"/>
            <w:left w:val="none" w:sz="0" w:space="0" w:color="auto"/>
            <w:bottom w:val="none" w:sz="0" w:space="0" w:color="auto"/>
            <w:right w:val="none" w:sz="0" w:space="0" w:color="auto"/>
          </w:divBdr>
        </w:div>
        <w:div w:id="733507878">
          <w:marLeft w:val="0"/>
          <w:marRight w:val="0"/>
          <w:marTop w:val="0"/>
          <w:marBottom w:val="0"/>
          <w:divBdr>
            <w:top w:val="none" w:sz="0" w:space="0" w:color="auto"/>
            <w:left w:val="none" w:sz="0" w:space="0" w:color="auto"/>
            <w:bottom w:val="none" w:sz="0" w:space="0" w:color="auto"/>
            <w:right w:val="none" w:sz="0" w:space="0" w:color="auto"/>
          </w:divBdr>
        </w:div>
        <w:div w:id="738329561">
          <w:marLeft w:val="0"/>
          <w:marRight w:val="0"/>
          <w:marTop w:val="0"/>
          <w:marBottom w:val="0"/>
          <w:divBdr>
            <w:top w:val="none" w:sz="0" w:space="0" w:color="auto"/>
            <w:left w:val="none" w:sz="0" w:space="0" w:color="auto"/>
            <w:bottom w:val="none" w:sz="0" w:space="0" w:color="auto"/>
            <w:right w:val="none" w:sz="0" w:space="0" w:color="auto"/>
          </w:divBdr>
        </w:div>
        <w:div w:id="766539687">
          <w:marLeft w:val="0"/>
          <w:marRight w:val="0"/>
          <w:marTop w:val="0"/>
          <w:marBottom w:val="0"/>
          <w:divBdr>
            <w:top w:val="none" w:sz="0" w:space="0" w:color="auto"/>
            <w:left w:val="none" w:sz="0" w:space="0" w:color="auto"/>
            <w:bottom w:val="none" w:sz="0" w:space="0" w:color="auto"/>
            <w:right w:val="none" w:sz="0" w:space="0" w:color="auto"/>
          </w:divBdr>
        </w:div>
        <w:div w:id="814761948">
          <w:marLeft w:val="0"/>
          <w:marRight w:val="0"/>
          <w:marTop w:val="0"/>
          <w:marBottom w:val="0"/>
          <w:divBdr>
            <w:top w:val="none" w:sz="0" w:space="0" w:color="auto"/>
            <w:left w:val="none" w:sz="0" w:space="0" w:color="auto"/>
            <w:bottom w:val="none" w:sz="0" w:space="0" w:color="auto"/>
            <w:right w:val="none" w:sz="0" w:space="0" w:color="auto"/>
          </w:divBdr>
        </w:div>
        <w:div w:id="897323485">
          <w:marLeft w:val="0"/>
          <w:marRight w:val="0"/>
          <w:marTop w:val="0"/>
          <w:marBottom w:val="0"/>
          <w:divBdr>
            <w:top w:val="none" w:sz="0" w:space="0" w:color="auto"/>
            <w:left w:val="none" w:sz="0" w:space="0" w:color="auto"/>
            <w:bottom w:val="none" w:sz="0" w:space="0" w:color="auto"/>
            <w:right w:val="none" w:sz="0" w:space="0" w:color="auto"/>
          </w:divBdr>
        </w:div>
        <w:div w:id="956451479">
          <w:marLeft w:val="0"/>
          <w:marRight w:val="0"/>
          <w:marTop w:val="0"/>
          <w:marBottom w:val="0"/>
          <w:divBdr>
            <w:top w:val="none" w:sz="0" w:space="0" w:color="auto"/>
            <w:left w:val="none" w:sz="0" w:space="0" w:color="auto"/>
            <w:bottom w:val="none" w:sz="0" w:space="0" w:color="auto"/>
            <w:right w:val="none" w:sz="0" w:space="0" w:color="auto"/>
          </w:divBdr>
        </w:div>
        <w:div w:id="1027292865">
          <w:marLeft w:val="0"/>
          <w:marRight w:val="0"/>
          <w:marTop w:val="0"/>
          <w:marBottom w:val="0"/>
          <w:divBdr>
            <w:top w:val="none" w:sz="0" w:space="0" w:color="auto"/>
            <w:left w:val="none" w:sz="0" w:space="0" w:color="auto"/>
            <w:bottom w:val="none" w:sz="0" w:space="0" w:color="auto"/>
            <w:right w:val="none" w:sz="0" w:space="0" w:color="auto"/>
          </w:divBdr>
        </w:div>
        <w:div w:id="1049381007">
          <w:marLeft w:val="0"/>
          <w:marRight w:val="0"/>
          <w:marTop w:val="0"/>
          <w:marBottom w:val="0"/>
          <w:divBdr>
            <w:top w:val="none" w:sz="0" w:space="0" w:color="auto"/>
            <w:left w:val="none" w:sz="0" w:space="0" w:color="auto"/>
            <w:bottom w:val="none" w:sz="0" w:space="0" w:color="auto"/>
            <w:right w:val="none" w:sz="0" w:space="0" w:color="auto"/>
          </w:divBdr>
        </w:div>
        <w:div w:id="1226143700">
          <w:marLeft w:val="0"/>
          <w:marRight w:val="0"/>
          <w:marTop w:val="0"/>
          <w:marBottom w:val="0"/>
          <w:divBdr>
            <w:top w:val="none" w:sz="0" w:space="0" w:color="auto"/>
            <w:left w:val="none" w:sz="0" w:space="0" w:color="auto"/>
            <w:bottom w:val="none" w:sz="0" w:space="0" w:color="auto"/>
            <w:right w:val="none" w:sz="0" w:space="0" w:color="auto"/>
          </w:divBdr>
        </w:div>
        <w:div w:id="1273366763">
          <w:marLeft w:val="0"/>
          <w:marRight w:val="0"/>
          <w:marTop w:val="0"/>
          <w:marBottom w:val="0"/>
          <w:divBdr>
            <w:top w:val="none" w:sz="0" w:space="0" w:color="auto"/>
            <w:left w:val="none" w:sz="0" w:space="0" w:color="auto"/>
            <w:bottom w:val="none" w:sz="0" w:space="0" w:color="auto"/>
            <w:right w:val="none" w:sz="0" w:space="0" w:color="auto"/>
          </w:divBdr>
        </w:div>
        <w:div w:id="1293752070">
          <w:marLeft w:val="0"/>
          <w:marRight w:val="0"/>
          <w:marTop w:val="0"/>
          <w:marBottom w:val="0"/>
          <w:divBdr>
            <w:top w:val="none" w:sz="0" w:space="0" w:color="auto"/>
            <w:left w:val="none" w:sz="0" w:space="0" w:color="auto"/>
            <w:bottom w:val="none" w:sz="0" w:space="0" w:color="auto"/>
            <w:right w:val="none" w:sz="0" w:space="0" w:color="auto"/>
          </w:divBdr>
        </w:div>
        <w:div w:id="1295713079">
          <w:marLeft w:val="0"/>
          <w:marRight w:val="0"/>
          <w:marTop w:val="0"/>
          <w:marBottom w:val="0"/>
          <w:divBdr>
            <w:top w:val="none" w:sz="0" w:space="0" w:color="auto"/>
            <w:left w:val="none" w:sz="0" w:space="0" w:color="auto"/>
            <w:bottom w:val="none" w:sz="0" w:space="0" w:color="auto"/>
            <w:right w:val="none" w:sz="0" w:space="0" w:color="auto"/>
          </w:divBdr>
        </w:div>
        <w:div w:id="1302806349">
          <w:marLeft w:val="0"/>
          <w:marRight w:val="0"/>
          <w:marTop w:val="0"/>
          <w:marBottom w:val="0"/>
          <w:divBdr>
            <w:top w:val="none" w:sz="0" w:space="0" w:color="auto"/>
            <w:left w:val="none" w:sz="0" w:space="0" w:color="auto"/>
            <w:bottom w:val="none" w:sz="0" w:space="0" w:color="auto"/>
            <w:right w:val="none" w:sz="0" w:space="0" w:color="auto"/>
          </w:divBdr>
        </w:div>
        <w:div w:id="1509902587">
          <w:marLeft w:val="0"/>
          <w:marRight w:val="0"/>
          <w:marTop w:val="0"/>
          <w:marBottom w:val="0"/>
          <w:divBdr>
            <w:top w:val="none" w:sz="0" w:space="0" w:color="auto"/>
            <w:left w:val="none" w:sz="0" w:space="0" w:color="auto"/>
            <w:bottom w:val="none" w:sz="0" w:space="0" w:color="auto"/>
            <w:right w:val="none" w:sz="0" w:space="0" w:color="auto"/>
          </w:divBdr>
        </w:div>
        <w:div w:id="1553730171">
          <w:marLeft w:val="0"/>
          <w:marRight w:val="0"/>
          <w:marTop w:val="0"/>
          <w:marBottom w:val="0"/>
          <w:divBdr>
            <w:top w:val="none" w:sz="0" w:space="0" w:color="auto"/>
            <w:left w:val="none" w:sz="0" w:space="0" w:color="auto"/>
            <w:bottom w:val="none" w:sz="0" w:space="0" w:color="auto"/>
            <w:right w:val="none" w:sz="0" w:space="0" w:color="auto"/>
          </w:divBdr>
        </w:div>
        <w:div w:id="1627736823">
          <w:marLeft w:val="0"/>
          <w:marRight w:val="0"/>
          <w:marTop w:val="0"/>
          <w:marBottom w:val="0"/>
          <w:divBdr>
            <w:top w:val="none" w:sz="0" w:space="0" w:color="auto"/>
            <w:left w:val="none" w:sz="0" w:space="0" w:color="auto"/>
            <w:bottom w:val="none" w:sz="0" w:space="0" w:color="auto"/>
            <w:right w:val="none" w:sz="0" w:space="0" w:color="auto"/>
          </w:divBdr>
        </w:div>
        <w:div w:id="1653365614">
          <w:marLeft w:val="0"/>
          <w:marRight w:val="0"/>
          <w:marTop w:val="0"/>
          <w:marBottom w:val="0"/>
          <w:divBdr>
            <w:top w:val="none" w:sz="0" w:space="0" w:color="auto"/>
            <w:left w:val="none" w:sz="0" w:space="0" w:color="auto"/>
            <w:bottom w:val="none" w:sz="0" w:space="0" w:color="auto"/>
            <w:right w:val="none" w:sz="0" w:space="0" w:color="auto"/>
          </w:divBdr>
        </w:div>
        <w:div w:id="1741712463">
          <w:marLeft w:val="0"/>
          <w:marRight w:val="0"/>
          <w:marTop w:val="0"/>
          <w:marBottom w:val="0"/>
          <w:divBdr>
            <w:top w:val="none" w:sz="0" w:space="0" w:color="auto"/>
            <w:left w:val="none" w:sz="0" w:space="0" w:color="auto"/>
            <w:bottom w:val="none" w:sz="0" w:space="0" w:color="auto"/>
            <w:right w:val="none" w:sz="0" w:space="0" w:color="auto"/>
          </w:divBdr>
        </w:div>
        <w:div w:id="1887374909">
          <w:marLeft w:val="0"/>
          <w:marRight w:val="0"/>
          <w:marTop w:val="0"/>
          <w:marBottom w:val="0"/>
          <w:divBdr>
            <w:top w:val="none" w:sz="0" w:space="0" w:color="auto"/>
            <w:left w:val="none" w:sz="0" w:space="0" w:color="auto"/>
            <w:bottom w:val="none" w:sz="0" w:space="0" w:color="auto"/>
            <w:right w:val="none" w:sz="0" w:space="0" w:color="auto"/>
          </w:divBdr>
        </w:div>
        <w:div w:id="1951157452">
          <w:marLeft w:val="0"/>
          <w:marRight w:val="0"/>
          <w:marTop w:val="0"/>
          <w:marBottom w:val="0"/>
          <w:divBdr>
            <w:top w:val="none" w:sz="0" w:space="0" w:color="auto"/>
            <w:left w:val="none" w:sz="0" w:space="0" w:color="auto"/>
            <w:bottom w:val="none" w:sz="0" w:space="0" w:color="auto"/>
            <w:right w:val="none" w:sz="0" w:space="0" w:color="auto"/>
          </w:divBdr>
        </w:div>
        <w:div w:id="2075657967">
          <w:marLeft w:val="0"/>
          <w:marRight w:val="0"/>
          <w:marTop w:val="0"/>
          <w:marBottom w:val="0"/>
          <w:divBdr>
            <w:top w:val="none" w:sz="0" w:space="0" w:color="auto"/>
            <w:left w:val="none" w:sz="0" w:space="0" w:color="auto"/>
            <w:bottom w:val="none" w:sz="0" w:space="0" w:color="auto"/>
            <w:right w:val="none" w:sz="0" w:space="0" w:color="auto"/>
          </w:divBdr>
        </w:div>
        <w:div w:id="2090153335">
          <w:marLeft w:val="0"/>
          <w:marRight w:val="0"/>
          <w:marTop w:val="0"/>
          <w:marBottom w:val="0"/>
          <w:divBdr>
            <w:top w:val="none" w:sz="0" w:space="0" w:color="auto"/>
            <w:left w:val="none" w:sz="0" w:space="0" w:color="auto"/>
            <w:bottom w:val="none" w:sz="0" w:space="0" w:color="auto"/>
            <w:right w:val="none" w:sz="0" w:space="0" w:color="auto"/>
          </w:divBdr>
        </w:div>
        <w:div w:id="2134706714">
          <w:marLeft w:val="0"/>
          <w:marRight w:val="0"/>
          <w:marTop w:val="0"/>
          <w:marBottom w:val="0"/>
          <w:divBdr>
            <w:top w:val="none" w:sz="0" w:space="0" w:color="auto"/>
            <w:left w:val="none" w:sz="0" w:space="0" w:color="auto"/>
            <w:bottom w:val="none" w:sz="0" w:space="0" w:color="auto"/>
            <w:right w:val="none" w:sz="0" w:space="0" w:color="auto"/>
          </w:divBdr>
        </w:div>
      </w:divsChild>
    </w:div>
    <w:div w:id="1549027890">
      <w:bodyDiv w:val="1"/>
      <w:marLeft w:val="0"/>
      <w:marRight w:val="0"/>
      <w:marTop w:val="0"/>
      <w:marBottom w:val="0"/>
      <w:divBdr>
        <w:top w:val="none" w:sz="0" w:space="0" w:color="auto"/>
        <w:left w:val="none" w:sz="0" w:space="0" w:color="auto"/>
        <w:bottom w:val="none" w:sz="0" w:space="0" w:color="auto"/>
        <w:right w:val="none" w:sz="0" w:space="0" w:color="auto"/>
      </w:divBdr>
    </w:div>
    <w:div w:id="1580869024">
      <w:bodyDiv w:val="1"/>
      <w:marLeft w:val="0"/>
      <w:marRight w:val="0"/>
      <w:marTop w:val="0"/>
      <w:marBottom w:val="0"/>
      <w:divBdr>
        <w:top w:val="none" w:sz="0" w:space="0" w:color="auto"/>
        <w:left w:val="none" w:sz="0" w:space="0" w:color="auto"/>
        <w:bottom w:val="none" w:sz="0" w:space="0" w:color="auto"/>
        <w:right w:val="none" w:sz="0" w:space="0" w:color="auto"/>
      </w:divBdr>
    </w:div>
    <w:div w:id="1581252783">
      <w:bodyDiv w:val="1"/>
      <w:marLeft w:val="0"/>
      <w:marRight w:val="0"/>
      <w:marTop w:val="0"/>
      <w:marBottom w:val="0"/>
      <w:divBdr>
        <w:top w:val="none" w:sz="0" w:space="0" w:color="auto"/>
        <w:left w:val="none" w:sz="0" w:space="0" w:color="auto"/>
        <w:bottom w:val="none" w:sz="0" w:space="0" w:color="auto"/>
        <w:right w:val="none" w:sz="0" w:space="0" w:color="auto"/>
      </w:divBdr>
    </w:div>
    <w:div w:id="1588879076">
      <w:bodyDiv w:val="1"/>
      <w:marLeft w:val="0"/>
      <w:marRight w:val="0"/>
      <w:marTop w:val="0"/>
      <w:marBottom w:val="0"/>
      <w:divBdr>
        <w:top w:val="none" w:sz="0" w:space="0" w:color="auto"/>
        <w:left w:val="none" w:sz="0" w:space="0" w:color="auto"/>
        <w:bottom w:val="none" w:sz="0" w:space="0" w:color="auto"/>
        <w:right w:val="none" w:sz="0" w:space="0" w:color="auto"/>
      </w:divBdr>
    </w:div>
    <w:div w:id="1724938557">
      <w:bodyDiv w:val="1"/>
      <w:marLeft w:val="0"/>
      <w:marRight w:val="0"/>
      <w:marTop w:val="0"/>
      <w:marBottom w:val="0"/>
      <w:divBdr>
        <w:top w:val="none" w:sz="0" w:space="0" w:color="auto"/>
        <w:left w:val="none" w:sz="0" w:space="0" w:color="auto"/>
        <w:bottom w:val="none" w:sz="0" w:space="0" w:color="auto"/>
        <w:right w:val="none" w:sz="0" w:space="0" w:color="auto"/>
      </w:divBdr>
    </w:div>
    <w:div w:id="1728409520">
      <w:bodyDiv w:val="1"/>
      <w:marLeft w:val="0"/>
      <w:marRight w:val="0"/>
      <w:marTop w:val="0"/>
      <w:marBottom w:val="0"/>
      <w:divBdr>
        <w:top w:val="none" w:sz="0" w:space="0" w:color="auto"/>
        <w:left w:val="none" w:sz="0" w:space="0" w:color="auto"/>
        <w:bottom w:val="none" w:sz="0" w:space="0" w:color="auto"/>
        <w:right w:val="none" w:sz="0" w:space="0" w:color="auto"/>
      </w:divBdr>
    </w:div>
    <w:div w:id="1981425106">
      <w:bodyDiv w:val="1"/>
      <w:marLeft w:val="0"/>
      <w:marRight w:val="0"/>
      <w:marTop w:val="0"/>
      <w:marBottom w:val="0"/>
      <w:divBdr>
        <w:top w:val="none" w:sz="0" w:space="0" w:color="auto"/>
        <w:left w:val="none" w:sz="0" w:space="0" w:color="auto"/>
        <w:bottom w:val="none" w:sz="0" w:space="0" w:color="auto"/>
        <w:right w:val="none" w:sz="0" w:space="0" w:color="auto"/>
      </w:divBdr>
    </w:div>
    <w:div w:id="20059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mn.gov/deed/data/export-stats/"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768399215249609"/>
          <c:y val="3.0214328590092154E-2"/>
          <c:w val="0.45286692383149074"/>
          <c:h val="0.80419417864246789"/>
        </c:manualLayout>
      </c:layout>
      <c:pieChart>
        <c:varyColors val="1"/>
        <c:ser>
          <c:idx val="0"/>
          <c:order val="0"/>
          <c:tx>
            <c:strRef>
              <c:f>Sheet1!$B$1</c:f>
              <c:strCache>
                <c:ptCount val="1"/>
                <c:pt idx="0">
                  <c:v>2019 </c:v>
                </c:pt>
              </c:strCache>
            </c:strRef>
          </c:tx>
          <c:spPr>
            <a:ln>
              <a:solidFill>
                <a:schemeClr val="tx1"/>
              </a:solidFill>
            </a:ln>
          </c:spPr>
          <c:dPt>
            <c:idx val="0"/>
            <c:bubble3D val="0"/>
            <c:spPr>
              <a:solidFill>
                <a:schemeClr val="accent1">
                  <a:shade val="53000"/>
                </a:schemeClr>
              </a:solidFill>
              <a:ln>
                <a:solidFill>
                  <a:schemeClr val="tx1"/>
                </a:solidFill>
              </a:ln>
              <a:effectLst/>
            </c:spPr>
          </c:dPt>
          <c:dPt>
            <c:idx val="1"/>
            <c:bubble3D val="0"/>
            <c:spPr>
              <a:solidFill>
                <a:schemeClr val="accent1">
                  <a:shade val="76000"/>
                </a:schemeClr>
              </a:solidFill>
              <a:ln>
                <a:solidFill>
                  <a:schemeClr val="tx1"/>
                </a:solidFill>
              </a:ln>
              <a:effectLst/>
            </c:spPr>
          </c:dPt>
          <c:dPt>
            <c:idx val="2"/>
            <c:bubble3D val="0"/>
            <c:spPr>
              <a:solidFill>
                <a:schemeClr val="accent1"/>
              </a:solidFill>
              <a:ln>
                <a:solidFill>
                  <a:schemeClr val="tx1"/>
                </a:solidFill>
              </a:ln>
              <a:effectLst/>
            </c:spPr>
          </c:dPt>
          <c:dPt>
            <c:idx val="3"/>
            <c:bubble3D val="0"/>
            <c:spPr>
              <a:solidFill>
                <a:schemeClr val="accent1">
                  <a:tint val="77000"/>
                </a:schemeClr>
              </a:solidFill>
              <a:ln>
                <a:solidFill>
                  <a:schemeClr val="tx1"/>
                </a:solidFill>
              </a:ln>
              <a:effectLst/>
            </c:spPr>
          </c:dPt>
          <c:dPt>
            <c:idx val="4"/>
            <c:bubble3D val="0"/>
            <c:spPr>
              <a:solidFill>
                <a:schemeClr val="accent1">
                  <a:tint val="54000"/>
                </a:schemeClr>
              </a:solidFill>
              <a:ln>
                <a:solidFill>
                  <a:schemeClr val="tx1"/>
                </a:solidFill>
              </a:ln>
              <a:effectLst/>
            </c:spPr>
          </c:dPt>
          <c:dPt>
            <c:idx val="5"/>
            <c:bubble3D val="0"/>
            <c:spPr>
              <a:solidFill>
                <a:schemeClr val="accent1">
                  <a:tint val="30000"/>
                </a:schemeClr>
              </a:solidFill>
              <a:ln>
                <a:solidFill>
                  <a:schemeClr val="tx1"/>
                </a:solidFill>
              </a:ln>
              <a:effectLst/>
            </c:spPr>
          </c:dPt>
          <c:dPt>
            <c:idx val="6"/>
            <c:bubble3D val="0"/>
            <c:spPr>
              <a:solidFill>
                <a:schemeClr val="accent1">
                  <a:tint val="7000"/>
                </a:schemeClr>
              </a:solidFill>
              <a:ln>
                <a:solidFill>
                  <a:schemeClr val="tx1"/>
                </a:solidFill>
              </a:ln>
              <a:effectLst/>
            </c:spPr>
          </c:dPt>
          <c:dPt>
            <c:idx val="7"/>
            <c:bubble3D val="0"/>
            <c:spPr>
              <a:solidFill>
                <a:schemeClr val="accent1">
                  <a:tint val="84000"/>
                </a:schemeClr>
              </a:solidFill>
              <a:ln>
                <a:solidFill>
                  <a:schemeClr val="tx1"/>
                </a:solidFill>
              </a:ln>
              <a:effectLst/>
            </c:spPr>
          </c:dPt>
          <c:dPt>
            <c:idx val="8"/>
            <c:bubble3D val="0"/>
            <c:spPr>
              <a:solidFill>
                <a:schemeClr val="accent1">
                  <a:tint val="60000"/>
                </a:schemeClr>
              </a:solidFill>
              <a:ln>
                <a:solidFill>
                  <a:schemeClr val="tx1"/>
                </a:solidFill>
              </a:ln>
              <a:effectLst/>
            </c:spPr>
          </c:dPt>
          <c:dLbls>
            <c:dLbl>
              <c:idx val="0"/>
              <c:layout>
                <c:manualLayout>
                  <c:x val="2.1258442532345771E-2"/>
                  <c:y val="9.753506483545806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08649486995943"/>
                      <c:h val="0.31100361333757048"/>
                    </c:manualLayout>
                  </c15:layout>
                </c:ext>
              </c:extLst>
            </c:dLbl>
            <c:dLbl>
              <c:idx val="1"/>
              <c:layout>
                <c:manualLayout>
                  <c:x val="7.8221874727780437E-3"/>
                  <c:y val="-7.030170934942739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794049418065165"/>
                      <c:h val="0.19062709650082976"/>
                    </c:manualLayout>
                  </c15:layout>
                </c:ext>
              </c:extLst>
            </c:dLbl>
            <c:dLbl>
              <c:idx val="2"/>
              <c:layout>
                <c:manualLayout>
                  <c:x val="5.5002964659179525E-2"/>
                  <c:y val="4.065106854853513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0147273257509477"/>
                      <c:h val="0.19205713075103281"/>
                    </c:manualLayout>
                  </c15:layout>
                </c:ext>
              </c:extLst>
            </c:dLbl>
            <c:dLbl>
              <c:idx val="3"/>
              <c:layout>
                <c:manualLayout>
                  <c:x val="-2.0927118958615033E-2"/>
                  <c:y val="-2.212080552711173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192552162040351"/>
                      <c:h val="0.20582018054918022"/>
                    </c:manualLayout>
                  </c15:layout>
                </c:ext>
              </c:extLst>
            </c:dLbl>
            <c:dLbl>
              <c:idx val="4"/>
              <c:layout>
                <c:manualLayout>
                  <c:x val="-2.2937047641772072E-2"/>
                  <c:y val="1.909448818897637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20825247222885018"/>
                      <c:h val="0.13312794981344819"/>
                    </c:manualLayout>
                  </c15:layout>
                </c:ext>
              </c:extLst>
            </c:dLbl>
            <c:dLbl>
              <c:idx val="5"/>
              <c:layout>
                <c:manualLayout>
                  <c:x val="-3.0779634688521098E-2"/>
                  <c:y val="-4.180375340406393E-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580675183459212"/>
                      <c:h val="9.1190713836826712E-2"/>
                    </c:manualLayout>
                  </c15:layout>
                </c:ext>
              </c:extLst>
            </c:dLbl>
            <c:dLbl>
              <c:idx val="6"/>
              <c:layout>
                <c:manualLayout>
                  <c:x val="-2.9654008092738406E-2"/>
                  <c:y val="-4.207514375588547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4615834153543306"/>
                      <c:h val="0.11401244214702168"/>
                    </c:manualLayout>
                  </c15:layout>
                </c:ext>
              </c:extLst>
            </c:dLbl>
            <c:dLbl>
              <c:idx val="7"/>
              <c:layout>
                <c:manualLayout>
                  <c:x val="-1.3888888888888895E-2"/>
                  <c:y val="-7.9830043666066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883967629046367"/>
                      <c:h val="0.19127620258230052"/>
                    </c:manualLayout>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50000"/>
                      <a:lumOff val="50000"/>
                    </a:schemeClr>
                  </a:solidFill>
                  <a:prstDash val="solid"/>
                  <a:round/>
                </a:ln>
                <a:effectLst/>
              </c:spPr>
            </c:leaderLines>
            <c:extLst>
              <c:ext xmlns:c15="http://schemas.microsoft.com/office/drawing/2012/chart" uri="{CE6537A1-D6FC-4f65-9D91-7224C49458BB}"/>
            </c:extLst>
          </c:dLbls>
          <c:cat>
            <c:strRef>
              <c:f>Sheet1!$A$2:$A$6</c:f>
              <c:strCache>
                <c:ptCount val="5"/>
                <c:pt idx="0">
                  <c:v>Medical, Surgical Instr.</c:v>
                </c:pt>
                <c:pt idx="1">
                  <c:v>Optical Fibers</c:v>
                </c:pt>
                <c:pt idx="2">
                  <c:v>Orthopedic, Artif. Body Parts</c:v>
                </c:pt>
                <c:pt idx="3">
                  <c:v>Measuring Instr.</c:v>
                </c:pt>
                <c:pt idx="4">
                  <c:v>Other</c:v>
                </c:pt>
              </c:strCache>
            </c:strRef>
          </c:cat>
          <c:val>
            <c:numRef>
              <c:f>Sheet1!$B$2:$B$6</c:f>
              <c:numCache>
                <c:formatCode>_(* #,##0_);_(* \(#,##0\);_(* "-"??_);_(@_)</c:formatCode>
                <c:ptCount val="5"/>
                <c:pt idx="0">
                  <c:v>1567619255</c:v>
                </c:pt>
                <c:pt idx="1">
                  <c:v>805638840</c:v>
                </c:pt>
                <c:pt idx="2">
                  <c:v>547198657</c:v>
                </c:pt>
                <c:pt idx="3">
                  <c:v>358521020</c:v>
                </c:pt>
                <c:pt idx="4">
                  <c:v>1325646399</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3175"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237B-32A4-4B47-A9D7-F03E0E610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2</Pages>
  <Words>821</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Minnesota Annual Export Statistics, 2019</vt:lpstr>
    </vt:vector>
  </TitlesOfParts>
  <Company>MN DEED</Company>
  <LinksUpToDate>false</LinksUpToDate>
  <CharactersWithSpaces>5570</CharactersWithSpaces>
  <SharedDoc>false</SharedDoc>
  <HLinks>
    <vt:vector size="12" baseType="variant">
      <vt:variant>
        <vt:i4>6488181</vt:i4>
      </vt:variant>
      <vt:variant>
        <vt:i4>9</vt:i4>
      </vt:variant>
      <vt:variant>
        <vt:i4>0</vt:i4>
      </vt:variant>
      <vt:variant>
        <vt:i4>5</vt:i4>
      </vt:variant>
      <vt:variant>
        <vt:lpwstr>http://www.deed.state.mn.us/facts/manufacturing.htm</vt:lpwstr>
      </vt:variant>
      <vt:variant>
        <vt:lpwstr/>
      </vt:variant>
      <vt:variant>
        <vt:i4>3211383</vt:i4>
      </vt:variant>
      <vt:variant>
        <vt:i4>6</vt:i4>
      </vt:variant>
      <vt:variant>
        <vt:i4>0</vt:i4>
      </vt:variant>
      <vt:variant>
        <vt:i4>5</vt:i4>
      </vt:variant>
      <vt:variant>
        <vt:lpwstr>http://www.exportminnesota.com/itradestats.htm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Annual Export Statistics, 2019</dc:title>
  <dc:subject>Minnesota Annual Export Statistics, 2019</dc:subject>
  <dc:creator>Economic Analysis Unit (T. Ho-Kim)</dc:creator>
  <cp:keywords/>
  <dc:description>Published March 2020</dc:description>
  <cp:lastModifiedBy>Thu-Mai Ho-Kim</cp:lastModifiedBy>
  <cp:revision>22</cp:revision>
  <cp:lastPrinted>2019-03-11T18:11:00Z</cp:lastPrinted>
  <dcterms:created xsi:type="dcterms:W3CDTF">2020-02-18T21:08:00Z</dcterms:created>
  <dcterms:modified xsi:type="dcterms:W3CDTF">2020-03-02T14:29:00Z</dcterms:modified>
</cp:coreProperties>
</file>