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40E19" w14:textId="77777777" w:rsidR="00CE313B" w:rsidRPr="007761E6" w:rsidRDefault="00EB5C34" w:rsidP="004B3151">
      <w:pPr>
        <w:tabs>
          <w:tab w:val="left" w:pos="360"/>
          <w:tab w:val="left" w:pos="6660"/>
        </w:tabs>
        <w:spacing w:after="120"/>
        <w:jc w:val="center"/>
        <w:sectPr w:rsidR="00CE313B" w:rsidRPr="007761E6" w:rsidSect="00BC5D6C">
          <w:headerReference w:type="even" r:id="rId8"/>
          <w:footerReference w:type="even" r:id="rId9"/>
          <w:footnotePr>
            <w:numRestart w:val="eachSect"/>
          </w:footnotePr>
          <w:endnotePr>
            <w:numFmt w:val="decimal"/>
          </w:endnotePr>
          <w:type w:val="continuous"/>
          <w:pgSz w:w="12240" w:h="15840" w:code="1"/>
          <w:pgMar w:top="864" w:right="1152" w:bottom="864" w:left="1152" w:header="720" w:footer="720" w:gutter="0"/>
          <w:cols w:space="720"/>
          <w:titlePg/>
          <w:docGrid w:linePitch="272"/>
        </w:sectPr>
      </w:pPr>
      <w:r w:rsidRPr="007761E6">
        <w:rPr>
          <w:noProof/>
        </w:rPr>
        <mc:AlternateContent>
          <mc:Choice Requires="wps">
            <w:drawing>
              <wp:anchor distT="0" distB="0" distL="114300" distR="114300" simplePos="0" relativeHeight="251666432" behindDoc="0" locked="0" layoutInCell="1" allowOverlap="1" wp14:anchorId="2D21032A" wp14:editId="4A4F8866">
                <wp:simplePos x="0" y="0"/>
                <wp:positionH relativeFrom="column">
                  <wp:posOffset>6350</wp:posOffset>
                </wp:positionH>
                <wp:positionV relativeFrom="paragraph">
                  <wp:posOffset>1113155</wp:posOffset>
                </wp:positionV>
                <wp:extent cx="6303010" cy="419100"/>
                <wp:effectExtent l="0" t="0" r="0" b="0"/>
                <wp:wrapNone/>
                <wp:docPr id="2" name="Text Box 2" descr="text box:&#10;Annual Data on Minnesota Exports for 2021 – Published in March 2022&#10;For More Information: Alicia Cordes-Mayo (alicia.cordes-mayo@state.mn.us, 763-406-996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F056" w14:textId="5C31FE79" w:rsidR="00EB5C34" w:rsidRPr="00B577E0" w:rsidRDefault="00EB5C34" w:rsidP="00EB5C34">
                            <w:pPr>
                              <w:pStyle w:val="NoSpacing"/>
                              <w:jc w:val="center"/>
                              <w:rPr>
                                <w:rStyle w:val="Emphasis"/>
                                <w:b/>
                              </w:rPr>
                            </w:pPr>
                            <w:bookmarkStart w:id="0" w:name="_Hlk97280551"/>
                            <w:r>
                              <w:rPr>
                                <w:rStyle w:val="Emphasis"/>
                                <w:b/>
                              </w:rPr>
                              <w:t xml:space="preserve">Annual </w:t>
                            </w:r>
                            <w:r w:rsidRPr="00B577E0">
                              <w:rPr>
                                <w:rStyle w:val="Emphasis"/>
                                <w:b/>
                              </w:rPr>
                              <w:t>Dat</w:t>
                            </w:r>
                            <w:r>
                              <w:rPr>
                                <w:rStyle w:val="Emphasis"/>
                                <w:b/>
                              </w:rPr>
                              <w:t>a on Minnesota Exports for 202</w:t>
                            </w:r>
                            <w:r w:rsidR="002E7C23">
                              <w:rPr>
                                <w:rStyle w:val="Emphasis"/>
                                <w:b/>
                              </w:rPr>
                              <w:t>1</w:t>
                            </w:r>
                            <w:r>
                              <w:rPr>
                                <w:rStyle w:val="Emphasis"/>
                                <w:b/>
                              </w:rPr>
                              <w:t xml:space="preserve"> – Published</w:t>
                            </w:r>
                            <w:r w:rsidR="002E7C23">
                              <w:rPr>
                                <w:rStyle w:val="Emphasis"/>
                                <w:b/>
                              </w:rPr>
                              <w:t xml:space="preserve"> in March</w:t>
                            </w:r>
                            <w:r>
                              <w:rPr>
                                <w:rStyle w:val="Emphasis"/>
                                <w:b/>
                              </w:rPr>
                              <w:t xml:space="preserve"> 202</w:t>
                            </w:r>
                            <w:r w:rsidR="002E7C23">
                              <w:rPr>
                                <w:rStyle w:val="Emphasis"/>
                                <w:b/>
                              </w:rPr>
                              <w:t>2</w:t>
                            </w:r>
                          </w:p>
                          <w:p w14:paraId="5815E523" w14:textId="0417D7ED" w:rsidR="00EB5C34" w:rsidRPr="00690C1B" w:rsidRDefault="00EB5C34" w:rsidP="00EB5C34">
                            <w:pPr>
                              <w:pStyle w:val="NoSpacing"/>
                              <w:jc w:val="center"/>
                              <w:rPr>
                                <w:rStyle w:val="Emphasis"/>
                                <w:b/>
                                <w:i w:val="0"/>
                                <w:iCs w:val="0"/>
                                <w:color w:val="FF0000"/>
                              </w:rPr>
                            </w:pPr>
                            <w:r w:rsidRPr="00690C1B">
                              <w:rPr>
                                <w:rStyle w:val="Emphasis"/>
                                <w:b/>
                              </w:rPr>
                              <w:t>For More Information</w:t>
                            </w:r>
                            <w:r w:rsidRPr="00690C1B">
                              <w:rPr>
                                <w:rStyle w:val="Emphasis"/>
                                <w:i w:val="0"/>
                                <w:iCs w:val="0"/>
                              </w:rPr>
                              <w:t xml:space="preserve">: </w:t>
                            </w:r>
                            <w:r w:rsidR="007B5C21" w:rsidRPr="00690C1B">
                              <w:rPr>
                                <w:rStyle w:val="Strong"/>
                                <w:i/>
                                <w:iCs/>
                              </w:rPr>
                              <w:t>Alicia Cordes-Mayo</w:t>
                            </w:r>
                            <w:r w:rsidR="00690C1B" w:rsidRPr="00690C1B">
                              <w:rPr>
                                <w:rStyle w:val="Strong"/>
                                <w:i/>
                                <w:iCs/>
                              </w:rPr>
                              <w:t xml:space="preserve"> (</w:t>
                            </w:r>
                            <w:r w:rsidR="00690C1B" w:rsidRPr="00690C1B">
                              <w:rPr>
                                <w:b/>
                                <w:bCs/>
                                <w:i/>
                                <w:iCs/>
                              </w:rPr>
                              <w:t>alicia.cordes-mayo@state.mn.us, 763-406-9965)</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1032A" id="_x0000_t202" coordsize="21600,21600" o:spt="202" path="m,l,21600r21600,l21600,xe">
                <v:stroke joinstyle="miter"/>
                <v:path gradientshapeok="t" o:connecttype="rect"/>
              </v:shapetype>
              <v:shape id="Text Box 2" o:spid="_x0000_s1026" type="#_x0000_t202" alt="text box:&#10;Annual Data on Minnesota Exports for 2021 – Published in March 2022&#10;For More Information: Alicia Cordes-Mayo (alicia.cordes-mayo@state.mn.us, 763-406-9965)&#10;" style="position:absolute;left:0;text-align:left;margin-left:.5pt;margin-top:87.65pt;width:496.3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" filled="f" stroked="f">
                <v:textbox>
                  <w:txbxContent>
                    <w:p w14:paraId="42C9F056" w14:textId="5C31FE79" w:rsidR="00EB5C34" w:rsidRPr="00B577E0" w:rsidRDefault="00EB5C34" w:rsidP="00EB5C34">
                      <w:pPr>
                        <w:pStyle w:val="NoSpacing"/>
                        <w:jc w:val="center"/>
                        <w:rPr>
                          <w:rStyle w:val="Emphasis"/>
                          <w:b/>
                        </w:rPr>
                      </w:pPr>
                      <w:bookmarkStart w:id="1" w:name="_Hlk97280551"/>
                      <w:r>
                        <w:rPr>
                          <w:rStyle w:val="Emphasis"/>
                          <w:b/>
                        </w:rPr>
                        <w:t xml:space="preserve">Annual </w:t>
                      </w:r>
                      <w:r w:rsidRPr="00B577E0">
                        <w:rPr>
                          <w:rStyle w:val="Emphasis"/>
                          <w:b/>
                        </w:rPr>
                        <w:t>Dat</w:t>
                      </w:r>
                      <w:r>
                        <w:rPr>
                          <w:rStyle w:val="Emphasis"/>
                          <w:b/>
                        </w:rPr>
                        <w:t>a on Minnesota Exports for 202</w:t>
                      </w:r>
                      <w:r w:rsidR="002E7C23">
                        <w:rPr>
                          <w:rStyle w:val="Emphasis"/>
                          <w:b/>
                        </w:rPr>
                        <w:t>1</w:t>
                      </w:r>
                      <w:r>
                        <w:rPr>
                          <w:rStyle w:val="Emphasis"/>
                          <w:b/>
                        </w:rPr>
                        <w:t xml:space="preserve"> – Published</w:t>
                      </w:r>
                      <w:r w:rsidR="002E7C23">
                        <w:rPr>
                          <w:rStyle w:val="Emphasis"/>
                          <w:b/>
                        </w:rPr>
                        <w:t xml:space="preserve"> in March</w:t>
                      </w:r>
                      <w:r>
                        <w:rPr>
                          <w:rStyle w:val="Emphasis"/>
                          <w:b/>
                        </w:rPr>
                        <w:t xml:space="preserve"> 202</w:t>
                      </w:r>
                      <w:r w:rsidR="002E7C23">
                        <w:rPr>
                          <w:rStyle w:val="Emphasis"/>
                          <w:b/>
                        </w:rPr>
                        <w:t>2</w:t>
                      </w:r>
                    </w:p>
                    <w:p w14:paraId="5815E523" w14:textId="0417D7ED" w:rsidR="00EB5C34" w:rsidRPr="00690C1B" w:rsidRDefault="00EB5C34" w:rsidP="00EB5C34">
                      <w:pPr>
                        <w:pStyle w:val="NoSpacing"/>
                        <w:jc w:val="center"/>
                        <w:rPr>
                          <w:rStyle w:val="Emphasis"/>
                          <w:b/>
                          <w:i w:val="0"/>
                          <w:iCs w:val="0"/>
                          <w:color w:val="FF0000"/>
                        </w:rPr>
                      </w:pPr>
                      <w:r w:rsidRPr="00690C1B">
                        <w:rPr>
                          <w:rStyle w:val="Emphasis"/>
                          <w:b/>
                        </w:rPr>
                        <w:t>For More Information</w:t>
                      </w:r>
                      <w:r w:rsidRPr="00690C1B">
                        <w:rPr>
                          <w:rStyle w:val="Emphasis"/>
                          <w:i w:val="0"/>
                          <w:iCs w:val="0"/>
                        </w:rPr>
                        <w:t xml:space="preserve">: </w:t>
                      </w:r>
                      <w:r w:rsidR="007B5C21" w:rsidRPr="00690C1B">
                        <w:rPr>
                          <w:rStyle w:val="Strong"/>
                          <w:i/>
                          <w:iCs/>
                        </w:rPr>
                        <w:t>Alicia Cordes-Mayo</w:t>
                      </w:r>
                      <w:r w:rsidR="00690C1B" w:rsidRPr="00690C1B">
                        <w:rPr>
                          <w:rStyle w:val="Strong"/>
                          <w:i/>
                          <w:iCs/>
                        </w:rPr>
                        <w:t xml:space="preserve"> (</w:t>
                      </w:r>
                      <w:r w:rsidR="00690C1B" w:rsidRPr="00690C1B">
                        <w:rPr>
                          <w:b/>
                          <w:bCs/>
                          <w:i/>
                          <w:iCs/>
                        </w:rPr>
                        <w:t>alicia.cordes-mayo@state.mn.us, 763-406-9965)</w:t>
                      </w:r>
                      <w:bookmarkEnd w:id="1"/>
                    </w:p>
                  </w:txbxContent>
                </v:textbox>
              </v:shape>
            </w:pict>
          </mc:Fallback>
        </mc:AlternateContent>
      </w:r>
      <w:r w:rsidR="00634377" w:rsidRPr="007761E6">
        <w:rPr>
          <w:noProof/>
        </w:rPr>
        <w:drawing>
          <wp:inline distT="0" distB="0" distL="0" distR="0" wp14:anchorId="5382DE4E" wp14:editId="4199E5A8">
            <wp:extent cx="6309360" cy="1103630"/>
            <wp:effectExtent l="0" t="0" r="0" b="1270"/>
            <wp:docPr id="7" name="Picture 7" descr="title banner&#10;&#10;Annual 2021 Data on Minnesota Exports – Published March 2022&#10;For More Information: Alicia Cordes-Mayo (alicia.cordes-mayo@state.mn.us, 763-406-99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tle banner&#10;&#10;Annual 2021 Data on Minnesota Exports – Published March 2022&#10;For More Information: Alicia Cordes-Mayo (alicia.cordes-mayo@state.mn.us, 763-406-9965)&#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9360" cy="1103630"/>
                    </a:xfrm>
                    <a:prstGeom prst="rect">
                      <a:avLst/>
                    </a:prstGeom>
                  </pic:spPr>
                </pic:pic>
              </a:graphicData>
            </a:graphic>
          </wp:inline>
        </w:drawing>
      </w:r>
      <w:r w:rsidR="00961671" w:rsidRPr="007761E6">
        <w:rPr>
          <w:noProof/>
        </w:rPr>
        <w:t xml:space="preserve"> </w:t>
      </w:r>
    </w:p>
    <w:p w14:paraId="421D92C0" w14:textId="14C3F2F7" w:rsidR="00D73299" w:rsidRPr="007761E6" w:rsidRDefault="00F050F6" w:rsidP="00EB5C34">
      <w:pPr>
        <w:pStyle w:val="Heading1"/>
        <w:spacing w:before="840"/>
        <w:rPr>
          <w:rFonts w:asciiTheme="minorHAnsi" w:hAnsiTheme="minorHAnsi"/>
          <w:color w:val="auto"/>
          <w:sz w:val="36"/>
          <w:szCs w:val="30"/>
        </w:rPr>
      </w:pPr>
      <w:r w:rsidRPr="007761E6">
        <w:rPr>
          <w:rFonts w:asciiTheme="minorHAnsi" w:hAnsiTheme="minorHAnsi"/>
          <w:color w:val="auto"/>
          <w:sz w:val="36"/>
          <w:szCs w:val="30"/>
        </w:rPr>
        <w:t>State Export</w:t>
      </w:r>
      <w:r w:rsidR="005F1D50" w:rsidRPr="007761E6">
        <w:rPr>
          <w:rFonts w:asciiTheme="minorHAnsi" w:hAnsiTheme="minorHAnsi"/>
          <w:color w:val="auto"/>
          <w:sz w:val="36"/>
          <w:szCs w:val="30"/>
        </w:rPr>
        <w:t>s</w:t>
      </w:r>
      <w:r w:rsidRPr="007761E6">
        <w:rPr>
          <w:rFonts w:asciiTheme="minorHAnsi" w:hAnsiTheme="minorHAnsi"/>
          <w:color w:val="auto"/>
          <w:sz w:val="36"/>
          <w:szCs w:val="30"/>
        </w:rPr>
        <w:t xml:space="preserve"> </w:t>
      </w:r>
      <w:r w:rsidR="00B6620C" w:rsidRPr="007761E6">
        <w:rPr>
          <w:rFonts w:asciiTheme="minorHAnsi" w:hAnsiTheme="minorHAnsi"/>
          <w:color w:val="auto"/>
          <w:sz w:val="36"/>
          <w:szCs w:val="30"/>
        </w:rPr>
        <w:t>Rebound to</w:t>
      </w:r>
      <w:r w:rsidR="00EB5C34" w:rsidRPr="007761E6">
        <w:rPr>
          <w:rFonts w:asciiTheme="minorHAnsi" w:hAnsiTheme="minorHAnsi"/>
          <w:color w:val="auto"/>
          <w:sz w:val="36"/>
          <w:szCs w:val="30"/>
        </w:rPr>
        <w:t xml:space="preserve"> $2</w:t>
      </w:r>
      <w:r w:rsidR="002E7C23" w:rsidRPr="007761E6">
        <w:rPr>
          <w:rFonts w:asciiTheme="minorHAnsi" w:hAnsiTheme="minorHAnsi"/>
          <w:color w:val="auto"/>
          <w:sz w:val="36"/>
          <w:szCs w:val="30"/>
        </w:rPr>
        <w:t>4</w:t>
      </w:r>
      <w:r w:rsidR="00634377" w:rsidRPr="007761E6">
        <w:rPr>
          <w:rFonts w:asciiTheme="minorHAnsi" w:hAnsiTheme="minorHAnsi"/>
          <w:color w:val="auto"/>
          <w:sz w:val="36"/>
          <w:szCs w:val="30"/>
        </w:rPr>
        <w:t xml:space="preserve"> Billion</w:t>
      </w:r>
      <w:r w:rsidR="004E209A" w:rsidRPr="007761E6">
        <w:rPr>
          <w:rFonts w:asciiTheme="minorHAnsi" w:hAnsiTheme="minorHAnsi"/>
          <w:color w:val="auto"/>
          <w:sz w:val="36"/>
          <w:szCs w:val="30"/>
        </w:rPr>
        <w:t xml:space="preserve"> in </w:t>
      </w:r>
      <w:r w:rsidR="002E7C23" w:rsidRPr="007761E6">
        <w:rPr>
          <w:rFonts w:asciiTheme="minorHAnsi" w:hAnsiTheme="minorHAnsi"/>
          <w:color w:val="auto"/>
          <w:sz w:val="36"/>
          <w:szCs w:val="30"/>
        </w:rPr>
        <w:t>2021</w:t>
      </w:r>
      <w:r w:rsidR="00073511" w:rsidRPr="007761E6">
        <w:rPr>
          <w:rFonts w:asciiTheme="minorHAnsi" w:hAnsiTheme="minorHAnsi"/>
          <w:color w:val="auto"/>
          <w:sz w:val="36"/>
          <w:szCs w:val="30"/>
        </w:rPr>
        <w:t xml:space="preserve">, </w:t>
      </w:r>
      <w:r w:rsidR="00B6620C" w:rsidRPr="007761E6">
        <w:rPr>
          <w:rFonts w:asciiTheme="minorHAnsi" w:hAnsiTheme="minorHAnsi"/>
          <w:color w:val="auto"/>
          <w:sz w:val="36"/>
          <w:szCs w:val="30"/>
        </w:rPr>
        <w:t>Up</w:t>
      </w:r>
      <w:r w:rsidR="00073511" w:rsidRPr="007761E6">
        <w:rPr>
          <w:rFonts w:asciiTheme="minorHAnsi" w:hAnsiTheme="minorHAnsi"/>
          <w:color w:val="auto"/>
          <w:sz w:val="36"/>
          <w:szCs w:val="30"/>
        </w:rPr>
        <w:t xml:space="preserve"> 1</w:t>
      </w:r>
      <w:r w:rsidR="002E7C23" w:rsidRPr="007761E6">
        <w:rPr>
          <w:rFonts w:asciiTheme="minorHAnsi" w:hAnsiTheme="minorHAnsi"/>
          <w:color w:val="auto"/>
          <w:sz w:val="36"/>
          <w:szCs w:val="30"/>
        </w:rPr>
        <w:t>7</w:t>
      </w:r>
      <w:r w:rsidR="00073511" w:rsidRPr="007761E6">
        <w:rPr>
          <w:rFonts w:asciiTheme="minorHAnsi" w:hAnsiTheme="minorHAnsi"/>
          <w:color w:val="auto"/>
          <w:sz w:val="36"/>
          <w:szCs w:val="30"/>
        </w:rPr>
        <w:t xml:space="preserve">% </w:t>
      </w:r>
      <w:r w:rsidR="00B6620C" w:rsidRPr="007761E6">
        <w:rPr>
          <w:rFonts w:asciiTheme="minorHAnsi" w:hAnsiTheme="minorHAnsi"/>
          <w:color w:val="auto"/>
          <w:sz w:val="36"/>
          <w:szCs w:val="30"/>
        </w:rPr>
        <w:t>Since</w:t>
      </w:r>
      <w:r w:rsidR="00073511" w:rsidRPr="007761E6">
        <w:rPr>
          <w:rFonts w:asciiTheme="minorHAnsi" w:hAnsiTheme="minorHAnsi"/>
          <w:color w:val="auto"/>
          <w:sz w:val="36"/>
          <w:szCs w:val="30"/>
        </w:rPr>
        <w:t xml:space="preserve"> </w:t>
      </w:r>
      <w:r w:rsidR="002E7C23" w:rsidRPr="007761E6">
        <w:rPr>
          <w:rFonts w:asciiTheme="minorHAnsi" w:hAnsiTheme="minorHAnsi"/>
          <w:color w:val="auto"/>
          <w:sz w:val="36"/>
          <w:szCs w:val="30"/>
        </w:rPr>
        <w:t>2020</w:t>
      </w:r>
    </w:p>
    <w:p w14:paraId="0393960A" w14:textId="77777777" w:rsidR="00D73299" w:rsidRPr="007761E6" w:rsidRDefault="00D73299" w:rsidP="00D73299">
      <w:pPr>
        <w:pStyle w:val="ListParagraph"/>
        <w:numPr>
          <w:ilvl w:val="0"/>
          <w:numId w:val="19"/>
        </w:numPr>
        <w:sectPr w:rsidR="00D73299" w:rsidRPr="007761E6" w:rsidSect="00BC5D6C">
          <w:footerReference w:type="default" r:id="rId11"/>
          <w:footnotePr>
            <w:numRestart w:val="eachSect"/>
          </w:footnotePr>
          <w:endnotePr>
            <w:numFmt w:val="decimal"/>
          </w:endnotePr>
          <w:type w:val="continuous"/>
          <w:pgSz w:w="12240" w:h="15840" w:code="1"/>
          <w:pgMar w:top="864" w:right="1152" w:bottom="864" w:left="1152" w:header="720" w:footer="720" w:gutter="0"/>
          <w:cols w:space="720"/>
          <w:titlePg/>
          <w:docGrid w:linePitch="299"/>
        </w:sectPr>
      </w:pPr>
    </w:p>
    <w:p w14:paraId="4FEFA4BF" w14:textId="2E0A1773" w:rsidR="000D5400" w:rsidRPr="007761E6" w:rsidRDefault="007F1C4A" w:rsidP="001D101E">
      <w:pPr>
        <w:pStyle w:val="ListParagraph"/>
        <w:numPr>
          <w:ilvl w:val="0"/>
          <w:numId w:val="19"/>
        </w:numPr>
      </w:pPr>
      <w:r w:rsidRPr="007761E6">
        <w:t xml:space="preserve">Minnesota exports (including agricultural, </w:t>
      </w:r>
      <w:proofErr w:type="gramStart"/>
      <w:r w:rsidRPr="007761E6">
        <w:t>mining</w:t>
      </w:r>
      <w:proofErr w:type="gramEnd"/>
      <w:r w:rsidRPr="007761E6">
        <w:t xml:space="preserve"> and manufact</w:t>
      </w:r>
      <w:r w:rsidR="00A02A94" w:rsidRPr="007761E6">
        <w:t xml:space="preserve">ured products) </w:t>
      </w:r>
      <w:r w:rsidR="00D43A30" w:rsidRPr="007761E6">
        <w:t>were valued</w:t>
      </w:r>
      <w:r w:rsidR="00C5460D" w:rsidRPr="007761E6">
        <w:t xml:space="preserve"> at</w:t>
      </w:r>
      <w:r w:rsidR="00D43A30" w:rsidRPr="007761E6">
        <w:t xml:space="preserve"> </w:t>
      </w:r>
      <w:r w:rsidR="002E7C23" w:rsidRPr="007761E6">
        <w:t>a</w:t>
      </w:r>
      <w:r w:rsidR="00B6620C" w:rsidRPr="007761E6">
        <w:t>bout</w:t>
      </w:r>
      <w:r w:rsidR="002E7C23" w:rsidRPr="007761E6">
        <w:t xml:space="preserve"> </w:t>
      </w:r>
      <w:r w:rsidR="00E92FA6" w:rsidRPr="007761E6">
        <w:t>$</w:t>
      </w:r>
      <w:r w:rsidR="00EB5C34" w:rsidRPr="007761E6">
        <w:t>2</w:t>
      </w:r>
      <w:r w:rsidR="002E7C23" w:rsidRPr="007761E6">
        <w:t>4</w:t>
      </w:r>
      <w:r w:rsidR="0072390C" w:rsidRPr="007761E6">
        <w:t xml:space="preserve"> billion </w:t>
      </w:r>
      <w:r w:rsidR="00BF3ADC" w:rsidRPr="007761E6">
        <w:t xml:space="preserve">in </w:t>
      </w:r>
      <w:r w:rsidR="002E7C23" w:rsidRPr="007761E6">
        <w:t>2021</w:t>
      </w:r>
      <w:r w:rsidR="001403DF" w:rsidRPr="007761E6">
        <w:t xml:space="preserve">. </w:t>
      </w:r>
      <w:r w:rsidR="001D101E" w:rsidRPr="007761E6">
        <w:t>The state’s e</w:t>
      </w:r>
      <w:r w:rsidR="002E7C23" w:rsidRPr="007761E6">
        <w:t>xports</w:t>
      </w:r>
      <w:r w:rsidR="008025ED" w:rsidRPr="007761E6">
        <w:t xml:space="preserve"> </w:t>
      </w:r>
      <w:r w:rsidR="002E7C23" w:rsidRPr="007761E6">
        <w:t xml:space="preserve">rebounded from </w:t>
      </w:r>
      <w:r w:rsidR="008025ED" w:rsidRPr="007761E6">
        <w:t xml:space="preserve">the </w:t>
      </w:r>
      <w:r w:rsidR="002E7C23" w:rsidRPr="007761E6">
        <w:t>weak</w:t>
      </w:r>
      <w:r w:rsidR="008025ED" w:rsidRPr="007761E6">
        <w:t xml:space="preserve"> pandemic-related</w:t>
      </w:r>
      <w:r w:rsidR="002E7C23" w:rsidRPr="007761E6">
        <w:t xml:space="preserve"> global economic conditions </w:t>
      </w:r>
      <w:r w:rsidR="00B6620C" w:rsidRPr="007761E6">
        <w:t>of</w:t>
      </w:r>
      <w:r w:rsidR="002E7C23" w:rsidRPr="007761E6">
        <w:t xml:space="preserve"> 2020</w:t>
      </w:r>
      <w:r w:rsidR="00F96126" w:rsidRPr="007761E6">
        <w:t>,</w:t>
      </w:r>
      <w:r w:rsidR="002E7C23" w:rsidRPr="007761E6">
        <w:t xml:space="preserve"> jump</w:t>
      </w:r>
      <w:r w:rsidR="00F96126" w:rsidRPr="007761E6">
        <w:t>ing</w:t>
      </w:r>
      <w:r w:rsidR="002E7C23" w:rsidRPr="007761E6">
        <w:t xml:space="preserve"> </w:t>
      </w:r>
      <w:r w:rsidR="004D4C85" w:rsidRPr="007761E6">
        <w:t>1</w:t>
      </w:r>
      <w:r w:rsidR="002E7C23" w:rsidRPr="007761E6">
        <w:t>7</w:t>
      </w:r>
      <w:r w:rsidR="001F5C09" w:rsidRPr="007761E6">
        <w:t>%</w:t>
      </w:r>
      <w:r w:rsidR="004D4C85" w:rsidRPr="007761E6">
        <w:t xml:space="preserve"> </w:t>
      </w:r>
      <w:r w:rsidR="002E7C23" w:rsidRPr="007761E6">
        <w:t xml:space="preserve">in 2021 </w:t>
      </w:r>
      <w:r w:rsidR="008025ED" w:rsidRPr="007761E6">
        <w:t xml:space="preserve">(and </w:t>
      </w:r>
      <w:r w:rsidR="002E7C23" w:rsidRPr="007761E6">
        <w:t>6% above 2019</w:t>
      </w:r>
      <w:r w:rsidR="008025ED" w:rsidRPr="007761E6">
        <w:t>)</w:t>
      </w:r>
      <w:r w:rsidR="002E7C23" w:rsidRPr="007761E6">
        <w:t>.</w:t>
      </w:r>
      <w:r w:rsidR="00AA7B6C" w:rsidRPr="007761E6">
        <w:t xml:space="preserve"> </w:t>
      </w:r>
      <w:r w:rsidR="00846B2F" w:rsidRPr="007761E6">
        <w:t xml:space="preserve">U.S. exports </w:t>
      </w:r>
      <w:r w:rsidR="00F96126" w:rsidRPr="007761E6">
        <w:t>jumped</w:t>
      </w:r>
      <w:r w:rsidR="00D43A30" w:rsidRPr="007761E6">
        <w:t xml:space="preserve"> </w:t>
      </w:r>
      <w:r w:rsidR="00F96126" w:rsidRPr="007761E6">
        <w:t>2</w:t>
      </w:r>
      <w:r w:rsidR="004D4C85" w:rsidRPr="007761E6">
        <w:t>3</w:t>
      </w:r>
      <w:r w:rsidR="001F5C09" w:rsidRPr="007761E6">
        <w:t>%</w:t>
      </w:r>
      <w:r w:rsidR="00F96126" w:rsidRPr="007761E6">
        <w:t xml:space="preserve"> since 2020</w:t>
      </w:r>
      <w:r w:rsidR="008025ED" w:rsidRPr="007761E6">
        <w:t xml:space="preserve"> (</w:t>
      </w:r>
      <w:r w:rsidR="00B507A0" w:rsidRPr="007761E6">
        <w:t>up</w:t>
      </w:r>
      <w:r w:rsidR="00F96126" w:rsidRPr="007761E6">
        <w:t xml:space="preserve"> 7% over 2019</w:t>
      </w:r>
      <w:r w:rsidR="008025ED" w:rsidRPr="007761E6">
        <w:t>)</w:t>
      </w:r>
      <w:r w:rsidR="001403DF" w:rsidRPr="007761E6">
        <w:t>.</w:t>
      </w:r>
    </w:p>
    <w:p w14:paraId="3790062F" w14:textId="0CA5A1C2" w:rsidR="00192CA0" w:rsidRPr="007761E6" w:rsidRDefault="00D13DB2" w:rsidP="00F87BF8">
      <w:pPr>
        <w:pStyle w:val="ListParagraph"/>
        <w:numPr>
          <w:ilvl w:val="0"/>
          <w:numId w:val="19"/>
        </w:numPr>
        <w:spacing w:after="0"/>
      </w:pPr>
      <w:r w:rsidRPr="007761E6">
        <w:t>The state</w:t>
      </w:r>
      <w:r w:rsidR="000F4677" w:rsidRPr="007761E6">
        <w:t xml:space="preserve"> ranked </w:t>
      </w:r>
      <w:r w:rsidR="00F96126" w:rsidRPr="007761E6">
        <w:t>2</w:t>
      </w:r>
      <w:r w:rsidR="00353947" w:rsidRPr="007761E6">
        <w:t>2</w:t>
      </w:r>
      <w:r w:rsidR="00353947" w:rsidRPr="007761E6">
        <w:rPr>
          <w:vertAlign w:val="superscript"/>
        </w:rPr>
        <w:t>nd</w:t>
      </w:r>
      <w:r w:rsidR="000F4677" w:rsidRPr="007761E6">
        <w:t xml:space="preserve"> </w:t>
      </w:r>
      <w:r w:rsidRPr="007761E6">
        <w:t xml:space="preserve">in exports </w:t>
      </w:r>
      <w:r w:rsidR="000F4677" w:rsidRPr="007761E6">
        <w:t xml:space="preserve">among </w:t>
      </w:r>
      <w:r w:rsidRPr="007761E6">
        <w:t>all</w:t>
      </w:r>
      <w:r w:rsidR="000F4677" w:rsidRPr="007761E6">
        <w:t xml:space="preserve"> states</w:t>
      </w:r>
      <w:r w:rsidR="001D101E" w:rsidRPr="007761E6">
        <w:t>.</w:t>
      </w:r>
    </w:p>
    <w:p w14:paraId="521DDFB1" w14:textId="4E126EAA" w:rsidR="007F1C4A" w:rsidRPr="007761E6" w:rsidRDefault="00C5460D" w:rsidP="002D1B72">
      <w:pPr>
        <w:pStyle w:val="ListParagraph"/>
        <w:numPr>
          <w:ilvl w:val="0"/>
          <w:numId w:val="19"/>
        </w:numPr>
        <w:spacing w:after="0"/>
        <w:rPr>
          <w:rStyle w:val="Heading4Char"/>
          <w:rFonts w:eastAsiaTheme="minorEastAsia" w:cstheme="minorBidi"/>
          <w:bCs w:val="0"/>
          <w:i w:val="0"/>
          <w:iCs w:val="0"/>
          <w:color w:val="auto"/>
          <w:sz w:val="22"/>
        </w:rPr>
      </w:pPr>
      <w:r w:rsidRPr="007761E6">
        <w:t xml:space="preserve">State </w:t>
      </w:r>
      <w:r w:rsidRPr="007761E6">
        <w:rPr>
          <w:i/>
        </w:rPr>
        <w:t>m</w:t>
      </w:r>
      <w:r w:rsidR="00F050F6" w:rsidRPr="007761E6">
        <w:rPr>
          <w:i/>
        </w:rPr>
        <w:t>anufactured</w:t>
      </w:r>
      <w:r w:rsidR="00634377" w:rsidRPr="007761E6">
        <w:t xml:space="preserve"> </w:t>
      </w:r>
      <w:r w:rsidR="004344C8" w:rsidRPr="007761E6">
        <w:t xml:space="preserve">exports </w:t>
      </w:r>
      <w:r w:rsidR="008025ED" w:rsidRPr="007761E6">
        <w:t>were</w:t>
      </w:r>
      <w:r w:rsidR="004344C8" w:rsidRPr="007761E6">
        <w:t xml:space="preserve"> </w:t>
      </w:r>
      <w:r w:rsidR="001D101E" w:rsidRPr="007761E6">
        <w:t xml:space="preserve">about </w:t>
      </w:r>
      <w:r w:rsidR="004344C8" w:rsidRPr="007761E6">
        <w:t>$</w:t>
      </w:r>
      <w:r w:rsidR="001D101E" w:rsidRPr="007761E6">
        <w:t>22</w:t>
      </w:r>
      <w:r w:rsidR="00634377" w:rsidRPr="007761E6">
        <w:t xml:space="preserve"> billion in </w:t>
      </w:r>
      <w:r w:rsidR="002E7C23" w:rsidRPr="007761E6">
        <w:t>2021</w:t>
      </w:r>
      <w:r w:rsidR="008025ED" w:rsidRPr="007761E6">
        <w:t>, up 15% since 2020 (and 4% over 2019)</w:t>
      </w:r>
      <w:r w:rsidR="00104038" w:rsidRPr="007761E6">
        <w:t xml:space="preserve">. </w:t>
      </w:r>
      <w:r w:rsidR="004D75DA" w:rsidRPr="007761E6">
        <w:t>Exports of goods supported more than 11</w:t>
      </w:r>
      <w:r w:rsidR="001D101E" w:rsidRPr="007761E6">
        <w:t>2</w:t>
      </w:r>
      <w:r w:rsidR="004D75DA" w:rsidRPr="007761E6">
        <w:t xml:space="preserve">,000 jobs in Minnesota </w:t>
      </w:r>
      <w:r w:rsidR="00B6620C" w:rsidRPr="007761E6">
        <w:t>in 2020</w:t>
      </w:r>
      <w:r w:rsidR="004D75DA" w:rsidRPr="007761E6">
        <w:t>.</w:t>
      </w:r>
      <w:r w:rsidR="00AF3AAB" w:rsidRPr="007761E6">
        <w:br w:type="column"/>
      </w:r>
      <w:r w:rsidR="007F1C4A" w:rsidRPr="007761E6">
        <w:rPr>
          <w:rStyle w:val="Heading4Char"/>
          <w:color w:val="auto"/>
        </w:rPr>
        <w:t xml:space="preserve">Figure </w:t>
      </w:r>
      <w:r w:rsidR="007F1C4A" w:rsidRPr="007761E6">
        <w:rPr>
          <w:rStyle w:val="Heading4Char"/>
          <w:b/>
          <w:color w:val="auto"/>
        </w:rPr>
        <w:fldChar w:fldCharType="begin"/>
      </w:r>
      <w:r w:rsidR="007F1C4A" w:rsidRPr="007761E6">
        <w:rPr>
          <w:rStyle w:val="Heading4Char"/>
          <w:color w:val="auto"/>
        </w:rPr>
        <w:instrText xml:space="preserve"> SEQ Figure \* ARABIC </w:instrText>
      </w:r>
      <w:r w:rsidR="007F1C4A" w:rsidRPr="007761E6">
        <w:rPr>
          <w:rStyle w:val="Heading4Char"/>
          <w:b/>
          <w:color w:val="auto"/>
        </w:rPr>
        <w:fldChar w:fldCharType="separate"/>
      </w:r>
      <w:r w:rsidR="009D1486" w:rsidRPr="007761E6">
        <w:rPr>
          <w:rStyle w:val="Heading4Char"/>
          <w:noProof/>
          <w:color w:val="auto"/>
        </w:rPr>
        <w:t>1</w:t>
      </w:r>
      <w:r w:rsidR="007F1C4A" w:rsidRPr="007761E6">
        <w:rPr>
          <w:rStyle w:val="Heading4Char"/>
          <w:b/>
          <w:color w:val="auto"/>
        </w:rPr>
        <w:fldChar w:fldCharType="end"/>
      </w:r>
      <w:r w:rsidR="00714F39" w:rsidRPr="007761E6">
        <w:rPr>
          <w:rStyle w:val="Heading4Char"/>
          <w:color w:val="auto"/>
        </w:rPr>
        <w:t xml:space="preserve">. </w:t>
      </w:r>
      <w:r w:rsidR="00F96126" w:rsidRPr="007761E6">
        <w:rPr>
          <w:rStyle w:val="Heading4Char"/>
          <w:color w:val="auto"/>
        </w:rPr>
        <w:t xml:space="preserve"> </w:t>
      </w:r>
      <w:r w:rsidR="00E859A2" w:rsidRPr="007761E6">
        <w:rPr>
          <w:rStyle w:val="Heading4Char"/>
          <w:color w:val="auto"/>
        </w:rPr>
        <w:t>Widespread</w:t>
      </w:r>
      <w:r w:rsidR="004D4C85" w:rsidRPr="007761E6">
        <w:rPr>
          <w:rStyle w:val="Heading4Char"/>
          <w:color w:val="auto"/>
        </w:rPr>
        <w:t xml:space="preserve"> Export</w:t>
      </w:r>
      <w:r w:rsidR="00E859A2" w:rsidRPr="007761E6">
        <w:rPr>
          <w:rStyle w:val="Heading4Char"/>
          <w:color w:val="auto"/>
        </w:rPr>
        <w:t xml:space="preserve"> Gains</w:t>
      </w:r>
      <w:r w:rsidR="004344C8" w:rsidRPr="007761E6">
        <w:rPr>
          <w:rStyle w:val="Heading4Char"/>
          <w:color w:val="auto"/>
        </w:rPr>
        <w:t xml:space="preserve"> in </w:t>
      </w:r>
      <w:r w:rsidR="002E7C23" w:rsidRPr="007761E6">
        <w:rPr>
          <w:rStyle w:val="Heading4Char"/>
          <w:color w:val="auto"/>
        </w:rPr>
        <w:t>2021</w:t>
      </w:r>
    </w:p>
    <w:p w14:paraId="5F1B5AAC" w14:textId="3785147B" w:rsidR="007F1C4A" w:rsidRPr="007761E6" w:rsidRDefault="007F1C4A" w:rsidP="00EE58ED">
      <w:pPr>
        <w:spacing w:after="0"/>
      </w:pPr>
      <w:r w:rsidRPr="007761E6">
        <w:rPr>
          <w:noProof/>
        </w:rPr>
        <mc:AlternateContent>
          <mc:Choice Requires="wps">
            <w:drawing>
              <wp:anchor distT="0" distB="0" distL="114300" distR="114300" simplePos="0" relativeHeight="251664384" behindDoc="0" locked="0" layoutInCell="1" allowOverlap="1" wp14:anchorId="6AB82DA7" wp14:editId="36BC55AE">
                <wp:simplePos x="0" y="0"/>
                <wp:positionH relativeFrom="column">
                  <wp:posOffset>2567940</wp:posOffset>
                </wp:positionH>
                <wp:positionV relativeFrom="paragraph">
                  <wp:posOffset>1374775</wp:posOffset>
                </wp:positionV>
                <wp:extent cx="803910" cy="441960"/>
                <wp:effectExtent l="0" t="0" r="0" b="0"/>
                <wp:wrapNone/>
                <wp:docPr id="307" name="Text Box 2" descr="MN +9 percent&#10;US +8 percent" title="highlight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441960"/>
                        </a:xfrm>
                        <a:prstGeom prst="rect">
                          <a:avLst/>
                        </a:prstGeom>
                        <a:noFill/>
                        <a:ln w="9525">
                          <a:noFill/>
                          <a:miter lim="800000"/>
                          <a:headEnd/>
                          <a:tailEnd/>
                        </a:ln>
                      </wps:spPr>
                      <wps:txbx>
                        <w:txbxContent>
                          <w:p w14:paraId="51975AF3" w14:textId="2A0D2CED" w:rsidR="007F1C4A" w:rsidRPr="00CE0E91" w:rsidRDefault="007F1C4A" w:rsidP="007F1C4A">
                            <w:pPr>
                              <w:spacing w:after="0"/>
                              <w:rPr>
                                <w:b/>
                                <w:i/>
                                <w:sz w:val="20"/>
                              </w:rPr>
                            </w:pPr>
                            <w:r w:rsidRPr="00CE0E91">
                              <w:rPr>
                                <w:b/>
                                <w:i/>
                                <w:sz w:val="20"/>
                              </w:rPr>
                              <w:t>M</w:t>
                            </w:r>
                            <w:r w:rsidR="00AF03EA" w:rsidRPr="00CE0E91">
                              <w:rPr>
                                <w:b/>
                                <w:i/>
                                <w:sz w:val="20"/>
                              </w:rPr>
                              <w:t xml:space="preserve">N:  </w:t>
                            </w:r>
                            <w:r w:rsidR="00E859A2">
                              <w:rPr>
                                <w:b/>
                                <w:i/>
                                <w:sz w:val="20"/>
                              </w:rPr>
                              <w:t>+</w:t>
                            </w:r>
                            <w:r w:rsidR="00AF03EA" w:rsidRPr="00CE0E91">
                              <w:rPr>
                                <w:b/>
                                <w:i/>
                                <w:sz w:val="20"/>
                              </w:rPr>
                              <w:t>1</w:t>
                            </w:r>
                            <w:r w:rsidR="00E859A2">
                              <w:rPr>
                                <w:b/>
                                <w:i/>
                                <w:sz w:val="20"/>
                              </w:rPr>
                              <w:t>7</w:t>
                            </w:r>
                            <w:r w:rsidRPr="00CE0E91">
                              <w:rPr>
                                <w:b/>
                                <w:i/>
                                <w:sz w:val="20"/>
                              </w:rPr>
                              <w:t>%</w:t>
                            </w:r>
                          </w:p>
                          <w:p w14:paraId="36890F85" w14:textId="397815D7" w:rsidR="007F1C4A" w:rsidRPr="00CE0E91" w:rsidRDefault="004344C8" w:rsidP="007F1C4A">
                            <w:pPr>
                              <w:spacing w:after="0"/>
                              <w:rPr>
                                <w:b/>
                                <w:i/>
                                <w:sz w:val="20"/>
                              </w:rPr>
                            </w:pPr>
                            <w:r w:rsidRPr="00CE0E91">
                              <w:rPr>
                                <w:b/>
                                <w:i/>
                                <w:sz w:val="20"/>
                              </w:rPr>
                              <w:t xml:space="preserve">U.S.: </w:t>
                            </w:r>
                            <w:r w:rsidR="00E859A2">
                              <w:rPr>
                                <w:b/>
                                <w:i/>
                                <w:sz w:val="20"/>
                              </w:rPr>
                              <w:t>+2</w:t>
                            </w:r>
                            <w:r w:rsidR="00AF03EA" w:rsidRPr="00CE0E91">
                              <w:rPr>
                                <w:b/>
                                <w:i/>
                                <w:sz w:val="20"/>
                              </w:rPr>
                              <w:t>3</w:t>
                            </w:r>
                            <w:r w:rsidR="007F1C4A" w:rsidRPr="00CE0E91">
                              <w:rPr>
                                <w:b/>
                                <w:i/>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82DA7" id="_x0000_s1027" type="#_x0000_t202" alt="Title: highlight text box - Description: MN +9 percent&#10;US +8 percent" style="position:absolute;margin-left:202.2pt;margin-top:108.25pt;width:63.3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" filled="f" stroked="f">
                <v:textbox>
                  <w:txbxContent>
                    <w:p w14:paraId="51975AF3" w14:textId="2A0D2CED" w:rsidR="007F1C4A" w:rsidRPr="00CE0E91" w:rsidRDefault="007F1C4A" w:rsidP="007F1C4A">
                      <w:pPr>
                        <w:spacing w:after="0"/>
                        <w:rPr>
                          <w:b/>
                          <w:i/>
                          <w:sz w:val="20"/>
                        </w:rPr>
                      </w:pPr>
                      <w:r w:rsidRPr="00CE0E91">
                        <w:rPr>
                          <w:b/>
                          <w:i/>
                          <w:sz w:val="20"/>
                        </w:rPr>
                        <w:t>M</w:t>
                      </w:r>
                      <w:r w:rsidR="00AF03EA" w:rsidRPr="00CE0E91">
                        <w:rPr>
                          <w:b/>
                          <w:i/>
                          <w:sz w:val="20"/>
                        </w:rPr>
                        <w:t xml:space="preserve">N:  </w:t>
                      </w:r>
                      <w:r w:rsidR="00E859A2">
                        <w:rPr>
                          <w:b/>
                          <w:i/>
                          <w:sz w:val="20"/>
                        </w:rPr>
                        <w:t>+</w:t>
                      </w:r>
                      <w:r w:rsidR="00AF03EA" w:rsidRPr="00CE0E91">
                        <w:rPr>
                          <w:b/>
                          <w:i/>
                          <w:sz w:val="20"/>
                        </w:rPr>
                        <w:t>1</w:t>
                      </w:r>
                      <w:r w:rsidR="00E859A2">
                        <w:rPr>
                          <w:b/>
                          <w:i/>
                          <w:sz w:val="20"/>
                        </w:rPr>
                        <w:t>7</w:t>
                      </w:r>
                      <w:r w:rsidRPr="00CE0E91">
                        <w:rPr>
                          <w:b/>
                          <w:i/>
                          <w:sz w:val="20"/>
                        </w:rPr>
                        <w:t>%</w:t>
                      </w:r>
                    </w:p>
                    <w:p w14:paraId="36890F85" w14:textId="397815D7" w:rsidR="007F1C4A" w:rsidRPr="00CE0E91" w:rsidRDefault="004344C8" w:rsidP="007F1C4A">
                      <w:pPr>
                        <w:spacing w:after="0"/>
                        <w:rPr>
                          <w:b/>
                          <w:i/>
                          <w:sz w:val="20"/>
                        </w:rPr>
                      </w:pPr>
                      <w:r w:rsidRPr="00CE0E91">
                        <w:rPr>
                          <w:b/>
                          <w:i/>
                          <w:sz w:val="20"/>
                        </w:rPr>
                        <w:t xml:space="preserve">U.S.: </w:t>
                      </w:r>
                      <w:r w:rsidR="00E859A2">
                        <w:rPr>
                          <w:b/>
                          <w:i/>
                          <w:sz w:val="20"/>
                        </w:rPr>
                        <w:t>+2</w:t>
                      </w:r>
                      <w:r w:rsidR="00AF03EA" w:rsidRPr="00CE0E91">
                        <w:rPr>
                          <w:b/>
                          <w:i/>
                          <w:sz w:val="20"/>
                        </w:rPr>
                        <w:t>3</w:t>
                      </w:r>
                      <w:r w:rsidR="007F1C4A" w:rsidRPr="00CE0E91">
                        <w:rPr>
                          <w:b/>
                          <w:i/>
                          <w:sz w:val="20"/>
                        </w:rPr>
                        <w:t>%</w:t>
                      </w:r>
                    </w:p>
                  </w:txbxContent>
                </v:textbox>
              </v:shape>
            </w:pict>
          </mc:Fallback>
        </mc:AlternateContent>
      </w:r>
      <w:r w:rsidRPr="007761E6">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r w:rsidR="00E859A2" w:rsidRPr="007761E6">
        <w:rPr>
          <w:noProof/>
        </w:rPr>
        <w:drawing>
          <wp:inline distT="0" distB="0" distL="0" distR="0" wp14:anchorId="48AEBBC9" wp14:editId="3C86BC55">
            <wp:extent cx="3063240" cy="1800225"/>
            <wp:effectExtent l="0" t="0" r="3810" b="9525"/>
            <wp:docPr id="11" name="Picture 11" descr="US Map % Change 2020-2021 &#10;State Percent Change 2020-2021&#10;Minnesota 17%&#10;United States 23%&#10;Alabama 22%&#10;Alaska 30%&#10;Arizona 22%&#10;Arkansas 8%&#10;California 12%&#10;Colorado 12%&#10;Connecticut 5%&#10;Delaware 21%&#10;District Of Columbia -46%&#10;Florida 21%&#10;Georgia 9%&#10;Hawaii 6%&#10;Idaho 11%&#10;Illinois 24%&#10;Indiana 16%&#10;Iowa 25%&#10;Kansas 21%&#10;Kentucky 20%&#10;Louisiana 32%&#10;Maine 32%&#10;Maryland 29%&#10;Massachusetts 30%&#10;Michigan 25%&#10;Mississippi 26%&#10;Missouri 21%&#10;Montana 37%&#10;Nebraska 15%&#10;Nevada 2%&#10;New Hampshire 17%&#10;New Jersey 30%&#10;New Mexico 46%&#10;New York 29%&#10;North Carolina 18%&#10;North Dakota 1%&#10;Ohio 12%&#10;Oklahoma 15%&#10;Oregon 19%&#10;Pennsylvania 20%&#10;Rhode Island 26%&#10;South Carolina -2%&#10;South Dakota 35%&#10;Tennessee 23%&#10;Texas 36%&#10;Utah 2%&#10;Vermont 10%&#10;Virginia 23%&#10;Washington 30%&#10;West Virginia 38%&#10;Wisconsin 21%&#10;Wyoming 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US Map % Change 2020-2021 &#10;State Percent Change 2020-2021&#10;Minnesota 17%&#10;United States 23%&#10;Alabama 22%&#10;Alaska 30%&#10;Arizona 22%&#10;Arkansas 8%&#10;California 12%&#10;Colorado 12%&#10;Connecticut 5%&#10;Delaware 21%&#10;District Of Columbia -46%&#10;Florida 21%&#10;Georgia 9%&#10;Hawaii 6%&#10;Idaho 11%&#10;Illinois 24%&#10;Indiana 16%&#10;Iowa 25%&#10;Kansas 21%&#10;Kentucky 20%&#10;Louisiana 32%&#10;Maine 32%&#10;Maryland 29%&#10;Massachusetts 30%&#10;Michigan 25%&#10;Mississippi 26%&#10;Missouri 21%&#10;Montana 37%&#10;Nebraska 15%&#10;Nevada 2%&#10;New Hampshire 17%&#10;New Jersey 30%&#10;New Mexico 46%&#10;New York 29%&#10;North Carolina 18%&#10;North Dakota 1%&#10;Ohio 12%&#10;Oklahoma 15%&#10;Oregon 19%&#10;Pennsylvania 20%&#10;Rhode Island 26%&#10;South Carolina -2%&#10;South Dakota 35%&#10;Tennessee 23%&#10;Texas 36%&#10;Utah 2%&#10;Vermont 10%&#10;Virginia 23%&#10;Washington 30%&#10;West Virginia 38%&#10;Wisconsin 21%&#10;Wyoming 22%&#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859" b="8955"/>
                    <a:stretch/>
                  </pic:blipFill>
                  <pic:spPr bwMode="auto">
                    <a:xfrm>
                      <a:off x="0" y="0"/>
                      <a:ext cx="3063240"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37725C5D" w14:textId="77777777" w:rsidR="007F1C4A" w:rsidRPr="007761E6" w:rsidRDefault="007F1C4A" w:rsidP="000D5400">
      <w:pPr>
        <w:tabs>
          <w:tab w:val="left" w:pos="450"/>
        </w:tabs>
        <w:spacing w:after="0"/>
        <w:rPr>
          <w:i/>
          <w:sz w:val="18"/>
        </w:rPr>
      </w:pPr>
      <w:r w:rsidRPr="007761E6">
        <w:rPr>
          <w:i/>
          <w:sz w:val="18"/>
        </w:rPr>
        <w:t>Decline     0%   Growth</w:t>
      </w:r>
    </w:p>
    <w:p w14:paraId="394E3A7F" w14:textId="77777777" w:rsidR="00D811FA" w:rsidRPr="007761E6" w:rsidRDefault="00E2669F" w:rsidP="000D5400">
      <w:pPr>
        <w:tabs>
          <w:tab w:val="left" w:pos="450"/>
        </w:tabs>
        <w:spacing w:after="0"/>
      </w:pPr>
      <w:r w:rsidRPr="007761E6">
        <w:rPr>
          <w:noProof/>
        </w:rPr>
        <w:drawing>
          <wp:inline distT="0" distB="0" distL="0" distR="0" wp14:anchorId="4B03B774" wp14:editId="68A1C271">
            <wp:extent cx="1066800" cy="152400"/>
            <wp:effectExtent l="0" t="0" r="0" b="0"/>
            <wp:docPr id="6" name="Picture 6" descr="color legend for map (yellow for negative trend/decline, green for positive trend/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Groups\CARD\AEO\Thu-Mai\Tableau, Viz\MTO Tableau files\Export Stats Reports\Newsletter &amp; Fact Sheet charts\2018-Q4 USMap_legend.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41380" b="24137"/>
                    <a:stretch/>
                  </pic:blipFill>
                  <pic:spPr bwMode="auto">
                    <a:xfrm>
                      <a:off x="0" y="0"/>
                      <a:ext cx="1066800" cy="152400"/>
                    </a:xfrm>
                    <a:prstGeom prst="rect">
                      <a:avLst/>
                    </a:prstGeom>
                    <a:noFill/>
                    <a:ln>
                      <a:noFill/>
                    </a:ln>
                    <a:extLst>
                      <a:ext uri="{53640926-AAD7-44D8-BBD7-CCE9431645EC}">
                        <a14:shadowObscured xmlns:a14="http://schemas.microsoft.com/office/drawing/2010/main"/>
                      </a:ext>
                    </a:extLst>
                  </pic:spPr>
                </pic:pic>
              </a:graphicData>
            </a:graphic>
          </wp:inline>
        </w:drawing>
      </w:r>
    </w:p>
    <w:p w14:paraId="0926E465" w14:textId="77777777" w:rsidR="00D73299" w:rsidRPr="007761E6" w:rsidRDefault="00D73299" w:rsidP="001D101E">
      <w:pPr>
        <w:pStyle w:val="ListParagraph"/>
        <w:ind w:left="450"/>
        <w:sectPr w:rsidR="00D73299" w:rsidRPr="007761E6" w:rsidSect="00BC5D6C">
          <w:footnotePr>
            <w:numRestart w:val="eachSect"/>
          </w:footnotePr>
          <w:endnotePr>
            <w:numFmt w:val="decimal"/>
          </w:endnotePr>
          <w:type w:val="continuous"/>
          <w:pgSz w:w="12240" w:h="15840" w:code="1"/>
          <w:pgMar w:top="864" w:right="1152" w:bottom="864" w:left="1152" w:header="720" w:footer="720" w:gutter="0"/>
          <w:cols w:num="2" w:space="288"/>
          <w:titlePg/>
          <w:docGrid w:linePitch="299"/>
        </w:sectPr>
      </w:pPr>
    </w:p>
    <w:p w14:paraId="17983E9E" w14:textId="5D1561D9" w:rsidR="001D101E" w:rsidRPr="007761E6" w:rsidRDefault="001D101E" w:rsidP="001D101E">
      <w:pPr>
        <w:pStyle w:val="ListParagraph"/>
        <w:numPr>
          <w:ilvl w:val="0"/>
          <w:numId w:val="26"/>
        </w:numPr>
        <w:spacing w:after="0"/>
        <w:rPr>
          <w:b/>
          <w:i/>
        </w:rPr>
      </w:pPr>
      <w:r w:rsidRPr="007761E6">
        <w:t xml:space="preserve">Minnesota conducted $56 billion in </w:t>
      </w:r>
      <w:r w:rsidRPr="007761E6">
        <w:rPr>
          <w:i/>
        </w:rPr>
        <w:t>total trade</w:t>
      </w:r>
      <w:r w:rsidRPr="007761E6">
        <w:t xml:space="preserve"> with 212 countries in 2021</w:t>
      </w:r>
      <w:r w:rsidR="000215A5">
        <w:t>. Total trade grew</w:t>
      </w:r>
      <w:r w:rsidRPr="007761E6">
        <w:t xml:space="preserve"> 16% since 2020 (up 8% </w:t>
      </w:r>
      <w:r w:rsidR="00B507A0" w:rsidRPr="007761E6">
        <w:t>since</w:t>
      </w:r>
      <w:r w:rsidRPr="007761E6">
        <w:t xml:space="preserve"> 2019). With $32 billion in </w:t>
      </w:r>
      <w:r w:rsidRPr="007761E6">
        <w:rPr>
          <w:i/>
        </w:rPr>
        <w:t>imports</w:t>
      </w:r>
      <w:r w:rsidRPr="007761E6">
        <w:t xml:space="preserve">, the state ran a </w:t>
      </w:r>
      <w:r w:rsidRPr="007761E6">
        <w:rPr>
          <w:i/>
        </w:rPr>
        <w:t>trade deficit</w:t>
      </w:r>
      <w:r w:rsidRPr="007761E6">
        <w:t xml:space="preserve"> of $</w:t>
      </w:r>
      <w:r w:rsidR="00B6620C" w:rsidRPr="007761E6">
        <w:t>9</w:t>
      </w:r>
      <w:r w:rsidRPr="007761E6">
        <w:t xml:space="preserve"> billion in 2021.</w:t>
      </w:r>
    </w:p>
    <w:p w14:paraId="3414AA65" w14:textId="6B77366B" w:rsidR="00E83789" w:rsidRPr="007761E6" w:rsidRDefault="008025ED" w:rsidP="003E6250">
      <w:pPr>
        <w:pStyle w:val="Heading2"/>
        <w:spacing w:before="120"/>
        <w:ind w:left="360" w:hanging="270"/>
        <w:rPr>
          <w:rFonts w:asciiTheme="minorHAnsi" w:hAnsiTheme="minorHAnsi"/>
          <w:b w:val="0"/>
          <w:i/>
          <w:color w:val="auto"/>
          <w:sz w:val="28"/>
        </w:rPr>
      </w:pPr>
      <w:r w:rsidRPr="007761E6">
        <w:rPr>
          <w:rFonts w:asciiTheme="minorHAnsi" w:hAnsiTheme="minorHAnsi"/>
          <w:b w:val="0"/>
          <w:i/>
          <w:color w:val="auto"/>
          <w:sz w:val="28"/>
        </w:rPr>
        <w:t>North American Markets</w:t>
      </w:r>
      <w:r w:rsidR="00B6620C" w:rsidRPr="007761E6">
        <w:rPr>
          <w:rFonts w:asciiTheme="minorHAnsi" w:hAnsiTheme="minorHAnsi"/>
          <w:b w:val="0"/>
          <w:i/>
          <w:color w:val="auto"/>
          <w:sz w:val="28"/>
        </w:rPr>
        <w:t xml:space="preserve"> Drove Export Growth</w:t>
      </w:r>
      <w:r w:rsidR="009A2C9D" w:rsidRPr="007761E6">
        <w:rPr>
          <w:rFonts w:asciiTheme="minorHAnsi" w:hAnsiTheme="minorHAnsi"/>
          <w:b w:val="0"/>
          <w:i/>
          <w:color w:val="auto"/>
          <w:sz w:val="28"/>
        </w:rPr>
        <w:t xml:space="preserve"> in 2021</w:t>
      </w:r>
    </w:p>
    <w:p w14:paraId="17D9A4E8" w14:textId="24767FA0" w:rsidR="003E6250" w:rsidRPr="007761E6" w:rsidRDefault="004E2649" w:rsidP="005123F6">
      <w:pPr>
        <w:pStyle w:val="ListParagraph"/>
        <w:numPr>
          <w:ilvl w:val="0"/>
          <w:numId w:val="16"/>
        </w:numPr>
        <w:spacing w:after="0"/>
        <w:ind w:hanging="274"/>
      </w:pPr>
      <w:r w:rsidRPr="007761E6">
        <w:t>Minnesota</w:t>
      </w:r>
      <w:r w:rsidR="00104038" w:rsidRPr="007761E6">
        <w:t xml:space="preserve"> exports </w:t>
      </w:r>
      <w:r w:rsidR="00B6620C" w:rsidRPr="007761E6">
        <w:t xml:space="preserve">strongly </w:t>
      </w:r>
      <w:r w:rsidR="008025ED" w:rsidRPr="007761E6">
        <w:t xml:space="preserve">rebounded to </w:t>
      </w:r>
      <w:r w:rsidR="008025ED" w:rsidRPr="007761E6">
        <w:rPr>
          <w:b/>
          <w:bCs/>
        </w:rPr>
        <w:t>North America</w:t>
      </w:r>
      <w:r w:rsidR="008025ED" w:rsidRPr="007761E6">
        <w:t xml:space="preserve"> ($9 billion</w:t>
      </w:r>
      <w:r w:rsidR="00D13DB2" w:rsidRPr="007761E6">
        <w:t>), gaining</w:t>
      </w:r>
      <w:r w:rsidR="008025ED" w:rsidRPr="007761E6">
        <w:t xml:space="preserve"> 33% since 2020 (</w:t>
      </w:r>
      <w:r w:rsidR="00D13DB2" w:rsidRPr="007761E6">
        <w:t>and</w:t>
      </w:r>
      <w:r w:rsidR="008025ED" w:rsidRPr="007761E6">
        <w:t xml:space="preserve"> 26% over 2019). </w:t>
      </w:r>
      <w:r w:rsidR="00D13DB2" w:rsidRPr="007761E6">
        <w:t>Export growth</w:t>
      </w:r>
      <w:r w:rsidR="00B6620C" w:rsidRPr="007761E6">
        <w:t xml:space="preserve"> was more moderate in </w:t>
      </w:r>
      <w:r w:rsidR="00B507A0" w:rsidRPr="007761E6">
        <w:rPr>
          <w:b/>
          <w:bCs/>
        </w:rPr>
        <w:t xml:space="preserve">Asia </w:t>
      </w:r>
      <w:r w:rsidR="00B507A0" w:rsidRPr="007761E6">
        <w:t>(</w:t>
      </w:r>
      <w:r w:rsidR="008025ED" w:rsidRPr="007761E6">
        <w:t>$7.7 billion</w:t>
      </w:r>
      <w:r w:rsidR="00B6620C" w:rsidRPr="007761E6">
        <w:t>, up 8%</w:t>
      </w:r>
      <w:r w:rsidR="008025ED" w:rsidRPr="007761E6">
        <w:t>)</w:t>
      </w:r>
      <w:r w:rsidR="00B507A0" w:rsidRPr="007761E6">
        <w:t xml:space="preserve"> and</w:t>
      </w:r>
      <w:r w:rsidR="00B6620C" w:rsidRPr="007761E6">
        <w:t xml:space="preserve"> in</w:t>
      </w:r>
      <w:r w:rsidR="00B507A0" w:rsidRPr="007761E6">
        <w:t xml:space="preserve"> </w:t>
      </w:r>
      <w:r w:rsidR="00B507A0" w:rsidRPr="007761E6">
        <w:rPr>
          <w:b/>
          <w:bCs/>
        </w:rPr>
        <w:t>Europe</w:t>
      </w:r>
      <w:r w:rsidR="00B507A0" w:rsidRPr="007761E6">
        <w:t xml:space="preserve"> ($4.8 billion</w:t>
      </w:r>
      <w:r w:rsidR="00B6620C" w:rsidRPr="007761E6">
        <w:t>, 11%</w:t>
      </w:r>
      <w:r w:rsidR="00B507A0" w:rsidRPr="007761E6">
        <w:t>)</w:t>
      </w:r>
      <w:r w:rsidR="00D13DB2" w:rsidRPr="007761E6">
        <w:t>; exports</w:t>
      </w:r>
      <w:r w:rsidR="00B507A0" w:rsidRPr="007761E6">
        <w:t xml:space="preserve"> recover</w:t>
      </w:r>
      <w:r w:rsidR="00041E17" w:rsidRPr="007761E6">
        <w:t>ed</w:t>
      </w:r>
      <w:r w:rsidR="00B507A0" w:rsidRPr="007761E6">
        <w:t xml:space="preserve"> </w:t>
      </w:r>
      <w:r w:rsidR="001C6C05" w:rsidRPr="007761E6">
        <w:t xml:space="preserve">to 2019 levels </w:t>
      </w:r>
      <w:r w:rsidR="00B507A0" w:rsidRPr="007761E6">
        <w:t xml:space="preserve">in </w:t>
      </w:r>
      <w:r w:rsidR="00B507A0" w:rsidRPr="007761E6">
        <w:rPr>
          <w:b/>
          <w:bCs/>
        </w:rPr>
        <w:t>Asia</w:t>
      </w:r>
      <w:r w:rsidR="00B507A0" w:rsidRPr="007761E6">
        <w:t xml:space="preserve"> but f</w:t>
      </w:r>
      <w:r w:rsidR="00041E17" w:rsidRPr="007761E6">
        <w:t>ell</w:t>
      </w:r>
      <w:r w:rsidR="00B507A0" w:rsidRPr="007761E6">
        <w:t xml:space="preserve"> short in </w:t>
      </w:r>
      <w:r w:rsidR="00B507A0" w:rsidRPr="007761E6">
        <w:rPr>
          <w:b/>
          <w:bCs/>
        </w:rPr>
        <w:t>Europe</w:t>
      </w:r>
      <w:r w:rsidR="001C6C05" w:rsidRPr="007761E6">
        <w:rPr>
          <w:b/>
          <w:bCs/>
        </w:rPr>
        <w:t xml:space="preserve"> </w:t>
      </w:r>
      <w:r w:rsidR="001C6C05" w:rsidRPr="007761E6">
        <w:t>(down 7%).</w:t>
      </w:r>
      <w:r w:rsidR="00B507A0" w:rsidRPr="007761E6">
        <w:t xml:space="preserve"> </w:t>
      </w:r>
    </w:p>
    <w:p w14:paraId="4EDC170C" w14:textId="5456EA66" w:rsidR="00E1624D" w:rsidRPr="007761E6" w:rsidRDefault="00D52764" w:rsidP="00A32068">
      <w:pPr>
        <w:pStyle w:val="ListParagraph"/>
        <w:numPr>
          <w:ilvl w:val="0"/>
          <w:numId w:val="16"/>
        </w:numPr>
        <w:spacing w:before="80" w:after="0"/>
        <w:ind w:hanging="274"/>
        <w:rPr>
          <w:rFonts w:eastAsiaTheme="majorEastAsia" w:cstheme="majorBidi"/>
          <w:bCs/>
          <w:i/>
          <w:iCs/>
          <w:sz w:val="24"/>
        </w:rPr>
      </w:pPr>
      <w:r w:rsidRPr="007761E6">
        <w:t>Many</w:t>
      </w:r>
      <w:r w:rsidR="00B507A0" w:rsidRPr="007761E6">
        <w:t xml:space="preserve"> markets </w:t>
      </w:r>
      <w:r w:rsidR="00B6620C" w:rsidRPr="007761E6">
        <w:t>rallied</w:t>
      </w:r>
      <w:r w:rsidR="00041E17" w:rsidRPr="007761E6">
        <w:t xml:space="preserve"> </w:t>
      </w:r>
      <w:r w:rsidR="00D13DB2" w:rsidRPr="007761E6">
        <w:t>to</w:t>
      </w:r>
      <w:r w:rsidR="00B6620C" w:rsidRPr="007761E6">
        <w:t xml:space="preserve"> </w:t>
      </w:r>
      <w:r w:rsidRPr="007761E6">
        <w:t>overc</w:t>
      </w:r>
      <w:r w:rsidR="00D13DB2" w:rsidRPr="007761E6">
        <w:t>o</w:t>
      </w:r>
      <w:r w:rsidR="00B6620C" w:rsidRPr="007761E6">
        <w:t>me</w:t>
      </w:r>
      <w:r w:rsidR="00B507A0" w:rsidRPr="007761E6">
        <w:t xml:space="preserve"> the challenges of 2020</w:t>
      </w:r>
      <w:r w:rsidRPr="007761E6">
        <w:t xml:space="preserve">. Demand </w:t>
      </w:r>
      <w:r w:rsidR="00041E17" w:rsidRPr="007761E6">
        <w:t>significantly strengthened</w:t>
      </w:r>
      <w:r w:rsidR="002C724E" w:rsidRPr="007761E6">
        <w:t xml:space="preserve"> </w:t>
      </w:r>
      <w:r w:rsidR="00041E17" w:rsidRPr="007761E6">
        <w:t>in</w:t>
      </w:r>
      <w:r w:rsidRPr="007761E6">
        <w:t xml:space="preserve"> </w:t>
      </w:r>
      <w:r w:rsidRPr="007761E6">
        <w:rPr>
          <w:b/>
          <w:bCs/>
        </w:rPr>
        <w:t xml:space="preserve">Canada </w:t>
      </w:r>
      <w:r w:rsidRPr="007761E6">
        <w:t xml:space="preserve">(up $1.7 billion), </w:t>
      </w:r>
      <w:r w:rsidRPr="007761E6">
        <w:rPr>
          <w:b/>
          <w:bCs/>
        </w:rPr>
        <w:t>Mexico</w:t>
      </w:r>
      <w:r w:rsidRPr="007761E6">
        <w:t xml:space="preserve"> (up $522 million), the</w:t>
      </w:r>
      <w:r w:rsidRPr="007761E6">
        <w:rPr>
          <w:b/>
          <w:bCs/>
        </w:rPr>
        <w:t xml:space="preserve"> Philippines</w:t>
      </w:r>
      <w:r w:rsidRPr="007761E6">
        <w:t xml:space="preserve"> (up $451 million</w:t>
      </w:r>
      <w:r w:rsidR="002C724E" w:rsidRPr="007761E6">
        <w:t>; up from 15</w:t>
      </w:r>
      <w:r w:rsidR="002C724E" w:rsidRPr="007761E6">
        <w:rPr>
          <w:vertAlign w:val="superscript"/>
        </w:rPr>
        <w:t>th</w:t>
      </w:r>
      <w:r w:rsidR="002C724E" w:rsidRPr="007761E6">
        <w:t xml:space="preserve"> largest in 2020</w:t>
      </w:r>
      <w:r w:rsidRPr="007761E6">
        <w:t xml:space="preserve">), </w:t>
      </w:r>
      <w:r w:rsidRPr="007761E6">
        <w:rPr>
          <w:b/>
          <w:bCs/>
        </w:rPr>
        <w:t>China</w:t>
      </w:r>
      <w:r w:rsidRPr="007761E6">
        <w:t xml:space="preserve"> (up $235 million), </w:t>
      </w:r>
      <w:r w:rsidRPr="007761E6">
        <w:rPr>
          <w:b/>
          <w:bCs/>
        </w:rPr>
        <w:t>India</w:t>
      </w:r>
      <w:r w:rsidRPr="007761E6">
        <w:t xml:space="preserve"> (up $105 million, 17</w:t>
      </w:r>
      <w:r w:rsidRPr="007761E6">
        <w:rPr>
          <w:vertAlign w:val="superscript"/>
        </w:rPr>
        <w:t>th</w:t>
      </w:r>
      <w:r w:rsidR="00041E17" w:rsidRPr="007761E6">
        <w:t xml:space="preserve">; due </w:t>
      </w:r>
      <w:r w:rsidR="00041E17" w:rsidRPr="007761E6">
        <w:rPr>
          <w:b/>
          <w:bCs/>
        </w:rPr>
        <w:t>to railway equipment</w:t>
      </w:r>
      <w:r w:rsidR="00041E17" w:rsidRPr="007761E6">
        <w:t>)</w:t>
      </w:r>
      <w:r w:rsidRPr="007761E6">
        <w:t xml:space="preserve">, </w:t>
      </w:r>
      <w:r w:rsidRPr="007761E6">
        <w:rPr>
          <w:b/>
          <w:bCs/>
        </w:rPr>
        <w:t>Ireland</w:t>
      </w:r>
      <w:r w:rsidRPr="007761E6">
        <w:t xml:space="preserve"> (up $102 million</w:t>
      </w:r>
      <w:r w:rsidR="00041E17" w:rsidRPr="007761E6">
        <w:t xml:space="preserve">; due to </w:t>
      </w:r>
      <w:r w:rsidR="00041E17" w:rsidRPr="007761E6">
        <w:rPr>
          <w:b/>
          <w:bCs/>
        </w:rPr>
        <w:t>medical products</w:t>
      </w:r>
      <w:r w:rsidRPr="007761E6">
        <w:t xml:space="preserve">) and </w:t>
      </w:r>
      <w:r w:rsidRPr="007761E6">
        <w:rPr>
          <w:b/>
          <w:bCs/>
        </w:rPr>
        <w:t>Taiwan</w:t>
      </w:r>
      <w:r w:rsidRPr="007761E6">
        <w:t xml:space="preserve"> ($98 million, 12</w:t>
      </w:r>
      <w:r w:rsidRPr="007761E6">
        <w:rPr>
          <w:vertAlign w:val="superscript"/>
        </w:rPr>
        <w:t>th</w:t>
      </w:r>
      <w:r w:rsidRPr="007761E6">
        <w:t>)</w:t>
      </w:r>
      <w:r w:rsidR="00041E17" w:rsidRPr="007761E6">
        <w:t>. S</w:t>
      </w:r>
      <w:r w:rsidRPr="007761E6">
        <w:t xml:space="preserve">ales to these markets </w:t>
      </w:r>
      <w:r w:rsidR="00D13DB2" w:rsidRPr="007761E6">
        <w:t>surpassed 2019</w:t>
      </w:r>
      <w:r w:rsidR="00041E17" w:rsidRPr="007761E6">
        <w:t xml:space="preserve"> levels</w:t>
      </w:r>
      <w:r w:rsidRPr="007761E6">
        <w:t>.</w:t>
      </w:r>
    </w:p>
    <w:p w14:paraId="3927CA69" w14:textId="1F3DD087" w:rsidR="0018019E" w:rsidRDefault="007C165F" w:rsidP="00E1624D">
      <w:pPr>
        <w:spacing w:before="80" w:after="0"/>
        <w:ind w:left="86"/>
        <w:rPr>
          <w:rStyle w:val="Heading4Char"/>
          <w:color w:val="auto"/>
        </w:rPr>
      </w:pPr>
      <w:r w:rsidRPr="007761E6">
        <w:rPr>
          <w:rStyle w:val="Heading4Char"/>
          <w:color w:val="auto"/>
        </w:rPr>
        <w:t xml:space="preserve">Figure </w:t>
      </w:r>
      <w:r w:rsidR="00E36364" w:rsidRPr="007761E6">
        <w:rPr>
          <w:rStyle w:val="Heading4Char"/>
          <w:color w:val="auto"/>
        </w:rPr>
        <w:fldChar w:fldCharType="begin"/>
      </w:r>
      <w:r w:rsidR="00E36364" w:rsidRPr="007761E6">
        <w:rPr>
          <w:rStyle w:val="Heading4Char"/>
          <w:color w:val="auto"/>
        </w:rPr>
        <w:instrText xml:space="preserve"> SEQ Figure \* ARABIC </w:instrText>
      </w:r>
      <w:r w:rsidR="00E36364" w:rsidRPr="007761E6">
        <w:rPr>
          <w:rStyle w:val="Heading4Char"/>
          <w:color w:val="auto"/>
        </w:rPr>
        <w:fldChar w:fldCharType="separate"/>
      </w:r>
      <w:r w:rsidR="009D1486" w:rsidRPr="007761E6">
        <w:rPr>
          <w:rStyle w:val="Heading4Char"/>
          <w:noProof/>
          <w:color w:val="auto"/>
        </w:rPr>
        <w:t>2</w:t>
      </w:r>
      <w:r w:rsidR="00E36364" w:rsidRPr="007761E6">
        <w:rPr>
          <w:rStyle w:val="Heading4Char"/>
          <w:color w:val="auto"/>
        </w:rPr>
        <w:fldChar w:fldCharType="end"/>
      </w:r>
      <w:r w:rsidR="00C84D0E" w:rsidRPr="007761E6">
        <w:rPr>
          <w:rStyle w:val="Heading4Char"/>
          <w:color w:val="auto"/>
        </w:rPr>
        <w:t xml:space="preserve">. </w:t>
      </w:r>
      <w:r w:rsidR="00542EF2" w:rsidRPr="007761E6">
        <w:rPr>
          <w:rStyle w:val="Heading4Char"/>
          <w:color w:val="auto"/>
        </w:rPr>
        <w:t>Exports for</w:t>
      </w:r>
      <w:r w:rsidR="0038665A" w:rsidRPr="007761E6">
        <w:rPr>
          <w:rStyle w:val="Heading4Char"/>
          <w:color w:val="auto"/>
        </w:rPr>
        <w:t xml:space="preserve"> Minnesota’s Top 10 Markets</w:t>
      </w:r>
      <w:r w:rsidR="00705190">
        <w:rPr>
          <w:rStyle w:val="Heading4Char"/>
          <w:color w:val="auto"/>
        </w:rPr>
        <w:t xml:space="preserve"> in</w:t>
      </w:r>
      <w:r w:rsidR="0038665A" w:rsidRPr="007761E6">
        <w:rPr>
          <w:rStyle w:val="Heading4Char"/>
          <w:color w:val="auto"/>
        </w:rPr>
        <w:t xml:space="preserve"> </w:t>
      </w:r>
      <w:r w:rsidR="002E7C23" w:rsidRPr="007761E6">
        <w:rPr>
          <w:rStyle w:val="Heading4Char"/>
          <w:color w:val="auto"/>
        </w:rPr>
        <w:t>2021</w:t>
      </w:r>
      <w:r w:rsidR="00705190">
        <w:rPr>
          <w:rStyle w:val="Heading4Char"/>
          <w:color w:val="auto"/>
        </w:rPr>
        <w:t>, with Trends Since 2020 and 2019</w:t>
      </w:r>
    </w:p>
    <w:p w14:paraId="217599AF" w14:textId="51710CB9" w:rsidR="00D060D7" w:rsidRDefault="00D060D7" w:rsidP="00E1624D">
      <w:pPr>
        <w:spacing w:before="80" w:after="0"/>
        <w:ind w:left="86"/>
        <w:rPr>
          <w:rStyle w:val="Heading4Char"/>
          <w:color w:val="auto"/>
        </w:rPr>
      </w:pPr>
      <w:r>
        <w:rPr>
          <w:noProof/>
        </w:rPr>
        <w:drawing>
          <wp:inline distT="0" distB="0" distL="0" distR="0" wp14:anchorId="2507A39B" wp14:editId="59678B7B">
            <wp:extent cx="6057900" cy="1990725"/>
            <wp:effectExtent l="0" t="0" r="0" b="9525"/>
            <wp:docPr id="4" name="Picture 4" descr="Product Exports (billions) Percent Change 2020-2021 Percent Change 2019-2021&#10;WORLD  $23,538  17% 6%&#10;Canada (1)   $6,587  36% 39%&#10;Mexico (2)   $2,676  10% 5%&#10;China (3)   $2,457  27% 1%&#10;Japan (4)   $1,374  1% -10%&#10;Germany (5)   $820  -3% -27%&#10;Korea (6)   $786  135% 75%&#10;Singapore (7)   $622  17% 2%&#10;Belgium (8)   $584  -38% -42%&#10;U.K. (9)   $549  10% -1%&#10;Ireland (10)   $547  23% 14%&#10;Other  $6,535  11%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oduct Exports (billions) Percent Change 2020-2021 Percent Change 2019-2021&#10;WORLD  $23,538  17% 6%&#10;Canada (1)   $6,587  36% 39%&#10;Mexico (2)   $2,676  10% 5%&#10;China (3)   $2,457  27% 1%&#10;Japan (4)   $1,374  1% -10%&#10;Germany (5)   $820  -3% -27%&#10;Korea (6)   $786  135% 75%&#10;Singapore (7)   $622  17% 2%&#10;Belgium (8)   $584  -38% -42%&#10;U.K. (9)   $549  10% -1%&#10;Ireland (10)   $547  23% 14%&#10;Other  $6,535  11% -3%&#10;"/>
                    <pic:cNvPicPr>
                      <a:picLocks noChangeAspect="1" noChangeArrowheads="1"/>
                    </pic:cNvPicPr>
                  </pic:nvPicPr>
                  <pic:blipFill rotWithShape="1">
                    <a:blip r:embed="rId14">
                      <a:extLst>
                        <a:ext uri="{28A0092B-C50C-407E-A947-70E740481C1C}">
                          <a14:useLocalDpi xmlns:a14="http://schemas.microsoft.com/office/drawing/2010/main" val="0"/>
                        </a:ext>
                      </a:extLst>
                    </a:blip>
                    <a:srcRect l="2508" b="12696"/>
                    <a:stretch/>
                  </pic:blipFill>
                  <pic:spPr bwMode="auto">
                    <a:xfrm>
                      <a:off x="0" y="0"/>
                      <a:ext cx="6065645" cy="1993270"/>
                    </a:xfrm>
                    <a:prstGeom prst="rect">
                      <a:avLst/>
                    </a:prstGeom>
                    <a:noFill/>
                    <a:ln>
                      <a:noFill/>
                    </a:ln>
                    <a:extLst>
                      <a:ext uri="{53640926-AAD7-44D8-BBD7-CCE9431645EC}">
                        <a14:shadowObscured xmlns:a14="http://schemas.microsoft.com/office/drawing/2010/main"/>
                      </a:ext>
                    </a:extLst>
                  </pic:spPr>
                </pic:pic>
              </a:graphicData>
            </a:graphic>
          </wp:inline>
        </w:drawing>
      </w:r>
    </w:p>
    <w:p w14:paraId="29AFD6FC" w14:textId="074A18EE" w:rsidR="00AD20E9" w:rsidRPr="007761E6" w:rsidRDefault="002C724E" w:rsidP="00DE7AA5">
      <w:pPr>
        <w:pStyle w:val="Heading2"/>
        <w:tabs>
          <w:tab w:val="left" w:pos="360"/>
        </w:tabs>
        <w:spacing w:before="0" w:line="271" w:lineRule="auto"/>
        <w:ind w:left="360" w:right="18" w:hanging="360"/>
        <w:rPr>
          <w:color w:val="auto"/>
        </w:rPr>
        <w:sectPr w:rsidR="00AD20E9" w:rsidRPr="007761E6" w:rsidSect="00EF688D">
          <w:footnotePr>
            <w:numRestart w:val="eachSect"/>
          </w:footnotePr>
          <w:endnotePr>
            <w:numFmt w:val="decimal"/>
          </w:endnotePr>
          <w:type w:val="continuous"/>
          <w:pgSz w:w="12240" w:h="15840" w:code="1"/>
          <w:pgMar w:top="864" w:right="1152" w:bottom="864" w:left="1152" w:header="576" w:footer="576" w:gutter="0"/>
          <w:cols w:space="720"/>
          <w:titlePg/>
          <w:docGrid w:linePitch="299"/>
        </w:sectPr>
      </w:pPr>
      <w:r w:rsidRPr="007761E6">
        <w:rPr>
          <w:rFonts w:asciiTheme="minorHAnsi" w:hAnsiTheme="minorHAnsi"/>
          <w:b w:val="0"/>
          <w:i/>
          <w:color w:val="auto"/>
          <w:sz w:val="28"/>
        </w:rPr>
        <w:lastRenderedPageBreak/>
        <w:t xml:space="preserve">Machinery, </w:t>
      </w:r>
      <w:r w:rsidR="005363FA" w:rsidRPr="007761E6">
        <w:rPr>
          <w:rFonts w:asciiTheme="minorHAnsi" w:hAnsiTheme="minorHAnsi"/>
          <w:b w:val="0"/>
          <w:i/>
          <w:color w:val="auto"/>
          <w:sz w:val="28"/>
        </w:rPr>
        <w:t xml:space="preserve">Electrical Equipment and </w:t>
      </w:r>
      <w:r w:rsidR="005F2A2C" w:rsidRPr="007761E6">
        <w:rPr>
          <w:rFonts w:asciiTheme="minorHAnsi" w:hAnsiTheme="minorHAnsi"/>
          <w:b w:val="0"/>
          <w:i/>
          <w:color w:val="auto"/>
          <w:sz w:val="28"/>
        </w:rPr>
        <w:t>Mineral Fuel</w:t>
      </w:r>
      <w:r w:rsidR="00546280" w:rsidRPr="007761E6">
        <w:rPr>
          <w:rFonts w:asciiTheme="minorHAnsi" w:hAnsiTheme="minorHAnsi"/>
          <w:b w:val="0"/>
          <w:i/>
          <w:color w:val="auto"/>
          <w:sz w:val="28"/>
        </w:rPr>
        <w:t xml:space="preserve"> &amp; Oil</w:t>
      </w:r>
      <w:r w:rsidR="005363FA" w:rsidRPr="007761E6">
        <w:rPr>
          <w:rFonts w:asciiTheme="minorHAnsi" w:hAnsiTheme="minorHAnsi"/>
          <w:b w:val="0"/>
          <w:i/>
          <w:color w:val="auto"/>
          <w:sz w:val="28"/>
        </w:rPr>
        <w:t xml:space="preserve"> </w:t>
      </w:r>
      <w:r w:rsidR="009A2C9D" w:rsidRPr="007761E6">
        <w:rPr>
          <w:rFonts w:asciiTheme="minorHAnsi" w:hAnsiTheme="minorHAnsi"/>
          <w:b w:val="0"/>
          <w:i/>
          <w:color w:val="auto"/>
          <w:sz w:val="28"/>
        </w:rPr>
        <w:t>Had Largest</w:t>
      </w:r>
      <w:r w:rsidRPr="007761E6">
        <w:rPr>
          <w:rFonts w:asciiTheme="minorHAnsi" w:hAnsiTheme="minorHAnsi"/>
          <w:b w:val="0"/>
          <w:i/>
          <w:color w:val="auto"/>
          <w:sz w:val="28"/>
        </w:rPr>
        <w:t xml:space="preserve"> </w:t>
      </w:r>
      <w:r w:rsidR="00546280" w:rsidRPr="007761E6">
        <w:rPr>
          <w:rFonts w:asciiTheme="minorHAnsi" w:hAnsiTheme="minorHAnsi"/>
          <w:b w:val="0"/>
          <w:i/>
          <w:color w:val="auto"/>
          <w:sz w:val="28"/>
        </w:rPr>
        <w:t>Export</w:t>
      </w:r>
      <w:r w:rsidRPr="007761E6">
        <w:rPr>
          <w:rFonts w:asciiTheme="minorHAnsi" w:hAnsiTheme="minorHAnsi"/>
          <w:b w:val="0"/>
          <w:i/>
          <w:color w:val="auto"/>
          <w:sz w:val="28"/>
        </w:rPr>
        <w:t xml:space="preserve"> Gains</w:t>
      </w:r>
    </w:p>
    <w:p w14:paraId="59D74E92" w14:textId="5731A906" w:rsidR="00A1620E" w:rsidRPr="007761E6" w:rsidRDefault="00BE7D73" w:rsidP="005911D1">
      <w:pPr>
        <w:pStyle w:val="ListParagraph"/>
        <w:numPr>
          <w:ilvl w:val="0"/>
          <w:numId w:val="7"/>
        </w:numPr>
        <w:spacing w:before="60" w:after="0" w:line="271" w:lineRule="auto"/>
        <w:ind w:left="360" w:right="18"/>
        <w:rPr>
          <w:b/>
          <w:sz w:val="24"/>
        </w:rPr>
      </w:pPr>
      <w:r w:rsidRPr="007761E6">
        <w:t>Surging g</w:t>
      </w:r>
      <w:r w:rsidR="00961E35" w:rsidRPr="007761E6">
        <w:t>lobal sales</w:t>
      </w:r>
      <w:r w:rsidR="00546280" w:rsidRPr="007761E6">
        <w:t xml:space="preserve"> </w:t>
      </w:r>
      <w:r w:rsidR="005363FA" w:rsidRPr="007761E6">
        <w:t xml:space="preserve">of </w:t>
      </w:r>
      <w:r w:rsidR="00546280" w:rsidRPr="007761E6">
        <w:rPr>
          <w:b/>
        </w:rPr>
        <w:t>machinery</w:t>
      </w:r>
      <w:r w:rsidRPr="007761E6">
        <w:rPr>
          <w:b/>
        </w:rPr>
        <w:t xml:space="preserve"> </w:t>
      </w:r>
      <w:r w:rsidRPr="007761E6">
        <w:rPr>
          <w:bCs/>
        </w:rPr>
        <w:t xml:space="preserve">(up </w:t>
      </w:r>
      <w:r w:rsidR="005911D1" w:rsidRPr="007761E6">
        <w:rPr>
          <w:bCs/>
        </w:rPr>
        <w:t>$1 billion</w:t>
      </w:r>
      <w:r w:rsidRPr="007761E6">
        <w:rPr>
          <w:bCs/>
        </w:rPr>
        <w:t>)</w:t>
      </w:r>
      <w:r w:rsidR="00546280" w:rsidRPr="007761E6">
        <w:rPr>
          <w:bCs/>
        </w:rPr>
        <w:t>,</w:t>
      </w:r>
      <w:r w:rsidR="00546280" w:rsidRPr="007761E6">
        <w:rPr>
          <w:b/>
        </w:rPr>
        <w:t xml:space="preserve"> </w:t>
      </w:r>
      <w:r w:rsidRPr="007761E6">
        <w:rPr>
          <w:b/>
        </w:rPr>
        <w:t xml:space="preserve">mineral fuel, oil </w:t>
      </w:r>
      <w:r w:rsidRPr="007761E6">
        <w:rPr>
          <w:bCs/>
        </w:rPr>
        <w:t xml:space="preserve">(up </w:t>
      </w:r>
      <w:r w:rsidR="005911D1" w:rsidRPr="007761E6">
        <w:rPr>
          <w:bCs/>
        </w:rPr>
        <w:t>$7</w:t>
      </w:r>
      <w:r w:rsidR="009A2C9D" w:rsidRPr="007761E6">
        <w:rPr>
          <w:bCs/>
        </w:rPr>
        <w:t>51</w:t>
      </w:r>
      <w:r w:rsidR="005911D1" w:rsidRPr="007761E6">
        <w:rPr>
          <w:bCs/>
        </w:rPr>
        <w:t xml:space="preserve"> million</w:t>
      </w:r>
      <w:r w:rsidRPr="007761E6">
        <w:rPr>
          <w:bCs/>
        </w:rPr>
        <w:t>)</w:t>
      </w:r>
      <w:r w:rsidR="009A2C9D" w:rsidRPr="007761E6">
        <w:rPr>
          <w:bCs/>
        </w:rPr>
        <w:t xml:space="preserve"> and </w:t>
      </w:r>
      <w:r w:rsidR="009A2C9D" w:rsidRPr="007761E6">
        <w:rPr>
          <w:b/>
        </w:rPr>
        <w:t xml:space="preserve">electrical equipment </w:t>
      </w:r>
      <w:r w:rsidR="009A2C9D" w:rsidRPr="007761E6">
        <w:rPr>
          <w:bCs/>
        </w:rPr>
        <w:t>(up $747 million)</w:t>
      </w:r>
      <w:r w:rsidR="005911D1" w:rsidRPr="007761E6">
        <w:t xml:space="preserve"> </w:t>
      </w:r>
      <w:r w:rsidR="005363FA" w:rsidRPr="007761E6">
        <w:t xml:space="preserve">fueled </w:t>
      </w:r>
      <w:r w:rsidR="00961E58" w:rsidRPr="007761E6">
        <w:t xml:space="preserve">Minnesota’s </w:t>
      </w:r>
      <w:r w:rsidR="005363FA" w:rsidRPr="007761E6">
        <w:t xml:space="preserve">overall recovery in exports in 2021 </w:t>
      </w:r>
      <w:r w:rsidR="007648FB" w:rsidRPr="007761E6">
        <w:t xml:space="preserve">and </w:t>
      </w:r>
      <w:r w:rsidR="005911D1" w:rsidRPr="007761E6">
        <w:t>push</w:t>
      </w:r>
      <w:r w:rsidR="007648FB" w:rsidRPr="007761E6">
        <w:t>ed</w:t>
      </w:r>
      <w:r w:rsidRPr="007761E6">
        <w:t xml:space="preserve"> </w:t>
      </w:r>
      <w:r w:rsidR="005911D1" w:rsidRPr="007761E6">
        <w:t xml:space="preserve">these exports </w:t>
      </w:r>
      <w:r w:rsidRPr="007761E6">
        <w:t>over their 2019 levels.</w:t>
      </w:r>
    </w:p>
    <w:p w14:paraId="5337A94D" w14:textId="56DA6402" w:rsidR="003329A5" w:rsidRPr="007761E6" w:rsidRDefault="00586F18" w:rsidP="00214302">
      <w:pPr>
        <w:pStyle w:val="ListParagraph"/>
        <w:numPr>
          <w:ilvl w:val="0"/>
          <w:numId w:val="7"/>
        </w:numPr>
        <w:spacing w:before="60" w:after="0" w:line="271" w:lineRule="auto"/>
        <w:ind w:left="360" w:right="18"/>
        <w:rPr>
          <w:b/>
          <w:sz w:val="24"/>
        </w:rPr>
      </w:pPr>
      <w:r w:rsidRPr="007761E6">
        <w:t>Growth in</w:t>
      </w:r>
      <w:r w:rsidRPr="007761E6">
        <w:rPr>
          <w:b/>
          <w:bCs/>
        </w:rPr>
        <w:t xml:space="preserve"> m</w:t>
      </w:r>
      <w:r w:rsidR="00100204" w:rsidRPr="007761E6">
        <w:rPr>
          <w:b/>
          <w:bCs/>
        </w:rPr>
        <w:t xml:space="preserve">achinery </w:t>
      </w:r>
      <w:r w:rsidRPr="007761E6">
        <w:t>was led by</w:t>
      </w:r>
      <w:r w:rsidR="00100204" w:rsidRPr="007761E6">
        <w:t xml:space="preserve"> </w:t>
      </w:r>
      <w:r w:rsidR="00100204" w:rsidRPr="007761E6">
        <w:rPr>
          <w:b/>
          <w:bCs/>
        </w:rPr>
        <w:t>machines for making semiconductors</w:t>
      </w:r>
      <w:r w:rsidR="00100204" w:rsidRPr="007761E6">
        <w:t xml:space="preserve"> (up 369%</w:t>
      </w:r>
      <w:r w:rsidR="005363FA" w:rsidRPr="007761E6">
        <w:t>;</w:t>
      </w:r>
      <w:r w:rsidR="00995C10" w:rsidRPr="007761E6">
        <w:t xml:space="preserve"> </w:t>
      </w:r>
      <w:r w:rsidR="00214302" w:rsidRPr="007761E6">
        <w:t xml:space="preserve">fueled by </w:t>
      </w:r>
      <w:r w:rsidR="009A2C9D" w:rsidRPr="007761E6">
        <w:t xml:space="preserve">an increase of </w:t>
      </w:r>
      <w:r w:rsidR="00214302" w:rsidRPr="007761E6">
        <w:t xml:space="preserve">$592 million to the </w:t>
      </w:r>
      <w:r w:rsidR="00214302" w:rsidRPr="007761E6">
        <w:rPr>
          <w:b/>
          <w:bCs/>
        </w:rPr>
        <w:t>Philippines</w:t>
      </w:r>
      <w:r w:rsidR="00100204" w:rsidRPr="007761E6">
        <w:t xml:space="preserve">), </w:t>
      </w:r>
      <w:r w:rsidR="00100204" w:rsidRPr="007761E6">
        <w:rPr>
          <w:b/>
          <w:bCs/>
        </w:rPr>
        <w:t>centrifuges, filters</w:t>
      </w:r>
      <w:r w:rsidR="00100204" w:rsidRPr="007761E6">
        <w:t xml:space="preserve"> (up 23</w:t>
      </w:r>
      <w:r w:rsidR="00100204" w:rsidRPr="007761E6">
        <w:rPr>
          <w:b/>
          <w:bCs/>
        </w:rPr>
        <w:t>%</w:t>
      </w:r>
      <w:r w:rsidR="00100204" w:rsidRPr="007761E6">
        <w:t>),</w:t>
      </w:r>
      <w:r w:rsidR="00100204" w:rsidRPr="007761E6">
        <w:rPr>
          <w:b/>
          <w:bCs/>
        </w:rPr>
        <w:t xml:space="preserve"> </w:t>
      </w:r>
      <w:r w:rsidR="009A2C9D" w:rsidRPr="007761E6">
        <w:rPr>
          <w:b/>
          <w:bCs/>
        </w:rPr>
        <w:t xml:space="preserve">construction equipment </w:t>
      </w:r>
      <w:r w:rsidR="009A2C9D" w:rsidRPr="007761E6">
        <w:t xml:space="preserve">(up 42%), </w:t>
      </w:r>
      <w:r w:rsidR="00100204" w:rsidRPr="007761E6">
        <w:rPr>
          <w:b/>
          <w:bCs/>
        </w:rPr>
        <w:t xml:space="preserve">spraying machines </w:t>
      </w:r>
      <w:r w:rsidR="00100204" w:rsidRPr="007761E6">
        <w:t xml:space="preserve">(up 17%) and </w:t>
      </w:r>
      <w:r w:rsidR="00100204" w:rsidRPr="007761E6">
        <w:rPr>
          <w:b/>
          <w:bCs/>
        </w:rPr>
        <w:t>liquid pumps</w:t>
      </w:r>
      <w:r w:rsidR="00100204" w:rsidRPr="007761E6">
        <w:t xml:space="preserve"> (up 18%).</w:t>
      </w:r>
      <w:r w:rsidR="005363FA" w:rsidRPr="007761E6">
        <w:t xml:space="preserve"> </w:t>
      </w:r>
      <w:r w:rsidR="005363FA" w:rsidRPr="007761E6">
        <w:rPr>
          <w:b/>
          <w:bCs/>
        </w:rPr>
        <w:t>Canada</w:t>
      </w:r>
      <w:r w:rsidR="007648FB" w:rsidRPr="007761E6">
        <w:t xml:space="preserve"> and </w:t>
      </w:r>
      <w:r w:rsidR="005363FA" w:rsidRPr="007761E6">
        <w:rPr>
          <w:b/>
          <w:bCs/>
        </w:rPr>
        <w:t xml:space="preserve">China </w:t>
      </w:r>
      <w:r w:rsidR="005363FA" w:rsidRPr="007761E6">
        <w:t>were high-growth</w:t>
      </w:r>
      <w:r w:rsidR="007648FB" w:rsidRPr="007761E6">
        <w:t xml:space="preserve"> </w:t>
      </w:r>
      <w:r w:rsidR="005363FA" w:rsidRPr="007761E6">
        <w:t>markets.</w:t>
      </w:r>
      <w:r w:rsidR="00D42DF4" w:rsidRPr="007761E6">
        <w:rPr>
          <w:rStyle w:val="Heading4Char"/>
          <w:color w:val="auto"/>
        </w:rPr>
        <w:br w:type="column"/>
      </w:r>
      <w:r w:rsidR="003329A5" w:rsidRPr="007761E6">
        <w:rPr>
          <w:rStyle w:val="Heading4Char"/>
          <w:color w:val="auto"/>
        </w:rPr>
        <w:t xml:space="preserve">Figure </w:t>
      </w:r>
      <w:r w:rsidR="003329A5" w:rsidRPr="007761E6">
        <w:rPr>
          <w:rStyle w:val="Heading4Char"/>
          <w:b/>
          <w:color w:val="auto"/>
        </w:rPr>
        <w:fldChar w:fldCharType="begin"/>
      </w:r>
      <w:r w:rsidR="003329A5" w:rsidRPr="007761E6">
        <w:rPr>
          <w:rStyle w:val="Heading4Char"/>
          <w:color w:val="auto"/>
        </w:rPr>
        <w:instrText xml:space="preserve"> SEQ Figure \* ARABIC </w:instrText>
      </w:r>
      <w:r w:rsidR="003329A5" w:rsidRPr="007761E6">
        <w:rPr>
          <w:rStyle w:val="Heading4Char"/>
          <w:b/>
          <w:color w:val="auto"/>
        </w:rPr>
        <w:fldChar w:fldCharType="separate"/>
      </w:r>
      <w:r w:rsidR="003329A5" w:rsidRPr="007761E6">
        <w:rPr>
          <w:rStyle w:val="Heading4Char"/>
          <w:noProof/>
          <w:color w:val="auto"/>
        </w:rPr>
        <w:t>3</w:t>
      </w:r>
      <w:r w:rsidR="003329A5" w:rsidRPr="007761E6">
        <w:rPr>
          <w:rStyle w:val="Heading4Char"/>
          <w:b/>
          <w:color w:val="auto"/>
        </w:rPr>
        <w:fldChar w:fldCharType="end"/>
      </w:r>
      <w:r w:rsidR="00576FFD" w:rsidRPr="007761E6">
        <w:rPr>
          <w:rStyle w:val="Heading4Char"/>
          <w:color w:val="auto"/>
        </w:rPr>
        <w:t>. T</w:t>
      </w:r>
      <w:r w:rsidR="003754FD" w:rsidRPr="007761E6">
        <w:rPr>
          <w:rStyle w:val="Heading4Char"/>
          <w:color w:val="auto"/>
        </w:rPr>
        <w:t>op Exported Machinery Products</w:t>
      </w:r>
    </w:p>
    <w:p w14:paraId="1966C9DD" w14:textId="77777777" w:rsidR="003329A5" w:rsidRPr="007761E6" w:rsidRDefault="003329A5" w:rsidP="002D4A79">
      <w:pPr>
        <w:spacing w:after="60" w:line="271" w:lineRule="auto"/>
        <w:sectPr w:rsidR="003329A5" w:rsidRPr="007761E6" w:rsidSect="00864EE6">
          <w:footerReference w:type="default" r:id="rId15"/>
          <w:footnotePr>
            <w:numRestart w:val="eachSect"/>
          </w:footnotePr>
          <w:endnotePr>
            <w:numFmt w:val="decimal"/>
          </w:endnotePr>
          <w:type w:val="continuous"/>
          <w:pgSz w:w="12240" w:h="15840" w:code="1"/>
          <w:pgMar w:top="864" w:right="1152" w:bottom="864" w:left="1152" w:header="720" w:footer="720" w:gutter="0"/>
          <w:cols w:num="2" w:space="360"/>
          <w:titlePg/>
          <w:docGrid w:linePitch="299"/>
        </w:sectPr>
      </w:pPr>
      <w:r w:rsidRPr="007761E6">
        <w:rPr>
          <w:noProof/>
        </w:rPr>
        <w:drawing>
          <wp:inline distT="0" distB="0" distL="0" distR="0" wp14:anchorId="45C6D587" wp14:editId="036A395E">
            <wp:extent cx="3017520" cy="1859280"/>
            <wp:effectExtent l="0" t="0" r="0" b="7620"/>
            <wp:docPr id="3" name="Chart 3" descr="Figure 3 Major exported machinery products&#10;&#10;Machines to make semiconductors 20%&#10;Centrifuges, filters 17%&#10;Spraying machines 6%&#10;Pumps for liquids 6%&#10;Specialized machines 5%&#10;taps, valves for pipes 5%&#10;Computers 5%&#10;Other 3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67A8C1" w14:textId="46B2C36F" w:rsidR="00BE0BE8" w:rsidRPr="007761E6" w:rsidRDefault="00586F18" w:rsidP="00BE0BE8">
      <w:pPr>
        <w:pStyle w:val="ListParagraph"/>
        <w:numPr>
          <w:ilvl w:val="0"/>
          <w:numId w:val="7"/>
        </w:numPr>
        <w:spacing w:after="0" w:line="271" w:lineRule="auto"/>
        <w:ind w:left="360"/>
      </w:pPr>
      <w:r w:rsidRPr="007761E6">
        <w:rPr>
          <w:b/>
        </w:rPr>
        <w:t>E</w:t>
      </w:r>
      <w:r w:rsidR="00BE0BE8" w:rsidRPr="007761E6">
        <w:rPr>
          <w:b/>
        </w:rPr>
        <w:t xml:space="preserve">lectronic integrated circuits </w:t>
      </w:r>
      <w:r w:rsidR="00BE0BE8" w:rsidRPr="007761E6">
        <w:rPr>
          <w:bCs/>
        </w:rPr>
        <w:t xml:space="preserve">(up 67%; driven by </w:t>
      </w:r>
      <w:r w:rsidR="00BE0BE8" w:rsidRPr="007761E6">
        <w:rPr>
          <w:b/>
        </w:rPr>
        <w:t>China</w:t>
      </w:r>
      <w:r w:rsidR="00BE0BE8" w:rsidRPr="007761E6">
        <w:rPr>
          <w:bCs/>
        </w:rPr>
        <w:t>) and</w:t>
      </w:r>
      <w:r w:rsidR="00BE0BE8" w:rsidRPr="007761E6">
        <w:rPr>
          <w:b/>
        </w:rPr>
        <w:t xml:space="preserve"> semiconductors </w:t>
      </w:r>
      <w:r w:rsidR="00BE0BE8" w:rsidRPr="007761E6">
        <w:rPr>
          <w:bCs/>
        </w:rPr>
        <w:t>(up 69%; boosted by</w:t>
      </w:r>
      <w:r w:rsidR="00BE0BE8" w:rsidRPr="007761E6">
        <w:rPr>
          <w:b/>
        </w:rPr>
        <w:t xml:space="preserve"> Japan</w:t>
      </w:r>
      <w:r w:rsidR="009A2C9D" w:rsidRPr="007761E6">
        <w:rPr>
          <w:b/>
        </w:rPr>
        <w:t xml:space="preserve">, </w:t>
      </w:r>
      <w:proofErr w:type="gramStart"/>
      <w:r w:rsidR="009A2C9D" w:rsidRPr="007761E6">
        <w:rPr>
          <w:b/>
        </w:rPr>
        <w:t>China</w:t>
      </w:r>
      <w:proofErr w:type="gramEnd"/>
      <w:r w:rsidR="00BE0BE8" w:rsidRPr="007761E6">
        <w:rPr>
          <w:bCs/>
        </w:rPr>
        <w:t xml:space="preserve"> and</w:t>
      </w:r>
      <w:r w:rsidR="00BE0BE8" w:rsidRPr="007761E6">
        <w:rPr>
          <w:b/>
        </w:rPr>
        <w:t xml:space="preserve"> Canada</w:t>
      </w:r>
      <w:r w:rsidR="00BE0BE8" w:rsidRPr="007761E6">
        <w:rPr>
          <w:bCs/>
        </w:rPr>
        <w:t>)</w:t>
      </w:r>
      <w:r w:rsidRPr="007761E6">
        <w:rPr>
          <w:b/>
        </w:rPr>
        <w:t xml:space="preserve"> </w:t>
      </w:r>
      <w:r w:rsidRPr="007761E6">
        <w:rPr>
          <w:bCs/>
        </w:rPr>
        <w:t>generated significant</w:t>
      </w:r>
      <w:r w:rsidR="00BE0BE8" w:rsidRPr="007761E6">
        <w:rPr>
          <w:bCs/>
        </w:rPr>
        <w:t xml:space="preserve"> export growth in</w:t>
      </w:r>
      <w:r w:rsidR="00BE0BE8" w:rsidRPr="007761E6">
        <w:rPr>
          <w:b/>
        </w:rPr>
        <w:t xml:space="preserve"> electrical equipment.</w:t>
      </w:r>
    </w:p>
    <w:p w14:paraId="34C1D17A" w14:textId="77777777" w:rsidR="00BE0BE8" w:rsidRPr="007761E6" w:rsidRDefault="00BE0BE8" w:rsidP="00BE0BE8">
      <w:pPr>
        <w:pStyle w:val="ListParagraph"/>
        <w:numPr>
          <w:ilvl w:val="0"/>
          <w:numId w:val="7"/>
        </w:numPr>
        <w:spacing w:after="0" w:line="271" w:lineRule="auto"/>
        <w:ind w:left="360"/>
      </w:pPr>
      <w:r w:rsidRPr="007761E6">
        <w:rPr>
          <w:b/>
        </w:rPr>
        <w:t xml:space="preserve">Mineral fuel, oil </w:t>
      </w:r>
      <w:r w:rsidRPr="007761E6">
        <w:t>exports</w:t>
      </w:r>
      <w:r w:rsidRPr="007761E6">
        <w:rPr>
          <w:b/>
        </w:rPr>
        <w:t xml:space="preserve"> </w:t>
      </w:r>
      <w:r w:rsidRPr="007761E6">
        <w:t xml:space="preserve">leaped 70% to $1.8 billion – propelled by </w:t>
      </w:r>
      <w:r w:rsidRPr="007761E6">
        <w:rPr>
          <w:b/>
        </w:rPr>
        <w:t>Canada</w:t>
      </w:r>
      <w:r w:rsidRPr="007761E6">
        <w:t xml:space="preserve"> and </w:t>
      </w:r>
      <w:r w:rsidRPr="007761E6">
        <w:rPr>
          <w:b/>
        </w:rPr>
        <w:t>petroleum-based light oils</w:t>
      </w:r>
      <w:r w:rsidRPr="007761E6">
        <w:t>.</w:t>
      </w:r>
    </w:p>
    <w:p w14:paraId="425B3418" w14:textId="1DA951A5" w:rsidR="00864EE6" w:rsidRPr="007761E6" w:rsidRDefault="00586F18" w:rsidP="0088746C">
      <w:pPr>
        <w:pStyle w:val="ListParagraph"/>
        <w:numPr>
          <w:ilvl w:val="0"/>
          <w:numId w:val="7"/>
        </w:numPr>
        <w:spacing w:before="60" w:after="0" w:line="271" w:lineRule="auto"/>
        <w:ind w:left="360" w:right="18"/>
        <w:rPr>
          <w:b/>
          <w:sz w:val="24"/>
        </w:rPr>
      </w:pPr>
      <w:r w:rsidRPr="007761E6">
        <w:rPr>
          <w:b/>
          <w:bCs/>
        </w:rPr>
        <w:t>O</w:t>
      </w:r>
      <w:r w:rsidR="00864EE6" w:rsidRPr="007761E6">
        <w:rPr>
          <w:b/>
          <w:bCs/>
        </w:rPr>
        <w:t>ptic</w:t>
      </w:r>
      <w:r w:rsidR="007648FB" w:rsidRPr="007761E6">
        <w:rPr>
          <w:b/>
          <w:bCs/>
        </w:rPr>
        <w:t>al</w:t>
      </w:r>
      <w:r w:rsidR="00864EE6" w:rsidRPr="007761E6">
        <w:rPr>
          <w:b/>
          <w:bCs/>
        </w:rPr>
        <w:t xml:space="preserve">, medical goods </w:t>
      </w:r>
      <w:r w:rsidR="00864EE6" w:rsidRPr="007761E6">
        <w:t>struggle</w:t>
      </w:r>
      <w:r w:rsidR="00995C10" w:rsidRPr="007761E6">
        <w:t>d</w:t>
      </w:r>
      <w:r w:rsidR="00864EE6" w:rsidRPr="007761E6">
        <w:t xml:space="preserve"> in 2021</w:t>
      </w:r>
      <w:r w:rsidR="00A801C4" w:rsidRPr="007761E6">
        <w:t>.</w:t>
      </w:r>
      <w:r w:rsidRPr="007761E6">
        <w:t xml:space="preserve"> </w:t>
      </w:r>
      <w:r w:rsidR="00B753FC" w:rsidRPr="007761E6">
        <w:t>Demand</w:t>
      </w:r>
      <w:r w:rsidR="00314D15" w:rsidRPr="007761E6">
        <w:t xml:space="preserve"> was robust</w:t>
      </w:r>
      <w:r w:rsidR="00A801C4" w:rsidRPr="007761E6">
        <w:t xml:space="preserve"> </w:t>
      </w:r>
      <w:r w:rsidR="0073043A" w:rsidRPr="007761E6">
        <w:t>for</w:t>
      </w:r>
      <w:r w:rsidRPr="007761E6">
        <w:t xml:space="preserve"> </w:t>
      </w:r>
      <w:r w:rsidR="00864EE6" w:rsidRPr="007761E6">
        <w:rPr>
          <w:b/>
          <w:bCs/>
        </w:rPr>
        <w:t>optical</w:t>
      </w:r>
      <w:r w:rsidR="00314D15" w:rsidRPr="007761E6">
        <w:rPr>
          <w:b/>
          <w:bCs/>
        </w:rPr>
        <w:t xml:space="preserve"> inspection</w:t>
      </w:r>
      <w:r w:rsidR="00864EE6" w:rsidRPr="007761E6">
        <w:rPr>
          <w:b/>
          <w:bCs/>
        </w:rPr>
        <w:t xml:space="preserve"> instruments</w:t>
      </w:r>
      <w:r w:rsidR="00864EE6" w:rsidRPr="007761E6">
        <w:t xml:space="preserve"> and </w:t>
      </w:r>
      <w:r w:rsidR="00864EE6" w:rsidRPr="007761E6">
        <w:rPr>
          <w:b/>
          <w:bCs/>
        </w:rPr>
        <w:t>medical, surgical instruments</w:t>
      </w:r>
      <w:r w:rsidR="007B5C21" w:rsidRPr="007761E6">
        <w:t xml:space="preserve">, </w:t>
      </w:r>
      <w:r w:rsidR="00314D15" w:rsidRPr="007761E6">
        <w:t xml:space="preserve">but </w:t>
      </w:r>
      <w:r w:rsidR="00B753FC" w:rsidRPr="007761E6">
        <w:t>tumbled</w:t>
      </w:r>
      <w:r w:rsidR="00314D15" w:rsidRPr="007761E6">
        <w:t xml:space="preserve"> for</w:t>
      </w:r>
      <w:r w:rsidRPr="007761E6">
        <w:t xml:space="preserve"> </w:t>
      </w:r>
      <w:r w:rsidR="00AB1420" w:rsidRPr="007761E6">
        <w:rPr>
          <w:b/>
          <w:bCs/>
        </w:rPr>
        <w:t>unmounte</w:t>
      </w:r>
      <w:r w:rsidR="00864EE6" w:rsidRPr="007761E6">
        <w:rPr>
          <w:b/>
          <w:bCs/>
        </w:rPr>
        <w:t xml:space="preserve">d optical </w:t>
      </w:r>
      <w:r w:rsidR="00AB1420" w:rsidRPr="007761E6">
        <w:rPr>
          <w:b/>
          <w:bCs/>
        </w:rPr>
        <w:t>element</w:t>
      </w:r>
      <w:r w:rsidR="007648FB" w:rsidRPr="007761E6">
        <w:rPr>
          <w:b/>
          <w:bCs/>
        </w:rPr>
        <w:t>s</w:t>
      </w:r>
      <w:r w:rsidR="0073043A" w:rsidRPr="007761E6">
        <w:t>,</w:t>
      </w:r>
      <w:r w:rsidRPr="007761E6">
        <w:rPr>
          <w:b/>
          <w:bCs/>
        </w:rPr>
        <w:t xml:space="preserve"> </w:t>
      </w:r>
      <w:r w:rsidR="0073043A" w:rsidRPr="007761E6">
        <w:t>mainly to</w:t>
      </w:r>
      <w:r w:rsidR="00AB1420" w:rsidRPr="007761E6">
        <w:t xml:space="preserve"> </w:t>
      </w:r>
      <w:r w:rsidR="00AB1420" w:rsidRPr="007761E6">
        <w:rPr>
          <w:b/>
          <w:bCs/>
        </w:rPr>
        <w:t xml:space="preserve">Korea </w:t>
      </w:r>
      <w:r w:rsidR="00AB1420" w:rsidRPr="007761E6">
        <w:t xml:space="preserve">and </w:t>
      </w:r>
      <w:r w:rsidR="00AB1420" w:rsidRPr="007761E6">
        <w:rPr>
          <w:b/>
          <w:bCs/>
        </w:rPr>
        <w:t>China</w:t>
      </w:r>
      <w:r w:rsidR="00314D15" w:rsidRPr="007761E6">
        <w:t>.</w:t>
      </w:r>
    </w:p>
    <w:p w14:paraId="691DE89D" w14:textId="7546E94D" w:rsidR="0088746C" w:rsidRPr="007761E6" w:rsidRDefault="0088746C" w:rsidP="00C202D6">
      <w:pPr>
        <w:pStyle w:val="ListParagraph"/>
        <w:numPr>
          <w:ilvl w:val="0"/>
          <w:numId w:val="7"/>
        </w:numPr>
        <w:spacing w:before="60" w:after="0" w:line="271" w:lineRule="auto"/>
        <w:ind w:left="360" w:right="18"/>
        <w:rPr>
          <w:b/>
          <w:sz w:val="24"/>
        </w:rPr>
      </w:pPr>
      <w:r w:rsidRPr="007761E6">
        <w:t>Exports of</w:t>
      </w:r>
      <w:r w:rsidRPr="007761E6">
        <w:rPr>
          <w:b/>
          <w:bCs/>
        </w:rPr>
        <w:t xml:space="preserve"> plastics </w:t>
      </w:r>
      <w:r w:rsidRPr="007761E6">
        <w:t>(down 10%)</w:t>
      </w:r>
      <w:r w:rsidRPr="007761E6">
        <w:rPr>
          <w:b/>
          <w:bCs/>
        </w:rPr>
        <w:t xml:space="preserve"> </w:t>
      </w:r>
      <w:r w:rsidRPr="007761E6">
        <w:t>slumped</w:t>
      </w:r>
      <w:r w:rsidR="00BE0BE8" w:rsidRPr="007761E6">
        <w:rPr>
          <w:b/>
          <w:bCs/>
        </w:rPr>
        <w:t xml:space="preserve"> </w:t>
      </w:r>
      <w:r w:rsidR="00BE0BE8" w:rsidRPr="007761E6">
        <w:t xml:space="preserve">due to </w:t>
      </w:r>
      <w:r w:rsidR="00A801C4" w:rsidRPr="007761E6">
        <w:t xml:space="preserve">a </w:t>
      </w:r>
      <w:r w:rsidR="00BE0BE8" w:rsidRPr="007761E6">
        <w:t>p</w:t>
      </w:r>
      <w:r w:rsidR="00586F18" w:rsidRPr="007761E6">
        <w:t>rolonged</w:t>
      </w:r>
      <w:r w:rsidR="00BE0BE8" w:rsidRPr="007761E6">
        <w:t xml:space="preserve"> </w:t>
      </w:r>
      <w:r w:rsidR="00A801C4" w:rsidRPr="007761E6">
        <w:t>decline in</w:t>
      </w:r>
      <w:r w:rsidR="00BE0BE8" w:rsidRPr="007761E6">
        <w:t xml:space="preserve"> sales of </w:t>
      </w:r>
      <w:r w:rsidR="00BE0BE8" w:rsidRPr="007761E6">
        <w:rPr>
          <w:b/>
          <w:bCs/>
        </w:rPr>
        <w:t>self-adhesive plastic plates, sheets</w:t>
      </w:r>
      <w:r w:rsidR="00BE0BE8" w:rsidRPr="007761E6">
        <w:t xml:space="preserve"> (down 62%), despite strong growth in </w:t>
      </w:r>
      <w:proofErr w:type="spellStart"/>
      <w:r w:rsidR="0073043A" w:rsidRPr="007761E6">
        <w:rPr>
          <w:b/>
          <w:bCs/>
        </w:rPr>
        <w:t>polyethers</w:t>
      </w:r>
      <w:proofErr w:type="spellEnd"/>
      <w:r w:rsidR="0073043A" w:rsidRPr="007761E6">
        <w:rPr>
          <w:b/>
          <w:bCs/>
        </w:rPr>
        <w:t>, polyesters</w:t>
      </w:r>
      <w:r w:rsidR="00BE0BE8" w:rsidRPr="007761E6">
        <w:t xml:space="preserve"> (up 21%) and </w:t>
      </w:r>
      <w:r w:rsidR="00BE0BE8" w:rsidRPr="007761E6">
        <w:rPr>
          <w:b/>
          <w:bCs/>
        </w:rPr>
        <w:t>tubes, pipes</w:t>
      </w:r>
      <w:r w:rsidR="00BE0BE8" w:rsidRPr="007761E6">
        <w:t xml:space="preserve"> (up 67%).</w:t>
      </w:r>
    </w:p>
    <w:p w14:paraId="6A20CD87" w14:textId="062BFAEB" w:rsidR="0032597F" w:rsidRPr="007761E6" w:rsidRDefault="005B0E05" w:rsidP="0032597F">
      <w:pPr>
        <w:pStyle w:val="ListParagraph"/>
        <w:numPr>
          <w:ilvl w:val="0"/>
          <w:numId w:val="7"/>
        </w:numPr>
        <w:spacing w:after="0" w:line="271" w:lineRule="auto"/>
        <w:ind w:left="360"/>
      </w:pPr>
      <w:r w:rsidRPr="007761E6">
        <w:t xml:space="preserve">Exports of </w:t>
      </w:r>
      <w:r w:rsidR="00995C10" w:rsidRPr="007761E6">
        <w:rPr>
          <w:b/>
          <w:bCs/>
        </w:rPr>
        <w:t>cereals</w:t>
      </w:r>
      <w:r w:rsidR="00995C10" w:rsidRPr="007761E6">
        <w:t xml:space="preserve"> (</w:t>
      </w:r>
      <w:r w:rsidR="004F5A6F" w:rsidRPr="007761E6">
        <w:t>mainly</w:t>
      </w:r>
      <w:r w:rsidRPr="007761E6">
        <w:t xml:space="preserve"> </w:t>
      </w:r>
      <w:r w:rsidRPr="007761E6">
        <w:rPr>
          <w:b/>
          <w:bCs/>
        </w:rPr>
        <w:t>corn</w:t>
      </w:r>
      <w:r w:rsidRPr="007761E6">
        <w:t xml:space="preserve"> – up 297%, driven by </w:t>
      </w:r>
      <w:r w:rsidRPr="007761E6">
        <w:rPr>
          <w:b/>
          <w:bCs/>
        </w:rPr>
        <w:t>Canada</w:t>
      </w:r>
      <w:r w:rsidRPr="007761E6">
        <w:t>)</w:t>
      </w:r>
      <w:r w:rsidR="00BE0BE8" w:rsidRPr="007761E6">
        <w:t>;</w:t>
      </w:r>
      <w:r w:rsidRPr="007761E6">
        <w:t xml:space="preserve"> </w:t>
      </w:r>
      <w:r w:rsidRPr="007761E6">
        <w:rPr>
          <w:b/>
          <w:bCs/>
        </w:rPr>
        <w:t>oil seeds, misc. grain</w:t>
      </w:r>
      <w:r w:rsidRPr="007761E6">
        <w:t xml:space="preserve"> (primarily </w:t>
      </w:r>
      <w:r w:rsidRPr="007761E6">
        <w:rPr>
          <w:b/>
          <w:bCs/>
        </w:rPr>
        <w:t>soybeans</w:t>
      </w:r>
      <w:r w:rsidRPr="007761E6">
        <w:t xml:space="preserve"> – up 109%, driven by </w:t>
      </w:r>
      <w:r w:rsidRPr="007761E6">
        <w:rPr>
          <w:b/>
          <w:bCs/>
        </w:rPr>
        <w:t>Mexico</w:t>
      </w:r>
      <w:r w:rsidRPr="007761E6">
        <w:t>)</w:t>
      </w:r>
      <w:r w:rsidR="00BE0BE8" w:rsidRPr="007761E6">
        <w:t>;</w:t>
      </w:r>
      <w:r w:rsidRPr="007761E6">
        <w:t xml:space="preserve"> and </w:t>
      </w:r>
      <w:r w:rsidRPr="007761E6">
        <w:rPr>
          <w:b/>
          <w:bCs/>
        </w:rPr>
        <w:t>food by-products</w:t>
      </w:r>
      <w:r w:rsidRPr="007761E6">
        <w:t xml:space="preserve"> grew vigorously to </w:t>
      </w:r>
      <w:r w:rsidRPr="007761E6">
        <w:rPr>
          <w:b/>
          <w:bCs/>
        </w:rPr>
        <w:t xml:space="preserve">North American </w:t>
      </w:r>
      <w:r w:rsidRPr="007761E6">
        <w:t>ma</w:t>
      </w:r>
      <w:r w:rsidR="001E6F3B" w:rsidRPr="007761E6">
        <w:t>r</w:t>
      </w:r>
      <w:r w:rsidRPr="007761E6">
        <w:t>kets.</w:t>
      </w:r>
      <w:r w:rsidR="0032597F" w:rsidRPr="007761E6">
        <w:t xml:space="preserve"> </w:t>
      </w:r>
    </w:p>
    <w:p w14:paraId="14D392A9" w14:textId="32133FF6" w:rsidR="008A09F3" w:rsidRPr="007761E6" w:rsidRDefault="00314D15" w:rsidP="00314D15">
      <w:pPr>
        <w:pStyle w:val="ListParagraph"/>
        <w:numPr>
          <w:ilvl w:val="0"/>
          <w:numId w:val="7"/>
        </w:numPr>
        <w:spacing w:after="0" w:line="271" w:lineRule="auto"/>
        <w:ind w:left="360" w:right="18"/>
      </w:pPr>
      <w:r w:rsidRPr="007761E6">
        <w:rPr>
          <w:bCs/>
        </w:rPr>
        <w:t>Solid growth in</w:t>
      </w:r>
      <w:r w:rsidRPr="007761E6">
        <w:rPr>
          <w:b/>
        </w:rPr>
        <w:t xml:space="preserve"> m</w:t>
      </w:r>
      <w:r w:rsidR="006F45EE" w:rsidRPr="007761E6">
        <w:rPr>
          <w:b/>
        </w:rPr>
        <w:t>eat</w:t>
      </w:r>
      <w:r w:rsidR="0031398E" w:rsidRPr="007761E6">
        <w:rPr>
          <w:bCs/>
        </w:rPr>
        <w:t xml:space="preserve"> (primarily </w:t>
      </w:r>
      <w:r w:rsidR="0031398E" w:rsidRPr="007761E6">
        <w:rPr>
          <w:b/>
        </w:rPr>
        <w:t>pork</w:t>
      </w:r>
      <w:r w:rsidR="0031398E" w:rsidRPr="007761E6">
        <w:rPr>
          <w:bCs/>
        </w:rPr>
        <w:t>)</w:t>
      </w:r>
      <w:r w:rsidR="0032597F" w:rsidRPr="007761E6">
        <w:t xml:space="preserve"> </w:t>
      </w:r>
      <w:r w:rsidR="00E47084" w:rsidRPr="007761E6">
        <w:t>occurred in</w:t>
      </w:r>
      <w:r w:rsidR="0031398E" w:rsidRPr="007761E6">
        <w:rPr>
          <w:b/>
          <w:bCs/>
        </w:rPr>
        <w:t xml:space="preserve"> Japan</w:t>
      </w:r>
      <w:r w:rsidR="0031398E" w:rsidRPr="007761E6">
        <w:t xml:space="preserve"> </w:t>
      </w:r>
      <w:r w:rsidR="0032597F" w:rsidRPr="007761E6">
        <w:t xml:space="preserve">(up </w:t>
      </w:r>
      <w:r w:rsidR="0031398E" w:rsidRPr="007761E6">
        <w:t xml:space="preserve">62%) and </w:t>
      </w:r>
      <w:r w:rsidR="0031398E" w:rsidRPr="007761E6">
        <w:rPr>
          <w:b/>
          <w:bCs/>
        </w:rPr>
        <w:t>Mexico</w:t>
      </w:r>
      <w:r w:rsidR="0031398E" w:rsidRPr="007761E6">
        <w:t xml:space="preserve"> (up 55%)</w:t>
      </w:r>
      <w:r w:rsidRPr="007761E6">
        <w:t>.</w:t>
      </w:r>
      <w:r w:rsidR="00593AA7" w:rsidRPr="007761E6">
        <w:t xml:space="preserve"> </w:t>
      </w:r>
      <w:r w:rsidRPr="007761E6">
        <w:rPr>
          <w:b/>
        </w:rPr>
        <w:t>D</w:t>
      </w:r>
      <w:r w:rsidR="00603AFF" w:rsidRPr="007761E6">
        <w:rPr>
          <w:b/>
        </w:rPr>
        <w:t>airy, eggs</w:t>
      </w:r>
      <w:r w:rsidR="00603AFF" w:rsidRPr="007761E6">
        <w:t xml:space="preserve"> ($1</w:t>
      </w:r>
      <w:r w:rsidR="0031398E" w:rsidRPr="007761E6">
        <w:t>92</w:t>
      </w:r>
      <w:r w:rsidR="00603AFF" w:rsidRPr="007761E6">
        <w:t xml:space="preserve"> million, up </w:t>
      </w:r>
      <w:r w:rsidR="0031398E" w:rsidRPr="007761E6">
        <w:t>24</w:t>
      </w:r>
      <w:r w:rsidR="008A09F3" w:rsidRPr="007761E6">
        <w:t>%</w:t>
      </w:r>
      <w:r w:rsidR="0031398E" w:rsidRPr="007761E6">
        <w:t xml:space="preserve">; largely </w:t>
      </w:r>
      <w:r w:rsidR="0031398E" w:rsidRPr="007761E6">
        <w:rPr>
          <w:b/>
          <w:bCs/>
        </w:rPr>
        <w:t xml:space="preserve">whey </w:t>
      </w:r>
      <w:r w:rsidR="0031398E" w:rsidRPr="007761E6">
        <w:t xml:space="preserve">and </w:t>
      </w:r>
      <w:r w:rsidR="0031398E" w:rsidRPr="007761E6">
        <w:rPr>
          <w:b/>
          <w:bCs/>
        </w:rPr>
        <w:t>milk, cream</w:t>
      </w:r>
      <w:r w:rsidR="008A09F3" w:rsidRPr="007761E6">
        <w:t xml:space="preserve">) </w:t>
      </w:r>
      <w:r w:rsidR="00593AA7" w:rsidRPr="007761E6">
        <w:t>made inroads in</w:t>
      </w:r>
      <w:r w:rsidR="008A09F3" w:rsidRPr="007761E6">
        <w:t xml:space="preserve"> </w:t>
      </w:r>
      <w:r w:rsidR="00603AFF" w:rsidRPr="007761E6">
        <w:rPr>
          <w:b/>
        </w:rPr>
        <w:t>China</w:t>
      </w:r>
      <w:r w:rsidR="00603AFF" w:rsidRPr="007761E6">
        <w:t xml:space="preserve"> (up </w:t>
      </w:r>
      <w:r w:rsidR="0031398E" w:rsidRPr="007761E6">
        <w:t>3</w:t>
      </w:r>
      <w:r w:rsidR="00603AFF" w:rsidRPr="007761E6">
        <w:t>5%)</w:t>
      </w:r>
      <w:r w:rsidR="0031398E" w:rsidRPr="007761E6">
        <w:t xml:space="preserve"> and</w:t>
      </w:r>
      <w:r w:rsidR="008A09F3" w:rsidRPr="007761E6">
        <w:t xml:space="preserve"> </w:t>
      </w:r>
      <w:r w:rsidR="008A09F3" w:rsidRPr="007761E6">
        <w:rPr>
          <w:b/>
        </w:rPr>
        <w:t>Mexico</w:t>
      </w:r>
      <w:r w:rsidR="00603AFF" w:rsidRPr="007761E6">
        <w:t xml:space="preserve"> (</w:t>
      </w:r>
      <w:r w:rsidRPr="007761E6">
        <w:t>u</w:t>
      </w:r>
      <w:r w:rsidR="00603AFF" w:rsidRPr="007761E6">
        <w:t xml:space="preserve">p </w:t>
      </w:r>
      <w:r w:rsidR="0031398E" w:rsidRPr="007761E6">
        <w:t>38</w:t>
      </w:r>
      <w:r w:rsidR="00603AFF" w:rsidRPr="007761E6">
        <w:t>%)</w:t>
      </w:r>
      <w:r w:rsidR="0031398E" w:rsidRPr="007761E6">
        <w:t xml:space="preserve">. </w:t>
      </w:r>
    </w:p>
    <w:p w14:paraId="2F97984D" w14:textId="4D767E4C" w:rsidR="001E6F3B" w:rsidRPr="007761E6" w:rsidRDefault="0094275A" w:rsidP="00CE0AF3">
      <w:pPr>
        <w:pStyle w:val="ListParagraph"/>
        <w:numPr>
          <w:ilvl w:val="0"/>
          <w:numId w:val="7"/>
        </w:numPr>
        <w:spacing w:before="120" w:after="0" w:line="271" w:lineRule="auto"/>
        <w:ind w:left="360" w:right="18"/>
      </w:pPr>
      <w:r w:rsidRPr="007761E6">
        <w:rPr>
          <w:b/>
        </w:rPr>
        <w:t>V</w:t>
      </w:r>
      <w:r w:rsidR="00594587" w:rsidRPr="007761E6">
        <w:rPr>
          <w:b/>
        </w:rPr>
        <w:t xml:space="preserve">ehicles </w:t>
      </w:r>
      <w:r w:rsidR="0045745E" w:rsidRPr="007761E6">
        <w:t xml:space="preserve">gained traction </w:t>
      </w:r>
      <w:r w:rsidR="001E6F3B" w:rsidRPr="007761E6">
        <w:t xml:space="preserve">from </w:t>
      </w:r>
      <w:r w:rsidR="001E6F3B" w:rsidRPr="007761E6">
        <w:rPr>
          <w:b/>
          <w:bCs/>
        </w:rPr>
        <w:t>specialty vehicles</w:t>
      </w:r>
      <w:r w:rsidR="001E6F3B" w:rsidRPr="007761E6">
        <w:t xml:space="preserve"> ($164 million, up 48%</w:t>
      </w:r>
      <w:r w:rsidR="00595776" w:rsidRPr="007761E6">
        <w:t xml:space="preserve">; </w:t>
      </w:r>
      <w:r w:rsidR="007761E6" w:rsidRPr="007761E6">
        <w:t>driven by</w:t>
      </w:r>
      <w:r w:rsidR="00595776" w:rsidRPr="007761E6">
        <w:t xml:space="preserve"> </w:t>
      </w:r>
      <w:r w:rsidR="00595776" w:rsidRPr="007761E6">
        <w:rPr>
          <w:b/>
          <w:bCs/>
        </w:rPr>
        <w:t>Canada, Belgium</w:t>
      </w:r>
      <w:r w:rsidR="001E6F3B" w:rsidRPr="007761E6">
        <w:t xml:space="preserve">) and </w:t>
      </w:r>
      <w:r w:rsidR="001E6F3B" w:rsidRPr="007761E6">
        <w:rPr>
          <w:b/>
          <w:bCs/>
        </w:rPr>
        <w:t xml:space="preserve">passenger vehicles </w:t>
      </w:r>
      <w:r w:rsidR="007761E6" w:rsidRPr="007761E6">
        <w:rPr>
          <w:b/>
          <w:bCs/>
        </w:rPr>
        <w:t>(including ATVs, snowmobiles)</w:t>
      </w:r>
      <w:r w:rsidR="001E6F3B" w:rsidRPr="007761E6">
        <w:t xml:space="preserve"> ($332 million, up 12%; largely destined for </w:t>
      </w:r>
      <w:r w:rsidR="001E6F3B" w:rsidRPr="007761E6">
        <w:rPr>
          <w:b/>
          <w:bCs/>
        </w:rPr>
        <w:t>Canada</w:t>
      </w:r>
      <w:r w:rsidR="001E6F3B" w:rsidRPr="007761E6">
        <w:t>).</w:t>
      </w:r>
    </w:p>
    <w:p w14:paraId="7A324B63" w14:textId="032CB2CE" w:rsidR="000D50BF" w:rsidRDefault="00C72BBA" w:rsidP="00D060D7">
      <w:pPr>
        <w:pStyle w:val="Heading4"/>
        <w:spacing w:before="120"/>
        <w:rPr>
          <w:color w:val="auto"/>
        </w:rPr>
      </w:pPr>
      <w:r w:rsidRPr="007761E6">
        <w:rPr>
          <w:color w:val="auto"/>
        </w:rPr>
        <w:t>Figure 4</w:t>
      </w:r>
      <w:r w:rsidR="00542EF2" w:rsidRPr="007761E6">
        <w:rPr>
          <w:color w:val="auto"/>
        </w:rPr>
        <w:t>. Exports for</w:t>
      </w:r>
      <w:r w:rsidR="007F1C4A" w:rsidRPr="007761E6">
        <w:rPr>
          <w:color w:val="auto"/>
        </w:rPr>
        <w:t xml:space="preserve"> Minnesota’s Top 10 Products</w:t>
      </w:r>
      <w:r w:rsidR="001130EE">
        <w:rPr>
          <w:color w:val="auto"/>
        </w:rPr>
        <w:t xml:space="preserve"> in</w:t>
      </w:r>
      <w:r w:rsidR="007F1C4A" w:rsidRPr="007761E6">
        <w:rPr>
          <w:color w:val="auto"/>
        </w:rPr>
        <w:t xml:space="preserve"> </w:t>
      </w:r>
      <w:r w:rsidR="002E7C23" w:rsidRPr="007761E6">
        <w:rPr>
          <w:color w:val="auto"/>
        </w:rPr>
        <w:t>2021</w:t>
      </w:r>
      <w:r w:rsidR="001130EE">
        <w:rPr>
          <w:color w:val="auto"/>
        </w:rPr>
        <w:t>, With Trends Since 2020 and 2019</w:t>
      </w:r>
    </w:p>
    <w:p w14:paraId="27BF3A8C" w14:textId="5486BDE9" w:rsidR="00D060D7" w:rsidRPr="00D060D7" w:rsidRDefault="00CB1FB4" w:rsidP="00CB1FB4">
      <w:pPr>
        <w:spacing w:after="0"/>
      </w:pPr>
      <w:r>
        <w:rPr>
          <w:noProof/>
        </w:rPr>
        <w:drawing>
          <wp:inline distT="0" distB="0" distL="0" distR="0" wp14:anchorId="7F04AFF8" wp14:editId="37017FDD">
            <wp:extent cx="6267450" cy="2105025"/>
            <wp:effectExtent l="0" t="0" r="0" b="9525"/>
            <wp:docPr id="14" name="Picture 14" descr="Product Exports (billions) Percent Change 2020-2021 Percent Change 2019-2021&#10;Total  $23.5  17% 6%&#10;Machinery  $4.2  35% 21%&#10;Optic, Medical  $3.7  -5% -19%&#10;Electrical Equipment  $3.1  32% 8%&#10;Mineral Fuels, Oils  $1.8  70% 468%&#10;Plastics  $1.2  -10% -16%&#10;Vehicles  $1.2  6% -11%&#10;Food By-Products  $0.7  29% 10%&#10;Meat  $0.5  13% 50%&#10;Ores, Slag, Ash  $0.5  2% -15%&#10;Aircraft, Spacecraft  $0.5  27% -3%&#10;Other  $6.1  16% 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Product Exports (billions) Percent Change 2020-2021 Percent Change 2019-2021&#10;Total  $23.5  17% 6%&#10;Machinery  $4.2  35% 21%&#10;Optic, Medical  $3.7  -5% -19%&#10;Electrical Equipment  $3.1  32% 8%&#10;Mineral Fuels, Oils  $1.8  70% 468%&#10;Plastics  $1.2  -10% -16%&#10;Vehicles  $1.2  6% -11%&#10;Food By-Products  $0.7  29% 10%&#10;Meat  $0.5  13% 50%&#10;Ores, Slag, Ash  $0.5  2% -15%&#10;Aircraft, Spacecraft  $0.5  27% -3%&#10;Other  $6.1  16% 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7900" cy="2105176"/>
                    </a:xfrm>
                    <a:prstGeom prst="rect">
                      <a:avLst/>
                    </a:prstGeom>
                    <a:noFill/>
                    <a:ln>
                      <a:noFill/>
                    </a:ln>
                  </pic:spPr>
                </pic:pic>
              </a:graphicData>
            </a:graphic>
          </wp:inline>
        </w:drawing>
      </w:r>
    </w:p>
    <w:tbl>
      <w:tblPr>
        <w:tblpPr w:leftFromText="180" w:rightFromText="180" w:vertAnchor="page" w:horzAnchor="margin" w:tblpY="13246"/>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FBB"/>
        <w:tblLook w:val="04A0" w:firstRow="1" w:lastRow="0" w:firstColumn="1" w:lastColumn="0" w:noHBand="0" w:noVBand="1"/>
        <w:tblCaption w:val="Additional information"/>
        <w:tblDescription w:val="Minnesota Export Statistics is the most current resource available for tracking the state’s trends of exports of goods and is prepared for the Minnesota Trade Office (MTO) by the Department of Employment and Economic Development’s (DEED) Economic Analysis Unit (by Thu-Mai Ho-Kim).  The quarterly and annual statistics reports primarily cover export data based on the Harmonized Tariff System (Schedule B), collected by the U.S. Department of Commerce (USDOC) and distributed by IHS Markit. Reports are available on DEED’s website at “Export and Trade Statistics” (http://mn.gov/deed/data/export-stats/).  Additional Notes: The U.S. Department of Agriculture (USDA) publishes alternate annual agricultural export estimates based on different methodology. USDA estimated that Minnesota exported $6.9 billion in agricultural and related food products in 2017, ranking fifth highest among all states. Data on services exports are limited. The Coalition of Services Industries, a national industry group, estimated Minnesota services exports at $11 billion in 2017. DEED estimated Minnesota’s services exports at $14 billion for 2019, based on pro-rating U.S. services exports data, using the state’s GDP industry shares."/>
      </w:tblPr>
      <w:tblGrid>
        <w:gridCol w:w="10165"/>
      </w:tblGrid>
      <w:tr w:rsidR="007761E6" w:rsidRPr="007761E6" w14:paraId="1612B052" w14:textId="77777777" w:rsidTr="00CC4CE1">
        <w:trPr>
          <w:trHeight w:val="1160"/>
        </w:trPr>
        <w:tc>
          <w:tcPr>
            <w:tcW w:w="10165" w:type="dxa"/>
            <w:shd w:val="clear" w:color="auto" w:fill="DAEFBB"/>
          </w:tcPr>
          <w:p w14:paraId="165355E3" w14:textId="6D8CAD4A" w:rsidR="008C3F62" w:rsidRPr="001130EE" w:rsidRDefault="008C3F62" w:rsidP="00AC639C">
            <w:pPr>
              <w:spacing w:after="0"/>
              <w:rPr>
                <w:rFonts w:cstheme="minorHAnsi"/>
                <w:sz w:val="15"/>
                <w:szCs w:val="15"/>
              </w:rPr>
            </w:pPr>
            <w:r w:rsidRPr="001130EE">
              <w:rPr>
                <w:rStyle w:val="Emphasis"/>
                <w:rFonts w:cstheme="minorHAnsi"/>
                <w:sz w:val="15"/>
                <w:szCs w:val="15"/>
              </w:rPr>
              <w:t xml:space="preserve">Minnesota Export Statistics </w:t>
            </w:r>
            <w:r w:rsidRPr="001130EE">
              <w:rPr>
                <w:rFonts w:cstheme="minorHAnsi"/>
                <w:sz w:val="15"/>
                <w:szCs w:val="15"/>
              </w:rPr>
              <w:t>is the most current resource available for tracking the state’s trends of exports of goods and is prepared for the Minnesota Trade Office (MTO) by the Department of Employment and Economic Development’s (DEED) Economic Analysis Unit (by Thu-Mai Ho-Kim).  The quarterly and annual statistics reports primarily cover export data based on the Harmonized Tariff System (Schedule B)</w:t>
            </w:r>
            <w:r w:rsidR="00F96126" w:rsidRPr="001130EE">
              <w:rPr>
                <w:rFonts w:cstheme="minorHAnsi"/>
                <w:sz w:val="15"/>
                <w:szCs w:val="15"/>
              </w:rPr>
              <w:t xml:space="preserve">, accessed from </w:t>
            </w:r>
            <w:proofErr w:type="spellStart"/>
            <w:r w:rsidR="00F96126" w:rsidRPr="001130EE">
              <w:rPr>
                <w:rFonts w:cstheme="minorHAnsi"/>
                <w:sz w:val="15"/>
                <w:szCs w:val="15"/>
              </w:rPr>
              <w:t>WISERTrade</w:t>
            </w:r>
            <w:proofErr w:type="spellEnd"/>
            <w:r w:rsidR="00F96126" w:rsidRPr="001130EE">
              <w:rPr>
                <w:rFonts w:cstheme="minorHAnsi"/>
                <w:sz w:val="15"/>
                <w:szCs w:val="15"/>
              </w:rPr>
              <w:t>: State HS Database, where data are from the U.S. Census Bureau, Foreign Trade Division.</w:t>
            </w:r>
            <w:r w:rsidRPr="001130EE">
              <w:rPr>
                <w:rFonts w:cstheme="minorHAnsi"/>
                <w:sz w:val="15"/>
                <w:szCs w:val="15"/>
              </w:rPr>
              <w:t xml:space="preserve"> Reports are available on DEED’s website at “Export and Trade Statistics” (</w:t>
            </w:r>
            <w:hyperlink r:id="rId18" w:history="1">
              <w:r w:rsidRPr="001130EE">
                <w:rPr>
                  <w:rStyle w:val="Hyperlink"/>
                  <w:rFonts w:cstheme="minorHAnsi"/>
                  <w:color w:val="auto"/>
                  <w:sz w:val="15"/>
                  <w:szCs w:val="15"/>
                </w:rPr>
                <w:t>http://mn.gov/deed/data/export-stats/</w:t>
              </w:r>
            </w:hyperlink>
            <w:r w:rsidRPr="001130EE">
              <w:rPr>
                <w:rFonts w:cstheme="minorHAnsi"/>
                <w:sz w:val="15"/>
                <w:szCs w:val="15"/>
              </w:rPr>
              <w:t>).  Additional Notes: The U.S. Department of Agriculture (USDA) publishes alternate annual agricultural export estimates based on different methodology. USDA estimated that Minnesota exported $</w:t>
            </w:r>
            <w:r w:rsidR="00905BBE" w:rsidRPr="001130EE">
              <w:rPr>
                <w:rFonts w:cstheme="minorHAnsi"/>
                <w:sz w:val="15"/>
                <w:szCs w:val="15"/>
              </w:rPr>
              <w:t>7.2</w:t>
            </w:r>
            <w:r w:rsidRPr="001130EE">
              <w:rPr>
                <w:rFonts w:cstheme="minorHAnsi"/>
                <w:sz w:val="15"/>
                <w:szCs w:val="15"/>
              </w:rPr>
              <w:t xml:space="preserve"> billion in agricultural and related food products in </w:t>
            </w:r>
            <w:r w:rsidR="002E7C23" w:rsidRPr="001130EE">
              <w:rPr>
                <w:rFonts w:cstheme="minorHAnsi"/>
                <w:sz w:val="15"/>
                <w:szCs w:val="15"/>
              </w:rPr>
              <w:t>2020</w:t>
            </w:r>
            <w:r w:rsidRPr="001130EE">
              <w:rPr>
                <w:rFonts w:cstheme="minorHAnsi"/>
                <w:sz w:val="15"/>
                <w:szCs w:val="15"/>
              </w:rPr>
              <w:t xml:space="preserve">, ranking fourth highest among states. Data on services exports are limited. </w:t>
            </w:r>
            <w:r w:rsidR="00F96126" w:rsidRPr="001130EE">
              <w:rPr>
                <w:rFonts w:cstheme="minorHAnsi"/>
                <w:sz w:val="15"/>
                <w:szCs w:val="15"/>
              </w:rPr>
              <w:t xml:space="preserve">DEED </w:t>
            </w:r>
            <w:r w:rsidRPr="001130EE">
              <w:rPr>
                <w:rFonts w:cstheme="minorHAnsi"/>
                <w:sz w:val="15"/>
                <w:szCs w:val="15"/>
              </w:rPr>
              <w:t>estimated Minnesota’s services exports at $</w:t>
            </w:r>
            <w:r w:rsidR="00B753FC" w:rsidRPr="001130EE">
              <w:rPr>
                <w:rFonts w:cstheme="minorHAnsi"/>
                <w:sz w:val="15"/>
                <w:szCs w:val="15"/>
              </w:rPr>
              <w:t>12</w:t>
            </w:r>
            <w:r w:rsidRPr="001130EE">
              <w:rPr>
                <w:rFonts w:cstheme="minorHAnsi"/>
                <w:sz w:val="15"/>
                <w:szCs w:val="15"/>
              </w:rPr>
              <w:t xml:space="preserve"> billion for </w:t>
            </w:r>
            <w:r w:rsidR="002E7C23" w:rsidRPr="001130EE">
              <w:rPr>
                <w:rFonts w:cstheme="minorHAnsi"/>
                <w:sz w:val="15"/>
                <w:szCs w:val="15"/>
              </w:rPr>
              <w:t>202</w:t>
            </w:r>
            <w:r w:rsidR="00B753FC" w:rsidRPr="001130EE">
              <w:rPr>
                <w:rFonts w:cstheme="minorHAnsi"/>
                <w:sz w:val="15"/>
                <w:szCs w:val="15"/>
              </w:rPr>
              <w:t>0</w:t>
            </w:r>
            <w:r w:rsidRPr="001130EE">
              <w:rPr>
                <w:rFonts w:cstheme="minorHAnsi"/>
                <w:sz w:val="15"/>
                <w:szCs w:val="15"/>
              </w:rPr>
              <w:t>, based on pro-rating U.S. services exports data, using the state’s GDP industry shares</w:t>
            </w:r>
            <w:r w:rsidR="00905BBE" w:rsidRPr="001130EE">
              <w:rPr>
                <w:rFonts w:cstheme="minorHAnsi"/>
                <w:sz w:val="15"/>
                <w:szCs w:val="15"/>
              </w:rPr>
              <w:t>.</w:t>
            </w:r>
          </w:p>
        </w:tc>
      </w:tr>
    </w:tbl>
    <w:p w14:paraId="7BAB43E7" w14:textId="3E2F36BE" w:rsidR="00961E58" w:rsidRPr="007761E6" w:rsidRDefault="00961E58" w:rsidP="00961E58">
      <w:pPr>
        <w:spacing w:after="0"/>
        <w:rPr>
          <w:rFonts w:cstheme="minorHAnsi"/>
          <w:i/>
          <w:iCs/>
          <w:sz w:val="18"/>
          <w:szCs w:val="18"/>
        </w:rPr>
      </w:pPr>
      <w:r w:rsidRPr="007761E6">
        <w:rPr>
          <w:rFonts w:cstheme="minorHAnsi"/>
          <w:i/>
          <w:iCs/>
          <w:sz w:val="18"/>
          <w:szCs w:val="18"/>
        </w:rPr>
        <w:t xml:space="preserve">Note: </w:t>
      </w:r>
      <w:r w:rsidR="00D060D7">
        <w:rPr>
          <w:rFonts w:cstheme="minorHAnsi"/>
          <w:i/>
          <w:iCs/>
          <w:sz w:val="18"/>
          <w:szCs w:val="18"/>
        </w:rPr>
        <w:t>Positive change</w:t>
      </w:r>
      <w:r w:rsidRPr="007761E6">
        <w:rPr>
          <w:rFonts w:cstheme="minorHAnsi"/>
          <w:i/>
          <w:iCs/>
          <w:sz w:val="18"/>
          <w:szCs w:val="18"/>
        </w:rPr>
        <w:t xml:space="preserve"> rate of </w:t>
      </w:r>
      <w:r w:rsidR="00D060D7">
        <w:rPr>
          <w:rFonts w:cstheme="minorHAnsi"/>
          <w:i/>
          <w:iCs/>
          <w:sz w:val="18"/>
          <w:szCs w:val="18"/>
        </w:rPr>
        <w:t xml:space="preserve">468% for </w:t>
      </w:r>
      <w:r w:rsidRPr="007761E6">
        <w:rPr>
          <w:rFonts w:cstheme="minorHAnsi"/>
          <w:i/>
          <w:iCs/>
          <w:sz w:val="18"/>
          <w:szCs w:val="18"/>
        </w:rPr>
        <w:t>Mineral Fuel, Oil between 2019 and 2021 was omitted to minimize chart distortion.</w:t>
      </w:r>
    </w:p>
    <w:p w14:paraId="42CF7DFC" w14:textId="77777777" w:rsidR="007F1C4A" w:rsidRPr="007761E6" w:rsidRDefault="007F1C4A" w:rsidP="00D42DF4">
      <w:pPr>
        <w:spacing w:after="240"/>
        <w:rPr>
          <w:rFonts w:eastAsia="Times New Roman" w:cs="Times New Roman"/>
          <w:snapToGrid w:val="0"/>
          <w:w w:val="0"/>
          <w:sz w:val="0"/>
          <w:szCs w:val="0"/>
          <w:u w:color="000000"/>
          <w:bdr w:val="none" w:sz="0" w:space="0" w:color="000000"/>
          <w:shd w:val="clear" w:color="000000" w:fill="000000"/>
          <w:lang w:eastAsia="x-none" w:bidi="x-none"/>
        </w:rPr>
      </w:pPr>
    </w:p>
    <w:sectPr w:rsidR="007F1C4A" w:rsidRPr="007761E6" w:rsidSect="004B3151">
      <w:footerReference w:type="default" r:id="rId19"/>
      <w:footnotePr>
        <w:numRestart w:val="eachSect"/>
      </w:footnotePr>
      <w:endnotePr>
        <w:numFmt w:val="decimal"/>
      </w:endnotePr>
      <w:type w:val="continuous"/>
      <w:pgSz w:w="12240" w:h="15840" w:code="1"/>
      <w:pgMar w:top="720" w:right="1152" w:bottom="720" w:left="1152"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8534" w14:textId="77777777" w:rsidR="00C37101" w:rsidRDefault="00C37101">
      <w:r>
        <w:separator/>
      </w:r>
    </w:p>
  </w:endnote>
  <w:endnote w:type="continuationSeparator" w:id="0">
    <w:p w14:paraId="0440B7E4" w14:textId="77777777" w:rsidR="00C37101" w:rsidRDefault="00C3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EC55" w14:textId="77777777" w:rsidR="00CC1B7D" w:rsidRDefault="00CC1B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D5374B" w14:textId="77777777" w:rsidR="00CC1B7D" w:rsidRDefault="00CC1B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0F35D" w14:textId="77777777" w:rsidR="00A14E15" w:rsidRPr="00A14E15" w:rsidRDefault="00A14E15" w:rsidP="00A14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F5DE" w14:textId="77777777" w:rsidR="003329A5" w:rsidRPr="00A14E15" w:rsidRDefault="003329A5" w:rsidP="00A14E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835635"/>
      <w:docPartObj>
        <w:docPartGallery w:val="Page Numbers (Bottom of Page)"/>
        <w:docPartUnique/>
      </w:docPartObj>
    </w:sdtPr>
    <w:sdtEndPr>
      <w:rPr>
        <w:noProof/>
      </w:rPr>
    </w:sdtEndPr>
    <w:sdtContent>
      <w:p w14:paraId="69CAE3AE" w14:textId="77777777" w:rsidR="00EF688D" w:rsidRDefault="00EF688D">
        <w:pPr>
          <w:pStyle w:val="Footer"/>
          <w:jc w:val="right"/>
        </w:pPr>
        <w:r>
          <w:fldChar w:fldCharType="begin"/>
        </w:r>
        <w:r>
          <w:instrText xml:space="preserve"> PAGE   \* MERGEFORMAT </w:instrText>
        </w:r>
        <w:r>
          <w:fldChar w:fldCharType="separate"/>
        </w:r>
        <w:r w:rsidR="00275CD0">
          <w:rPr>
            <w:noProof/>
          </w:rPr>
          <w:t>3</w:t>
        </w:r>
        <w:r>
          <w:rPr>
            <w:noProof/>
          </w:rPr>
          <w:fldChar w:fldCharType="end"/>
        </w:r>
      </w:p>
    </w:sdtContent>
  </w:sdt>
  <w:p w14:paraId="278D84B8" w14:textId="77777777" w:rsidR="00C72BBA" w:rsidRPr="00A14E15" w:rsidRDefault="00C72BBA" w:rsidP="00A14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CE0B" w14:textId="77777777" w:rsidR="00C37101" w:rsidRDefault="00C37101">
      <w:r>
        <w:separator/>
      </w:r>
    </w:p>
  </w:footnote>
  <w:footnote w:type="continuationSeparator" w:id="0">
    <w:p w14:paraId="032A4E22" w14:textId="77777777" w:rsidR="00C37101" w:rsidRDefault="00C3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E364" w14:textId="77777777" w:rsidR="00CC1B7D" w:rsidRDefault="00CC1B7D" w:rsidP="00E014F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1361D9" w14:textId="77777777" w:rsidR="00CC1B7D" w:rsidRDefault="00CC1B7D" w:rsidP="00E014F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9482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AD003E"/>
    <w:multiLevelType w:val="hybridMultilevel"/>
    <w:tmpl w:val="EFA8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D06D6"/>
    <w:multiLevelType w:val="hybridMultilevel"/>
    <w:tmpl w:val="D708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D7251"/>
    <w:multiLevelType w:val="hybridMultilevel"/>
    <w:tmpl w:val="A20C3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8A56C3"/>
    <w:multiLevelType w:val="hybridMultilevel"/>
    <w:tmpl w:val="9BE2D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055FB0"/>
    <w:multiLevelType w:val="hybridMultilevel"/>
    <w:tmpl w:val="39F019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9B22E7"/>
    <w:multiLevelType w:val="hybridMultilevel"/>
    <w:tmpl w:val="15026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9E1423"/>
    <w:multiLevelType w:val="hybridMultilevel"/>
    <w:tmpl w:val="47CE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21A5E"/>
    <w:multiLevelType w:val="hybridMultilevel"/>
    <w:tmpl w:val="787C9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7B210F"/>
    <w:multiLevelType w:val="hybridMultilevel"/>
    <w:tmpl w:val="EF88C5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61121C"/>
    <w:multiLevelType w:val="hybridMultilevel"/>
    <w:tmpl w:val="CFAA2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9A22BE2"/>
    <w:multiLevelType w:val="hybridMultilevel"/>
    <w:tmpl w:val="52E8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7674F"/>
    <w:multiLevelType w:val="hybridMultilevel"/>
    <w:tmpl w:val="28C6AC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D731D63"/>
    <w:multiLevelType w:val="hybridMultilevel"/>
    <w:tmpl w:val="0FB4B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81A19"/>
    <w:multiLevelType w:val="hybridMultilevel"/>
    <w:tmpl w:val="B832DA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373CB2"/>
    <w:multiLevelType w:val="hybridMultilevel"/>
    <w:tmpl w:val="B27CDF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1704E9"/>
    <w:multiLevelType w:val="hybridMultilevel"/>
    <w:tmpl w:val="187CA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6C2E21"/>
    <w:multiLevelType w:val="hybridMultilevel"/>
    <w:tmpl w:val="BB483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38056F"/>
    <w:multiLevelType w:val="hybridMultilevel"/>
    <w:tmpl w:val="88CEE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2DA42E3"/>
    <w:multiLevelType w:val="hybridMultilevel"/>
    <w:tmpl w:val="8A0ED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554E84"/>
    <w:multiLevelType w:val="hybridMultilevel"/>
    <w:tmpl w:val="0A9C833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5802F2B"/>
    <w:multiLevelType w:val="hybridMultilevel"/>
    <w:tmpl w:val="92C4D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975A35"/>
    <w:multiLevelType w:val="hybridMultilevel"/>
    <w:tmpl w:val="E5021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9F11FFB"/>
    <w:multiLevelType w:val="hybridMultilevel"/>
    <w:tmpl w:val="4CDAD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E717D2"/>
    <w:multiLevelType w:val="hybridMultilevel"/>
    <w:tmpl w:val="8FA4E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8"/>
  </w:num>
  <w:num w:numId="5">
    <w:abstractNumId w:val="3"/>
  </w:num>
  <w:num w:numId="6">
    <w:abstractNumId w:val="13"/>
  </w:num>
  <w:num w:numId="7">
    <w:abstractNumId w:val="24"/>
  </w:num>
  <w:num w:numId="8">
    <w:abstractNumId w:val="22"/>
  </w:num>
  <w:num w:numId="9">
    <w:abstractNumId w:val="15"/>
  </w:num>
  <w:num w:numId="10">
    <w:abstractNumId w:val="14"/>
  </w:num>
  <w:num w:numId="11">
    <w:abstractNumId w:val="10"/>
  </w:num>
  <w:num w:numId="12">
    <w:abstractNumId w:val="5"/>
  </w:num>
  <w:num w:numId="13">
    <w:abstractNumId w:val="23"/>
  </w:num>
  <w:num w:numId="14">
    <w:abstractNumId w:val="17"/>
  </w:num>
  <w:num w:numId="15">
    <w:abstractNumId w:val="12"/>
  </w:num>
  <w:num w:numId="16">
    <w:abstractNumId w:val="16"/>
  </w:num>
  <w:num w:numId="17">
    <w:abstractNumId w:val="7"/>
  </w:num>
  <w:num w:numId="18">
    <w:abstractNumId w:val="1"/>
  </w:num>
  <w:num w:numId="19">
    <w:abstractNumId w:val="6"/>
  </w:num>
  <w:num w:numId="20">
    <w:abstractNumId w:val="6"/>
  </w:num>
  <w:num w:numId="21">
    <w:abstractNumId w:val="21"/>
  </w:num>
  <w:num w:numId="22">
    <w:abstractNumId w:val="9"/>
  </w:num>
  <w:num w:numId="23">
    <w:abstractNumId w:val="11"/>
  </w:num>
  <w:num w:numId="24">
    <w:abstractNumId w:val="20"/>
  </w:num>
  <w:num w:numId="25">
    <w:abstractNumId w:val="2"/>
  </w:num>
  <w:num w:numId="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EAB"/>
    <w:rsid w:val="00002128"/>
    <w:rsid w:val="000041CC"/>
    <w:rsid w:val="00007266"/>
    <w:rsid w:val="000115BA"/>
    <w:rsid w:val="0001235B"/>
    <w:rsid w:val="00013717"/>
    <w:rsid w:val="000146CA"/>
    <w:rsid w:val="00017FE0"/>
    <w:rsid w:val="000215A5"/>
    <w:rsid w:val="000218A0"/>
    <w:rsid w:val="00024BB5"/>
    <w:rsid w:val="00034FBE"/>
    <w:rsid w:val="00035328"/>
    <w:rsid w:val="00036238"/>
    <w:rsid w:val="00041E17"/>
    <w:rsid w:val="00045958"/>
    <w:rsid w:val="00046117"/>
    <w:rsid w:val="00051FE0"/>
    <w:rsid w:val="00051FF7"/>
    <w:rsid w:val="00055A2D"/>
    <w:rsid w:val="00055A45"/>
    <w:rsid w:val="0005790D"/>
    <w:rsid w:val="0006144E"/>
    <w:rsid w:val="00070016"/>
    <w:rsid w:val="000716AC"/>
    <w:rsid w:val="0007242D"/>
    <w:rsid w:val="000731F2"/>
    <w:rsid w:val="00073511"/>
    <w:rsid w:val="00073987"/>
    <w:rsid w:val="00073E4C"/>
    <w:rsid w:val="000750C3"/>
    <w:rsid w:val="00076DF3"/>
    <w:rsid w:val="00077712"/>
    <w:rsid w:val="00077989"/>
    <w:rsid w:val="00077EF4"/>
    <w:rsid w:val="0008038B"/>
    <w:rsid w:val="00084F9F"/>
    <w:rsid w:val="000859F2"/>
    <w:rsid w:val="00085EED"/>
    <w:rsid w:val="000903C9"/>
    <w:rsid w:val="00090B7B"/>
    <w:rsid w:val="0009219A"/>
    <w:rsid w:val="00092621"/>
    <w:rsid w:val="0009348A"/>
    <w:rsid w:val="00096FFD"/>
    <w:rsid w:val="000A409A"/>
    <w:rsid w:val="000A491B"/>
    <w:rsid w:val="000A4AB3"/>
    <w:rsid w:val="000A5664"/>
    <w:rsid w:val="000A7EF0"/>
    <w:rsid w:val="000B2A85"/>
    <w:rsid w:val="000B2D86"/>
    <w:rsid w:val="000B38B1"/>
    <w:rsid w:val="000B445D"/>
    <w:rsid w:val="000B518F"/>
    <w:rsid w:val="000C1CB0"/>
    <w:rsid w:val="000C2181"/>
    <w:rsid w:val="000C3AE5"/>
    <w:rsid w:val="000C7D1B"/>
    <w:rsid w:val="000D18A9"/>
    <w:rsid w:val="000D50BF"/>
    <w:rsid w:val="000D5400"/>
    <w:rsid w:val="000D5C2B"/>
    <w:rsid w:val="000D5D94"/>
    <w:rsid w:val="000D6FAF"/>
    <w:rsid w:val="000E0786"/>
    <w:rsid w:val="000E3376"/>
    <w:rsid w:val="000E5242"/>
    <w:rsid w:val="000E6BD9"/>
    <w:rsid w:val="000E7ED0"/>
    <w:rsid w:val="000F0519"/>
    <w:rsid w:val="000F1844"/>
    <w:rsid w:val="000F1B22"/>
    <w:rsid w:val="000F3E1F"/>
    <w:rsid w:val="000F4677"/>
    <w:rsid w:val="000F54F2"/>
    <w:rsid w:val="000F6660"/>
    <w:rsid w:val="000F6CDA"/>
    <w:rsid w:val="00100204"/>
    <w:rsid w:val="00104038"/>
    <w:rsid w:val="00107686"/>
    <w:rsid w:val="001104C3"/>
    <w:rsid w:val="001127F8"/>
    <w:rsid w:val="00112A1D"/>
    <w:rsid w:val="00112A91"/>
    <w:rsid w:val="001130EE"/>
    <w:rsid w:val="00114D4B"/>
    <w:rsid w:val="00116C04"/>
    <w:rsid w:val="00117F52"/>
    <w:rsid w:val="001214D7"/>
    <w:rsid w:val="00121B5D"/>
    <w:rsid w:val="0012471B"/>
    <w:rsid w:val="001250AB"/>
    <w:rsid w:val="001263E2"/>
    <w:rsid w:val="00130080"/>
    <w:rsid w:val="00131B23"/>
    <w:rsid w:val="00131EDB"/>
    <w:rsid w:val="00132A66"/>
    <w:rsid w:val="00133985"/>
    <w:rsid w:val="00134ECC"/>
    <w:rsid w:val="00134F20"/>
    <w:rsid w:val="001360E3"/>
    <w:rsid w:val="001403DF"/>
    <w:rsid w:val="001406DC"/>
    <w:rsid w:val="00142003"/>
    <w:rsid w:val="0014228E"/>
    <w:rsid w:val="00147356"/>
    <w:rsid w:val="00155169"/>
    <w:rsid w:val="00155C52"/>
    <w:rsid w:val="00160C41"/>
    <w:rsid w:val="00162EF3"/>
    <w:rsid w:val="0016340E"/>
    <w:rsid w:val="00170A9E"/>
    <w:rsid w:val="00171E5B"/>
    <w:rsid w:val="00173478"/>
    <w:rsid w:val="00173D78"/>
    <w:rsid w:val="00176E55"/>
    <w:rsid w:val="00177D5B"/>
    <w:rsid w:val="0018019E"/>
    <w:rsid w:val="0018375B"/>
    <w:rsid w:val="0018461A"/>
    <w:rsid w:val="001866EF"/>
    <w:rsid w:val="00191624"/>
    <w:rsid w:val="00192539"/>
    <w:rsid w:val="00192CA0"/>
    <w:rsid w:val="001942D2"/>
    <w:rsid w:val="001968E6"/>
    <w:rsid w:val="001978D1"/>
    <w:rsid w:val="001979B1"/>
    <w:rsid w:val="001A08C3"/>
    <w:rsid w:val="001B0716"/>
    <w:rsid w:val="001B0D71"/>
    <w:rsid w:val="001B1416"/>
    <w:rsid w:val="001B344A"/>
    <w:rsid w:val="001B3687"/>
    <w:rsid w:val="001B3ED7"/>
    <w:rsid w:val="001B6B06"/>
    <w:rsid w:val="001C28D2"/>
    <w:rsid w:val="001C3A93"/>
    <w:rsid w:val="001C6967"/>
    <w:rsid w:val="001C6C05"/>
    <w:rsid w:val="001D0609"/>
    <w:rsid w:val="001D101E"/>
    <w:rsid w:val="001D704D"/>
    <w:rsid w:val="001E3D72"/>
    <w:rsid w:val="001E4570"/>
    <w:rsid w:val="001E4F28"/>
    <w:rsid w:val="001E53CF"/>
    <w:rsid w:val="001E6B49"/>
    <w:rsid w:val="001E6F3B"/>
    <w:rsid w:val="001E79C1"/>
    <w:rsid w:val="001F3A7C"/>
    <w:rsid w:val="001F56E0"/>
    <w:rsid w:val="001F5C09"/>
    <w:rsid w:val="001F62FF"/>
    <w:rsid w:val="002003FA"/>
    <w:rsid w:val="0020291D"/>
    <w:rsid w:val="00202963"/>
    <w:rsid w:val="00203298"/>
    <w:rsid w:val="002040F2"/>
    <w:rsid w:val="00204236"/>
    <w:rsid w:val="0020462B"/>
    <w:rsid w:val="00205084"/>
    <w:rsid w:val="0021036F"/>
    <w:rsid w:val="00211025"/>
    <w:rsid w:val="0021231E"/>
    <w:rsid w:val="00214302"/>
    <w:rsid w:val="0021557D"/>
    <w:rsid w:val="002158EE"/>
    <w:rsid w:val="00215DA6"/>
    <w:rsid w:val="00217960"/>
    <w:rsid w:val="002224AE"/>
    <w:rsid w:val="00222FBC"/>
    <w:rsid w:val="0022389E"/>
    <w:rsid w:val="00225F0B"/>
    <w:rsid w:val="00226A71"/>
    <w:rsid w:val="002303BC"/>
    <w:rsid w:val="0023239F"/>
    <w:rsid w:val="00235FD0"/>
    <w:rsid w:val="002408B6"/>
    <w:rsid w:val="00245025"/>
    <w:rsid w:val="0024609E"/>
    <w:rsid w:val="002503A5"/>
    <w:rsid w:val="00250661"/>
    <w:rsid w:val="00253674"/>
    <w:rsid w:val="002538D5"/>
    <w:rsid w:val="00254B81"/>
    <w:rsid w:val="002607E0"/>
    <w:rsid w:val="0026310F"/>
    <w:rsid w:val="00270CC6"/>
    <w:rsid w:val="00271EFA"/>
    <w:rsid w:val="00272910"/>
    <w:rsid w:val="00275CD0"/>
    <w:rsid w:val="00275F40"/>
    <w:rsid w:val="00277973"/>
    <w:rsid w:val="00277C67"/>
    <w:rsid w:val="0028048A"/>
    <w:rsid w:val="00281C4F"/>
    <w:rsid w:val="00282533"/>
    <w:rsid w:val="002831FE"/>
    <w:rsid w:val="00284EDE"/>
    <w:rsid w:val="00287234"/>
    <w:rsid w:val="002907B4"/>
    <w:rsid w:val="00294EDA"/>
    <w:rsid w:val="002969E6"/>
    <w:rsid w:val="00297DBE"/>
    <w:rsid w:val="002A27D6"/>
    <w:rsid w:val="002A2F54"/>
    <w:rsid w:val="002A3F50"/>
    <w:rsid w:val="002A4808"/>
    <w:rsid w:val="002A52FC"/>
    <w:rsid w:val="002B1415"/>
    <w:rsid w:val="002B36A6"/>
    <w:rsid w:val="002B38F3"/>
    <w:rsid w:val="002B6B53"/>
    <w:rsid w:val="002B6EBF"/>
    <w:rsid w:val="002C0C4E"/>
    <w:rsid w:val="002C164C"/>
    <w:rsid w:val="002C52C4"/>
    <w:rsid w:val="002C6521"/>
    <w:rsid w:val="002C724E"/>
    <w:rsid w:val="002C74B4"/>
    <w:rsid w:val="002D12D7"/>
    <w:rsid w:val="002D2A7E"/>
    <w:rsid w:val="002D2EF5"/>
    <w:rsid w:val="002D4A79"/>
    <w:rsid w:val="002D6206"/>
    <w:rsid w:val="002D6A99"/>
    <w:rsid w:val="002D6F33"/>
    <w:rsid w:val="002D73E6"/>
    <w:rsid w:val="002E3F44"/>
    <w:rsid w:val="002E54F1"/>
    <w:rsid w:val="002E71A7"/>
    <w:rsid w:val="002E7C23"/>
    <w:rsid w:val="002F0687"/>
    <w:rsid w:val="002F1C0E"/>
    <w:rsid w:val="002F1FEC"/>
    <w:rsid w:val="002F285F"/>
    <w:rsid w:val="002F5753"/>
    <w:rsid w:val="002F7ABC"/>
    <w:rsid w:val="003047CE"/>
    <w:rsid w:val="00304E7F"/>
    <w:rsid w:val="0031398E"/>
    <w:rsid w:val="003139FE"/>
    <w:rsid w:val="0031458A"/>
    <w:rsid w:val="00314865"/>
    <w:rsid w:val="00314D15"/>
    <w:rsid w:val="00314EBD"/>
    <w:rsid w:val="00320905"/>
    <w:rsid w:val="0032597F"/>
    <w:rsid w:val="00326558"/>
    <w:rsid w:val="00326E34"/>
    <w:rsid w:val="00327817"/>
    <w:rsid w:val="0033034E"/>
    <w:rsid w:val="00330852"/>
    <w:rsid w:val="00332036"/>
    <w:rsid w:val="003329A5"/>
    <w:rsid w:val="00332B6B"/>
    <w:rsid w:val="00337018"/>
    <w:rsid w:val="00337315"/>
    <w:rsid w:val="003413C6"/>
    <w:rsid w:val="003415A0"/>
    <w:rsid w:val="00342DD3"/>
    <w:rsid w:val="00343C68"/>
    <w:rsid w:val="00344A16"/>
    <w:rsid w:val="0034596F"/>
    <w:rsid w:val="00352999"/>
    <w:rsid w:val="00353947"/>
    <w:rsid w:val="0035427F"/>
    <w:rsid w:val="003608E7"/>
    <w:rsid w:val="00361002"/>
    <w:rsid w:val="003610A2"/>
    <w:rsid w:val="00365F97"/>
    <w:rsid w:val="00370F35"/>
    <w:rsid w:val="00371C8B"/>
    <w:rsid w:val="00373CD5"/>
    <w:rsid w:val="00374F2A"/>
    <w:rsid w:val="003754FD"/>
    <w:rsid w:val="00375BF0"/>
    <w:rsid w:val="0037721A"/>
    <w:rsid w:val="003816E0"/>
    <w:rsid w:val="0038303E"/>
    <w:rsid w:val="003833B0"/>
    <w:rsid w:val="00383D01"/>
    <w:rsid w:val="0038665A"/>
    <w:rsid w:val="0039075E"/>
    <w:rsid w:val="00390F3B"/>
    <w:rsid w:val="00391815"/>
    <w:rsid w:val="00391E28"/>
    <w:rsid w:val="00392609"/>
    <w:rsid w:val="00396483"/>
    <w:rsid w:val="003A0A16"/>
    <w:rsid w:val="003A3D11"/>
    <w:rsid w:val="003B0B33"/>
    <w:rsid w:val="003B2771"/>
    <w:rsid w:val="003B3B3A"/>
    <w:rsid w:val="003B4BE4"/>
    <w:rsid w:val="003B4D8B"/>
    <w:rsid w:val="003B62FF"/>
    <w:rsid w:val="003C316B"/>
    <w:rsid w:val="003C3E3E"/>
    <w:rsid w:val="003C57B0"/>
    <w:rsid w:val="003C7165"/>
    <w:rsid w:val="003D03FE"/>
    <w:rsid w:val="003D044E"/>
    <w:rsid w:val="003D23DD"/>
    <w:rsid w:val="003D2B14"/>
    <w:rsid w:val="003D4F5D"/>
    <w:rsid w:val="003D744B"/>
    <w:rsid w:val="003D7C4C"/>
    <w:rsid w:val="003E1B39"/>
    <w:rsid w:val="003E6250"/>
    <w:rsid w:val="003E7EAB"/>
    <w:rsid w:val="003F11AE"/>
    <w:rsid w:val="003F24D7"/>
    <w:rsid w:val="003F27BF"/>
    <w:rsid w:val="003F41C6"/>
    <w:rsid w:val="003F44C1"/>
    <w:rsid w:val="004003DF"/>
    <w:rsid w:val="0040053E"/>
    <w:rsid w:val="0040062C"/>
    <w:rsid w:val="00402A86"/>
    <w:rsid w:val="00405F36"/>
    <w:rsid w:val="004061B1"/>
    <w:rsid w:val="00406C81"/>
    <w:rsid w:val="00406E6D"/>
    <w:rsid w:val="00407310"/>
    <w:rsid w:val="00411E0D"/>
    <w:rsid w:val="00412776"/>
    <w:rsid w:val="00415D0D"/>
    <w:rsid w:val="00420D04"/>
    <w:rsid w:val="0042279B"/>
    <w:rsid w:val="0042285F"/>
    <w:rsid w:val="00426066"/>
    <w:rsid w:val="00426DC1"/>
    <w:rsid w:val="004303E8"/>
    <w:rsid w:val="004304CD"/>
    <w:rsid w:val="00433DBF"/>
    <w:rsid w:val="004344C8"/>
    <w:rsid w:val="0043482D"/>
    <w:rsid w:val="00435C4F"/>
    <w:rsid w:val="004362B0"/>
    <w:rsid w:val="00437CB6"/>
    <w:rsid w:val="0044214A"/>
    <w:rsid w:val="004430A9"/>
    <w:rsid w:val="00445385"/>
    <w:rsid w:val="00447207"/>
    <w:rsid w:val="00447B4E"/>
    <w:rsid w:val="00450EC4"/>
    <w:rsid w:val="004527A6"/>
    <w:rsid w:val="00453DF8"/>
    <w:rsid w:val="00455C32"/>
    <w:rsid w:val="0045745E"/>
    <w:rsid w:val="00457D79"/>
    <w:rsid w:val="0046423E"/>
    <w:rsid w:val="00464C8D"/>
    <w:rsid w:val="00464CC9"/>
    <w:rsid w:val="0046665A"/>
    <w:rsid w:val="0047028E"/>
    <w:rsid w:val="00470FED"/>
    <w:rsid w:val="004713E0"/>
    <w:rsid w:val="004736AA"/>
    <w:rsid w:val="00475201"/>
    <w:rsid w:val="00475D79"/>
    <w:rsid w:val="0047760E"/>
    <w:rsid w:val="00480418"/>
    <w:rsid w:val="00481845"/>
    <w:rsid w:val="0048185B"/>
    <w:rsid w:val="00481E39"/>
    <w:rsid w:val="0048260A"/>
    <w:rsid w:val="00482FFB"/>
    <w:rsid w:val="00484906"/>
    <w:rsid w:val="00485683"/>
    <w:rsid w:val="004867A4"/>
    <w:rsid w:val="00486B23"/>
    <w:rsid w:val="00487935"/>
    <w:rsid w:val="00487C0D"/>
    <w:rsid w:val="004900B8"/>
    <w:rsid w:val="004907DB"/>
    <w:rsid w:val="004910BF"/>
    <w:rsid w:val="00491AC8"/>
    <w:rsid w:val="00493958"/>
    <w:rsid w:val="00493DF8"/>
    <w:rsid w:val="004944A7"/>
    <w:rsid w:val="00497570"/>
    <w:rsid w:val="00497998"/>
    <w:rsid w:val="004A106F"/>
    <w:rsid w:val="004A3CC9"/>
    <w:rsid w:val="004A43B9"/>
    <w:rsid w:val="004A5B9A"/>
    <w:rsid w:val="004A7FE8"/>
    <w:rsid w:val="004B3151"/>
    <w:rsid w:val="004B4BD6"/>
    <w:rsid w:val="004B6E42"/>
    <w:rsid w:val="004B74F8"/>
    <w:rsid w:val="004B7C0E"/>
    <w:rsid w:val="004C46FF"/>
    <w:rsid w:val="004C58F4"/>
    <w:rsid w:val="004D1EAB"/>
    <w:rsid w:val="004D23D5"/>
    <w:rsid w:val="004D2FBE"/>
    <w:rsid w:val="004D4C85"/>
    <w:rsid w:val="004D6223"/>
    <w:rsid w:val="004D75DA"/>
    <w:rsid w:val="004E1A2B"/>
    <w:rsid w:val="004E209A"/>
    <w:rsid w:val="004E2649"/>
    <w:rsid w:val="004E7051"/>
    <w:rsid w:val="004E7967"/>
    <w:rsid w:val="004F046B"/>
    <w:rsid w:val="004F0B2F"/>
    <w:rsid w:val="004F5228"/>
    <w:rsid w:val="004F5A09"/>
    <w:rsid w:val="004F5A6F"/>
    <w:rsid w:val="004F5CE6"/>
    <w:rsid w:val="00500A5C"/>
    <w:rsid w:val="005026CC"/>
    <w:rsid w:val="00502E58"/>
    <w:rsid w:val="00503AD1"/>
    <w:rsid w:val="0050449A"/>
    <w:rsid w:val="005061AE"/>
    <w:rsid w:val="005109CF"/>
    <w:rsid w:val="00511827"/>
    <w:rsid w:val="00511E71"/>
    <w:rsid w:val="00513720"/>
    <w:rsid w:val="0051607A"/>
    <w:rsid w:val="00520464"/>
    <w:rsid w:val="005205F4"/>
    <w:rsid w:val="00524378"/>
    <w:rsid w:val="005269B7"/>
    <w:rsid w:val="00526AD1"/>
    <w:rsid w:val="005315EA"/>
    <w:rsid w:val="00535283"/>
    <w:rsid w:val="00535508"/>
    <w:rsid w:val="005363FA"/>
    <w:rsid w:val="00542EF2"/>
    <w:rsid w:val="00545F38"/>
    <w:rsid w:val="00546280"/>
    <w:rsid w:val="0054634E"/>
    <w:rsid w:val="00552465"/>
    <w:rsid w:val="0055424F"/>
    <w:rsid w:val="00555E17"/>
    <w:rsid w:val="00557377"/>
    <w:rsid w:val="00560599"/>
    <w:rsid w:val="00563721"/>
    <w:rsid w:val="00565776"/>
    <w:rsid w:val="00566508"/>
    <w:rsid w:val="00570ACF"/>
    <w:rsid w:val="00573535"/>
    <w:rsid w:val="00573C2D"/>
    <w:rsid w:val="00575BB7"/>
    <w:rsid w:val="00576FFD"/>
    <w:rsid w:val="00580E08"/>
    <w:rsid w:val="00585250"/>
    <w:rsid w:val="00586F18"/>
    <w:rsid w:val="00587796"/>
    <w:rsid w:val="005911D1"/>
    <w:rsid w:val="00593AA7"/>
    <w:rsid w:val="005940DB"/>
    <w:rsid w:val="00594587"/>
    <w:rsid w:val="00595776"/>
    <w:rsid w:val="005A1B0C"/>
    <w:rsid w:val="005A2891"/>
    <w:rsid w:val="005A2AAC"/>
    <w:rsid w:val="005A3C50"/>
    <w:rsid w:val="005A61AB"/>
    <w:rsid w:val="005B0E04"/>
    <w:rsid w:val="005B0E05"/>
    <w:rsid w:val="005B17CE"/>
    <w:rsid w:val="005B23D6"/>
    <w:rsid w:val="005B2781"/>
    <w:rsid w:val="005B6872"/>
    <w:rsid w:val="005B6B09"/>
    <w:rsid w:val="005C4DE0"/>
    <w:rsid w:val="005C5B41"/>
    <w:rsid w:val="005C61D6"/>
    <w:rsid w:val="005C7F9E"/>
    <w:rsid w:val="005D315F"/>
    <w:rsid w:val="005D7A63"/>
    <w:rsid w:val="005E2D06"/>
    <w:rsid w:val="005F1D50"/>
    <w:rsid w:val="005F2A2C"/>
    <w:rsid w:val="005F3BCE"/>
    <w:rsid w:val="005F5087"/>
    <w:rsid w:val="005F5CDA"/>
    <w:rsid w:val="005F69A9"/>
    <w:rsid w:val="00600502"/>
    <w:rsid w:val="0060091E"/>
    <w:rsid w:val="00603AFF"/>
    <w:rsid w:val="0060605E"/>
    <w:rsid w:val="006107AB"/>
    <w:rsid w:val="006139EC"/>
    <w:rsid w:val="00613CC2"/>
    <w:rsid w:val="00615CB4"/>
    <w:rsid w:val="006177AE"/>
    <w:rsid w:val="00620C18"/>
    <w:rsid w:val="0062175F"/>
    <w:rsid w:val="00621A4A"/>
    <w:rsid w:val="00624E22"/>
    <w:rsid w:val="00626765"/>
    <w:rsid w:val="006267B7"/>
    <w:rsid w:val="006267C6"/>
    <w:rsid w:val="00626D4E"/>
    <w:rsid w:val="00632673"/>
    <w:rsid w:val="006339F5"/>
    <w:rsid w:val="00634377"/>
    <w:rsid w:val="0063551B"/>
    <w:rsid w:val="00635F82"/>
    <w:rsid w:val="00636B16"/>
    <w:rsid w:val="00636B6E"/>
    <w:rsid w:val="00640620"/>
    <w:rsid w:val="00641D3B"/>
    <w:rsid w:val="00642531"/>
    <w:rsid w:val="00646942"/>
    <w:rsid w:val="006470D8"/>
    <w:rsid w:val="006519AF"/>
    <w:rsid w:val="006549A6"/>
    <w:rsid w:val="0066058B"/>
    <w:rsid w:val="006618F7"/>
    <w:rsid w:val="00662222"/>
    <w:rsid w:val="00663755"/>
    <w:rsid w:val="006674D7"/>
    <w:rsid w:val="00674128"/>
    <w:rsid w:val="00674A82"/>
    <w:rsid w:val="00674D0B"/>
    <w:rsid w:val="00675227"/>
    <w:rsid w:val="006754B7"/>
    <w:rsid w:val="00675630"/>
    <w:rsid w:val="006756C0"/>
    <w:rsid w:val="00676C69"/>
    <w:rsid w:val="00680F03"/>
    <w:rsid w:val="0068122B"/>
    <w:rsid w:val="006826BB"/>
    <w:rsid w:val="006830C9"/>
    <w:rsid w:val="0068364A"/>
    <w:rsid w:val="0068525B"/>
    <w:rsid w:val="00685D4F"/>
    <w:rsid w:val="00685DD6"/>
    <w:rsid w:val="006869A1"/>
    <w:rsid w:val="00686D73"/>
    <w:rsid w:val="00687B31"/>
    <w:rsid w:val="00690C1B"/>
    <w:rsid w:val="006918FD"/>
    <w:rsid w:val="00691D49"/>
    <w:rsid w:val="00692D3B"/>
    <w:rsid w:val="006A17BE"/>
    <w:rsid w:val="006A26EE"/>
    <w:rsid w:val="006A3E64"/>
    <w:rsid w:val="006A3EBB"/>
    <w:rsid w:val="006A515F"/>
    <w:rsid w:val="006A56E4"/>
    <w:rsid w:val="006B029D"/>
    <w:rsid w:val="006B197C"/>
    <w:rsid w:val="006B2D41"/>
    <w:rsid w:val="006B6D8D"/>
    <w:rsid w:val="006B7D05"/>
    <w:rsid w:val="006C0226"/>
    <w:rsid w:val="006C1643"/>
    <w:rsid w:val="006C295B"/>
    <w:rsid w:val="006C3C15"/>
    <w:rsid w:val="006C7D4F"/>
    <w:rsid w:val="006D28F6"/>
    <w:rsid w:val="006D66D6"/>
    <w:rsid w:val="006D6A44"/>
    <w:rsid w:val="006E75E2"/>
    <w:rsid w:val="006E7964"/>
    <w:rsid w:val="006F01B5"/>
    <w:rsid w:val="006F2A06"/>
    <w:rsid w:val="006F45EE"/>
    <w:rsid w:val="006F4AD5"/>
    <w:rsid w:val="006F5527"/>
    <w:rsid w:val="006F6211"/>
    <w:rsid w:val="00702DA8"/>
    <w:rsid w:val="007046F7"/>
    <w:rsid w:val="00705190"/>
    <w:rsid w:val="007076DF"/>
    <w:rsid w:val="007117CE"/>
    <w:rsid w:val="0071377D"/>
    <w:rsid w:val="007138EB"/>
    <w:rsid w:val="007144F6"/>
    <w:rsid w:val="00714F39"/>
    <w:rsid w:val="007163FD"/>
    <w:rsid w:val="00716EA8"/>
    <w:rsid w:val="00717F98"/>
    <w:rsid w:val="0072390C"/>
    <w:rsid w:val="00723A6D"/>
    <w:rsid w:val="007269AB"/>
    <w:rsid w:val="00727A28"/>
    <w:rsid w:val="0073043A"/>
    <w:rsid w:val="00732F74"/>
    <w:rsid w:val="007332F9"/>
    <w:rsid w:val="00734ED0"/>
    <w:rsid w:val="00736085"/>
    <w:rsid w:val="00740D9C"/>
    <w:rsid w:val="00741394"/>
    <w:rsid w:val="007418D9"/>
    <w:rsid w:val="00741FA2"/>
    <w:rsid w:val="00742173"/>
    <w:rsid w:val="00743CDA"/>
    <w:rsid w:val="00744252"/>
    <w:rsid w:val="00745488"/>
    <w:rsid w:val="00746FD8"/>
    <w:rsid w:val="00750FE0"/>
    <w:rsid w:val="007548E4"/>
    <w:rsid w:val="0075694F"/>
    <w:rsid w:val="00757335"/>
    <w:rsid w:val="007613E1"/>
    <w:rsid w:val="00761522"/>
    <w:rsid w:val="00762E9C"/>
    <w:rsid w:val="007648FB"/>
    <w:rsid w:val="00764F3A"/>
    <w:rsid w:val="0076720B"/>
    <w:rsid w:val="00770689"/>
    <w:rsid w:val="00772951"/>
    <w:rsid w:val="007752C1"/>
    <w:rsid w:val="007761E6"/>
    <w:rsid w:val="0077623A"/>
    <w:rsid w:val="00776D3B"/>
    <w:rsid w:val="007771AD"/>
    <w:rsid w:val="00777BE5"/>
    <w:rsid w:val="00784103"/>
    <w:rsid w:val="00784C0B"/>
    <w:rsid w:val="00792FA5"/>
    <w:rsid w:val="00795A9B"/>
    <w:rsid w:val="007964A2"/>
    <w:rsid w:val="007970F7"/>
    <w:rsid w:val="007A0496"/>
    <w:rsid w:val="007A2D2F"/>
    <w:rsid w:val="007A6F27"/>
    <w:rsid w:val="007A7979"/>
    <w:rsid w:val="007A7D3B"/>
    <w:rsid w:val="007B0321"/>
    <w:rsid w:val="007B502E"/>
    <w:rsid w:val="007B5C21"/>
    <w:rsid w:val="007C024D"/>
    <w:rsid w:val="007C035E"/>
    <w:rsid w:val="007C165F"/>
    <w:rsid w:val="007C1DCB"/>
    <w:rsid w:val="007C2679"/>
    <w:rsid w:val="007C29FD"/>
    <w:rsid w:val="007D01BE"/>
    <w:rsid w:val="007D082D"/>
    <w:rsid w:val="007D2377"/>
    <w:rsid w:val="007E1CBA"/>
    <w:rsid w:val="007E22C2"/>
    <w:rsid w:val="007E3861"/>
    <w:rsid w:val="007E4433"/>
    <w:rsid w:val="007E4D02"/>
    <w:rsid w:val="007E5495"/>
    <w:rsid w:val="007F1C4A"/>
    <w:rsid w:val="007F3673"/>
    <w:rsid w:val="007F3B3E"/>
    <w:rsid w:val="007F507E"/>
    <w:rsid w:val="007F61BA"/>
    <w:rsid w:val="007F63B6"/>
    <w:rsid w:val="00800885"/>
    <w:rsid w:val="00800E2F"/>
    <w:rsid w:val="0080162F"/>
    <w:rsid w:val="0080204A"/>
    <w:rsid w:val="008022A8"/>
    <w:rsid w:val="008025ED"/>
    <w:rsid w:val="0080286D"/>
    <w:rsid w:val="00811627"/>
    <w:rsid w:val="008117B6"/>
    <w:rsid w:val="00813F99"/>
    <w:rsid w:val="00817E9E"/>
    <w:rsid w:val="00824824"/>
    <w:rsid w:val="0082792B"/>
    <w:rsid w:val="008303A2"/>
    <w:rsid w:val="00830532"/>
    <w:rsid w:val="00831E3F"/>
    <w:rsid w:val="00833913"/>
    <w:rsid w:val="00835A94"/>
    <w:rsid w:val="00836835"/>
    <w:rsid w:val="00836FB4"/>
    <w:rsid w:val="00837B67"/>
    <w:rsid w:val="00837BEB"/>
    <w:rsid w:val="0084055A"/>
    <w:rsid w:val="00846AB1"/>
    <w:rsid w:val="00846B2F"/>
    <w:rsid w:val="00851C18"/>
    <w:rsid w:val="00861C24"/>
    <w:rsid w:val="00863EF0"/>
    <w:rsid w:val="00864EE6"/>
    <w:rsid w:val="00864F1C"/>
    <w:rsid w:val="00872803"/>
    <w:rsid w:val="00872BA2"/>
    <w:rsid w:val="008801AF"/>
    <w:rsid w:val="00881039"/>
    <w:rsid w:val="00882877"/>
    <w:rsid w:val="00883AAA"/>
    <w:rsid w:val="00883CEC"/>
    <w:rsid w:val="0088746C"/>
    <w:rsid w:val="00890980"/>
    <w:rsid w:val="00892EBC"/>
    <w:rsid w:val="00893DD6"/>
    <w:rsid w:val="00895418"/>
    <w:rsid w:val="0089788C"/>
    <w:rsid w:val="00897A7F"/>
    <w:rsid w:val="00897AF8"/>
    <w:rsid w:val="008A09F3"/>
    <w:rsid w:val="008A37E5"/>
    <w:rsid w:val="008A5515"/>
    <w:rsid w:val="008A56A8"/>
    <w:rsid w:val="008A5FCC"/>
    <w:rsid w:val="008B4846"/>
    <w:rsid w:val="008B749E"/>
    <w:rsid w:val="008C09B5"/>
    <w:rsid w:val="008C2D17"/>
    <w:rsid w:val="008C3E75"/>
    <w:rsid w:val="008C3F62"/>
    <w:rsid w:val="008C560F"/>
    <w:rsid w:val="008C5F38"/>
    <w:rsid w:val="008C6A20"/>
    <w:rsid w:val="008C7870"/>
    <w:rsid w:val="008D2E08"/>
    <w:rsid w:val="008D4733"/>
    <w:rsid w:val="008D4971"/>
    <w:rsid w:val="008D77FD"/>
    <w:rsid w:val="008E1E77"/>
    <w:rsid w:val="008E6A92"/>
    <w:rsid w:val="008F4C17"/>
    <w:rsid w:val="008F5F07"/>
    <w:rsid w:val="008F7897"/>
    <w:rsid w:val="0090296E"/>
    <w:rsid w:val="00905BBE"/>
    <w:rsid w:val="009078DB"/>
    <w:rsid w:val="009106E6"/>
    <w:rsid w:val="00910785"/>
    <w:rsid w:val="0091354B"/>
    <w:rsid w:val="00913E49"/>
    <w:rsid w:val="00914B6D"/>
    <w:rsid w:val="00916358"/>
    <w:rsid w:val="009204BB"/>
    <w:rsid w:val="0092107D"/>
    <w:rsid w:val="009214D3"/>
    <w:rsid w:val="009225DE"/>
    <w:rsid w:val="00922AFC"/>
    <w:rsid w:val="00922F72"/>
    <w:rsid w:val="009237A5"/>
    <w:rsid w:val="009271CA"/>
    <w:rsid w:val="009301DE"/>
    <w:rsid w:val="009315F5"/>
    <w:rsid w:val="00933571"/>
    <w:rsid w:val="00933919"/>
    <w:rsid w:val="00934718"/>
    <w:rsid w:val="009370E2"/>
    <w:rsid w:val="009379AA"/>
    <w:rsid w:val="00940535"/>
    <w:rsid w:val="0094275A"/>
    <w:rsid w:val="00945F19"/>
    <w:rsid w:val="00950841"/>
    <w:rsid w:val="00954414"/>
    <w:rsid w:val="00957BCF"/>
    <w:rsid w:val="00961671"/>
    <w:rsid w:val="00961E35"/>
    <w:rsid w:val="00961E58"/>
    <w:rsid w:val="00962B5C"/>
    <w:rsid w:val="009658D6"/>
    <w:rsid w:val="00970CFD"/>
    <w:rsid w:val="00975F96"/>
    <w:rsid w:val="0098324A"/>
    <w:rsid w:val="00985FFB"/>
    <w:rsid w:val="00987CAC"/>
    <w:rsid w:val="00990CFC"/>
    <w:rsid w:val="00993516"/>
    <w:rsid w:val="0099535F"/>
    <w:rsid w:val="00995C10"/>
    <w:rsid w:val="00995DD7"/>
    <w:rsid w:val="00995E0E"/>
    <w:rsid w:val="00996052"/>
    <w:rsid w:val="009960C9"/>
    <w:rsid w:val="00996C55"/>
    <w:rsid w:val="00997193"/>
    <w:rsid w:val="00997DA9"/>
    <w:rsid w:val="009A2905"/>
    <w:rsid w:val="009A2C6B"/>
    <w:rsid w:val="009A2C9D"/>
    <w:rsid w:val="009A38CE"/>
    <w:rsid w:val="009A4A95"/>
    <w:rsid w:val="009A5690"/>
    <w:rsid w:val="009A5B58"/>
    <w:rsid w:val="009A6EB1"/>
    <w:rsid w:val="009A72B6"/>
    <w:rsid w:val="009B159B"/>
    <w:rsid w:val="009B4294"/>
    <w:rsid w:val="009B430C"/>
    <w:rsid w:val="009B5295"/>
    <w:rsid w:val="009B7374"/>
    <w:rsid w:val="009B7C98"/>
    <w:rsid w:val="009C0727"/>
    <w:rsid w:val="009C1EF7"/>
    <w:rsid w:val="009C2556"/>
    <w:rsid w:val="009C52A7"/>
    <w:rsid w:val="009C6C52"/>
    <w:rsid w:val="009D0295"/>
    <w:rsid w:val="009D06AE"/>
    <w:rsid w:val="009D1486"/>
    <w:rsid w:val="009D162F"/>
    <w:rsid w:val="009D1776"/>
    <w:rsid w:val="009D2EA2"/>
    <w:rsid w:val="009D5976"/>
    <w:rsid w:val="009D79AE"/>
    <w:rsid w:val="009E040A"/>
    <w:rsid w:val="009E2345"/>
    <w:rsid w:val="009E40AA"/>
    <w:rsid w:val="009E4E40"/>
    <w:rsid w:val="009E710F"/>
    <w:rsid w:val="009F5B77"/>
    <w:rsid w:val="009F6A10"/>
    <w:rsid w:val="00A0253A"/>
    <w:rsid w:val="00A02A94"/>
    <w:rsid w:val="00A02B06"/>
    <w:rsid w:val="00A03293"/>
    <w:rsid w:val="00A0443D"/>
    <w:rsid w:val="00A10193"/>
    <w:rsid w:val="00A14055"/>
    <w:rsid w:val="00A14E15"/>
    <w:rsid w:val="00A1620E"/>
    <w:rsid w:val="00A24540"/>
    <w:rsid w:val="00A25107"/>
    <w:rsid w:val="00A27388"/>
    <w:rsid w:val="00A300BF"/>
    <w:rsid w:val="00A30F95"/>
    <w:rsid w:val="00A3163E"/>
    <w:rsid w:val="00A3255E"/>
    <w:rsid w:val="00A331C8"/>
    <w:rsid w:val="00A420D4"/>
    <w:rsid w:val="00A43E28"/>
    <w:rsid w:val="00A46428"/>
    <w:rsid w:val="00A47436"/>
    <w:rsid w:val="00A5105C"/>
    <w:rsid w:val="00A54B31"/>
    <w:rsid w:val="00A5691B"/>
    <w:rsid w:val="00A76173"/>
    <w:rsid w:val="00A762E1"/>
    <w:rsid w:val="00A77AE4"/>
    <w:rsid w:val="00A801C4"/>
    <w:rsid w:val="00A806F4"/>
    <w:rsid w:val="00A81FA6"/>
    <w:rsid w:val="00A84237"/>
    <w:rsid w:val="00A84E31"/>
    <w:rsid w:val="00A8697D"/>
    <w:rsid w:val="00A86A1F"/>
    <w:rsid w:val="00A873DD"/>
    <w:rsid w:val="00A9059D"/>
    <w:rsid w:val="00A928F7"/>
    <w:rsid w:val="00A949FF"/>
    <w:rsid w:val="00A955CC"/>
    <w:rsid w:val="00A957E0"/>
    <w:rsid w:val="00AA0175"/>
    <w:rsid w:val="00AA0A83"/>
    <w:rsid w:val="00AA25E4"/>
    <w:rsid w:val="00AA3112"/>
    <w:rsid w:val="00AA5510"/>
    <w:rsid w:val="00AA6162"/>
    <w:rsid w:val="00AA733A"/>
    <w:rsid w:val="00AA7B6C"/>
    <w:rsid w:val="00AA7F1A"/>
    <w:rsid w:val="00AB1420"/>
    <w:rsid w:val="00AB25F9"/>
    <w:rsid w:val="00AB2F51"/>
    <w:rsid w:val="00AB3D47"/>
    <w:rsid w:val="00AB444F"/>
    <w:rsid w:val="00AB49F5"/>
    <w:rsid w:val="00AC1689"/>
    <w:rsid w:val="00AC1FDD"/>
    <w:rsid w:val="00AC2DE2"/>
    <w:rsid w:val="00AC4D72"/>
    <w:rsid w:val="00AC4F4B"/>
    <w:rsid w:val="00AC639C"/>
    <w:rsid w:val="00AC71A6"/>
    <w:rsid w:val="00AD15E0"/>
    <w:rsid w:val="00AD20E9"/>
    <w:rsid w:val="00AD24FE"/>
    <w:rsid w:val="00AD362B"/>
    <w:rsid w:val="00AD4B24"/>
    <w:rsid w:val="00AD729C"/>
    <w:rsid w:val="00AD73C3"/>
    <w:rsid w:val="00AE0192"/>
    <w:rsid w:val="00AE2FF1"/>
    <w:rsid w:val="00AE36A3"/>
    <w:rsid w:val="00AE515D"/>
    <w:rsid w:val="00AF03EA"/>
    <w:rsid w:val="00AF3041"/>
    <w:rsid w:val="00AF3AAB"/>
    <w:rsid w:val="00AF48CD"/>
    <w:rsid w:val="00AF59D2"/>
    <w:rsid w:val="00AF5E69"/>
    <w:rsid w:val="00AF5FAD"/>
    <w:rsid w:val="00AF7EC8"/>
    <w:rsid w:val="00B015A7"/>
    <w:rsid w:val="00B01F89"/>
    <w:rsid w:val="00B040D7"/>
    <w:rsid w:val="00B053D9"/>
    <w:rsid w:val="00B06556"/>
    <w:rsid w:val="00B07368"/>
    <w:rsid w:val="00B11F31"/>
    <w:rsid w:val="00B12C14"/>
    <w:rsid w:val="00B14C89"/>
    <w:rsid w:val="00B16F92"/>
    <w:rsid w:val="00B21E7A"/>
    <w:rsid w:val="00B21EA3"/>
    <w:rsid w:val="00B3388D"/>
    <w:rsid w:val="00B345D9"/>
    <w:rsid w:val="00B34DF8"/>
    <w:rsid w:val="00B372BF"/>
    <w:rsid w:val="00B42940"/>
    <w:rsid w:val="00B43883"/>
    <w:rsid w:val="00B43D0A"/>
    <w:rsid w:val="00B43FEF"/>
    <w:rsid w:val="00B44303"/>
    <w:rsid w:val="00B47D07"/>
    <w:rsid w:val="00B507A0"/>
    <w:rsid w:val="00B5144B"/>
    <w:rsid w:val="00B5170B"/>
    <w:rsid w:val="00B53992"/>
    <w:rsid w:val="00B53D6E"/>
    <w:rsid w:val="00B56DF0"/>
    <w:rsid w:val="00B6337E"/>
    <w:rsid w:val="00B63DBF"/>
    <w:rsid w:val="00B64873"/>
    <w:rsid w:val="00B651E3"/>
    <w:rsid w:val="00B6620C"/>
    <w:rsid w:val="00B67FEA"/>
    <w:rsid w:val="00B710D2"/>
    <w:rsid w:val="00B7113C"/>
    <w:rsid w:val="00B712CC"/>
    <w:rsid w:val="00B723DF"/>
    <w:rsid w:val="00B731DE"/>
    <w:rsid w:val="00B74252"/>
    <w:rsid w:val="00B753FC"/>
    <w:rsid w:val="00B75E73"/>
    <w:rsid w:val="00B77533"/>
    <w:rsid w:val="00B85149"/>
    <w:rsid w:val="00B85A12"/>
    <w:rsid w:val="00B86498"/>
    <w:rsid w:val="00B87E22"/>
    <w:rsid w:val="00B9063F"/>
    <w:rsid w:val="00B93F1B"/>
    <w:rsid w:val="00B945D4"/>
    <w:rsid w:val="00B94BAD"/>
    <w:rsid w:val="00BA084B"/>
    <w:rsid w:val="00BA0B3A"/>
    <w:rsid w:val="00BA55C7"/>
    <w:rsid w:val="00BA5870"/>
    <w:rsid w:val="00BA679F"/>
    <w:rsid w:val="00BB0399"/>
    <w:rsid w:val="00BB0EFB"/>
    <w:rsid w:val="00BB3223"/>
    <w:rsid w:val="00BB3B1B"/>
    <w:rsid w:val="00BB4344"/>
    <w:rsid w:val="00BB5074"/>
    <w:rsid w:val="00BC308B"/>
    <w:rsid w:val="00BC3B27"/>
    <w:rsid w:val="00BC4C9B"/>
    <w:rsid w:val="00BC5D6C"/>
    <w:rsid w:val="00BC7BEA"/>
    <w:rsid w:val="00BD209D"/>
    <w:rsid w:val="00BD4BBB"/>
    <w:rsid w:val="00BE08C4"/>
    <w:rsid w:val="00BE0BE8"/>
    <w:rsid w:val="00BE467F"/>
    <w:rsid w:val="00BE4DAD"/>
    <w:rsid w:val="00BE5E4B"/>
    <w:rsid w:val="00BE6C2B"/>
    <w:rsid w:val="00BE716C"/>
    <w:rsid w:val="00BE7D73"/>
    <w:rsid w:val="00BF1AB9"/>
    <w:rsid w:val="00BF29E1"/>
    <w:rsid w:val="00BF2F12"/>
    <w:rsid w:val="00BF328B"/>
    <w:rsid w:val="00BF3A82"/>
    <w:rsid w:val="00BF3ADC"/>
    <w:rsid w:val="00BF4C9A"/>
    <w:rsid w:val="00BF58CF"/>
    <w:rsid w:val="00BF7554"/>
    <w:rsid w:val="00C0339F"/>
    <w:rsid w:val="00C039E9"/>
    <w:rsid w:val="00C07331"/>
    <w:rsid w:val="00C10955"/>
    <w:rsid w:val="00C128B5"/>
    <w:rsid w:val="00C13C70"/>
    <w:rsid w:val="00C15006"/>
    <w:rsid w:val="00C16D3F"/>
    <w:rsid w:val="00C16F89"/>
    <w:rsid w:val="00C20A34"/>
    <w:rsid w:val="00C22BC5"/>
    <w:rsid w:val="00C22CEA"/>
    <w:rsid w:val="00C24103"/>
    <w:rsid w:val="00C3073F"/>
    <w:rsid w:val="00C31877"/>
    <w:rsid w:val="00C31885"/>
    <w:rsid w:val="00C325D1"/>
    <w:rsid w:val="00C347A8"/>
    <w:rsid w:val="00C35F80"/>
    <w:rsid w:val="00C37101"/>
    <w:rsid w:val="00C4222C"/>
    <w:rsid w:val="00C42BB6"/>
    <w:rsid w:val="00C43515"/>
    <w:rsid w:val="00C46BC0"/>
    <w:rsid w:val="00C50F36"/>
    <w:rsid w:val="00C53B91"/>
    <w:rsid w:val="00C53E3A"/>
    <w:rsid w:val="00C5460D"/>
    <w:rsid w:val="00C5610C"/>
    <w:rsid w:val="00C60629"/>
    <w:rsid w:val="00C60694"/>
    <w:rsid w:val="00C620D3"/>
    <w:rsid w:val="00C62687"/>
    <w:rsid w:val="00C63D62"/>
    <w:rsid w:val="00C64195"/>
    <w:rsid w:val="00C64773"/>
    <w:rsid w:val="00C72BBA"/>
    <w:rsid w:val="00C73A21"/>
    <w:rsid w:val="00C76728"/>
    <w:rsid w:val="00C80771"/>
    <w:rsid w:val="00C836EC"/>
    <w:rsid w:val="00C83BB4"/>
    <w:rsid w:val="00C844F7"/>
    <w:rsid w:val="00C84D0E"/>
    <w:rsid w:val="00C859C7"/>
    <w:rsid w:val="00C8680A"/>
    <w:rsid w:val="00C87B56"/>
    <w:rsid w:val="00C87D7F"/>
    <w:rsid w:val="00C91002"/>
    <w:rsid w:val="00C91F78"/>
    <w:rsid w:val="00C93462"/>
    <w:rsid w:val="00C9375C"/>
    <w:rsid w:val="00C96EAD"/>
    <w:rsid w:val="00C97042"/>
    <w:rsid w:val="00C979F3"/>
    <w:rsid w:val="00CA0EED"/>
    <w:rsid w:val="00CA2318"/>
    <w:rsid w:val="00CA2794"/>
    <w:rsid w:val="00CA32A9"/>
    <w:rsid w:val="00CB1215"/>
    <w:rsid w:val="00CB1C21"/>
    <w:rsid w:val="00CB1FB4"/>
    <w:rsid w:val="00CB322C"/>
    <w:rsid w:val="00CB630A"/>
    <w:rsid w:val="00CB65EF"/>
    <w:rsid w:val="00CB6DBB"/>
    <w:rsid w:val="00CB7903"/>
    <w:rsid w:val="00CC03E3"/>
    <w:rsid w:val="00CC0D0A"/>
    <w:rsid w:val="00CC0FBB"/>
    <w:rsid w:val="00CC1B7D"/>
    <w:rsid w:val="00CC2F73"/>
    <w:rsid w:val="00CC41DA"/>
    <w:rsid w:val="00CC4CE1"/>
    <w:rsid w:val="00CC5AB4"/>
    <w:rsid w:val="00CC6C4E"/>
    <w:rsid w:val="00CC6EA3"/>
    <w:rsid w:val="00CD31AC"/>
    <w:rsid w:val="00CD397A"/>
    <w:rsid w:val="00CD6700"/>
    <w:rsid w:val="00CD6C71"/>
    <w:rsid w:val="00CE0E91"/>
    <w:rsid w:val="00CE1F32"/>
    <w:rsid w:val="00CE313B"/>
    <w:rsid w:val="00CE496A"/>
    <w:rsid w:val="00CF0ECB"/>
    <w:rsid w:val="00CF1D5A"/>
    <w:rsid w:val="00D01CEF"/>
    <w:rsid w:val="00D02A61"/>
    <w:rsid w:val="00D038F3"/>
    <w:rsid w:val="00D0526A"/>
    <w:rsid w:val="00D060D7"/>
    <w:rsid w:val="00D06225"/>
    <w:rsid w:val="00D06537"/>
    <w:rsid w:val="00D075C8"/>
    <w:rsid w:val="00D1367B"/>
    <w:rsid w:val="00D13DB2"/>
    <w:rsid w:val="00D14F5B"/>
    <w:rsid w:val="00D15973"/>
    <w:rsid w:val="00D17713"/>
    <w:rsid w:val="00D17CB6"/>
    <w:rsid w:val="00D200CF"/>
    <w:rsid w:val="00D20FFB"/>
    <w:rsid w:val="00D260F8"/>
    <w:rsid w:val="00D26D78"/>
    <w:rsid w:val="00D32E6E"/>
    <w:rsid w:val="00D350D0"/>
    <w:rsid w:val="00D41050"/>
    <w:rsid w:val="00D41699"/>
    <w:rsid w:val="00D42DF4"/>
    <w:rsid w:val="00D438A0"/>
    <w:rsid w:val="00D43A30"/>
    <w:rsid w:val="00D445FA"/>
    <w:rsid w:val="00D4503A"/>
    <w:rsid w:val="00D4520B"/>
    <w:rsid w:val="00D46B21"/>
    <w:rsid w:val="00D4777B"/>
    <w:rsid w:val="00D52764"/>
    <w:rsid w:val="00D54752"/>
    <w:rsid w:val="00D56B8F"/>
    <w:rsid w:val="00D5791A"/>
    <w:rsid w:val="00D60DC5"/>
    <w:rsid w:val="00D623EB"/>
    <w:rsid w:val="00D637FE"/>
    <w:rsid w:val="00D66D1C"/>
    <w:rsid w:val="00D67BB2"/>
    <w:rsid w:val="00D70AB4"/>
    <w:rsid w:val="00D70DBD"/>
    <w:rsid w:val="00D72133"/>
    <w:rsid w:val="00D73299"/>
    <w:rsid w:val="00D75FCF"/>
    <w:rsid w:val="00D7605F"/>
    <w:rsid w:val="00D76B66"/>
    <w:rsid w:val="00D773D0"/>
    <w:rsid w:val="00D77DC0"/>
    <w:rsid w:val="00D80073"/>
    <w:rsid w:val="00D8119D"/>
    <w:rsid w:val="00D811FA"/>
    <w:rsid w:val="00D81A8E"/>
    <w:rsid w:val="00D8329D"/>
    <w:rsid w:val="00D85ED0"/>
    <w:rsid w:val="00D90957"/>
    <w:rsid w:val="00D90EBF"/>
    <w:rsid w:val="00D91EF5"/>
    <w:rsid w:val="00D9611D"/>
    <w:rsid w:val="00D97463"/>
    <w:rsid w:val="00D9773D"/>
    <w:rsid w:val="00D97C6C"/>
    <w:rsid w:val="00DA658C"/>
    <w:rsid w:val="00DA6F34"/>
    <w:rsid w:val="00DB17B0"/>
    <w:rsid w:val="00DB3AAA"/>
    <w:rsid w:val="00DB5405"/>
    <w:rsid w:val="00DC3046"/>
    <w:rsid w:val="00DC3253"/>
    <w:rsid w:val="00DC5FA6"/>
    <w:rsid w:val="00DC6760"/>
    <w:rsid w:val="00DD38FF"/>
    <w:rsid w:val="00DD4B3A"/>
    <w:rsid w:val="00DD60C4"/>
    <w:rsid w:val="00DE5657"/>
    <w:rsid w:val="00DE7AA5"/>
    <w:rsid w:val="00DE7B47"/>
    <w:rsid w:val="00DF0316"/>
    <w:rsid w:val="00DF0BF2"/>
    <w:rsid w:val="00DF11D0"/>
    <w:rsid w:val="00DF4473"/>
    <w:rsid w:val="00DF519C"/>
    <w:rsid w:val="00DF57DB"/>
    <w:rsid w:val="00E00339"/>
    <w:rsid w:val="00E014FE"/>
    <w:rsid w:val="00E01CBD"/>
    <w:rsid w:val="00E04238"/>
    <w:rsid w:val="00E12E0B"/>
    <w:rsid w:val="00E1539A"/>
    <w:rsid w:val="00E1624D"/>
    <w:rsid w:val="00E206EA"/>
    <w:rsid w:val="00E20875"/>
    <w:rsid w:val="00E22C4B"/>
    <w:rsid w:val="00E230B4"/>
    <w:rsid w:val="00E24CCA"/>
    <w:rsid w:val="00E25E62"/>
    <w:rsid w:val="00E25F82"/>
    <w:rsid w:val="00E2669F"/>
    <w:rsid w:val="00E2702D"/>
    <w:rsid w:val="00E30182"/>
    <w:rsid w:val="00E3229A"/>
    <w:rsid w:val="00E33D16"/>
    <w:rsid w:val="00E34520"/>
    <w:rsid w:val="00E36364"/>
    <w:rsid w:val="00E41451"/>
    <w:rsid w:val="00E415B8"/>
    <w:rsid w:val="00E427EE"/>
    <w:rsid w:val="00E45817"/>
    <w:rsid w:val="00E45BFB"/>
    <w:rsid w:val="00E46F93"/>
    <w:rsid w:val="00E47084"/>
    <w:rsid w:val="00E47A3B"/>
    <w:rsid w:val="00E560A6"/>
    <w:rsid w:val="00E6068D"/>
    <w:rsid w:val="00E61C32"/>
    <w:rsid w:val="00E629D1"/>
    <w:rsid w:val="00E6557B"/>
    <w:rsid w:val="00E66945"/>
    <w:rsid w:val="00E70C45"/>
    <w:rsid w:val="00E7213A"/>
    <w:rsid w:val="00E73382"/>
    <w:rsid w:val="00E75502"/>
    <w:rsid w:val="00E75ABE"/>
    <w:rsid w:val="00E7646B"/>
    <w:rsid w:val="00E77F8B"/>
    <w:rsid w:val="00E8014F"/>
    <w:rsid w:val="00E81560"/>
    <w:rsid w:val="00E83789"/>
    <w:rsid w:val="00E83838"/>
    <w:rsid w:val="00E850BA"/>
    <w:rsid w:val="00E8562C"/>
    <w:rsid w:val="00E859A2"/>
    <w:rsid w:val="00E86556"/>
    <w:rsid w:val="00E907EA"/>
    <w:rsid w:val="00E91310"/>
    <w:rsid w:val="00E92FA6"/>
    <w:rsid w:val="00E9477E"/>
    <w:rsid w:val="00E958D7"/>
    <w:rsid w:val="00E9694D"/>
    <w:rsid w:val="00EA1AF6"/>
    <w:rsid w:val="00EA2EEB"/>
    <w:rsid w:val="00EA342A"/>
    <w:rsid w:val="00EA5D5D"/>
    <w:rsid w:val="00EA692F"/>
    <w:rsid w:val="00EB37A8"/>
    <w:rsid w:val="00EB3B15"/>
    <w:rsid w:val="00EB40B0"/>
    <w:rsid w:val="00EB4443"/>
    <w:rsid w:val="00EB532B"/>
    <w:rsid w:val="00EB5C34"/>
    <w:rsid w:val="00EC097B"/>
    <w:rsid w:val="00EC16F8"/>
    <w:rsid w:val="00EC1C7C"/>
    <w:rsid w:val="00EC336E"/>
    <w:rsid w:val="00EC7BBB"/>
    <w:rsid w:val="00ED249E"/>
    <w:rsid w:val="00ED2C08"/>
    <w:rsid w:val="00ED428E"/>
    <w:rsid w:val="00ED560D"/>
    <w:rsid w:val="00ED6B98"/>
    <w:rsid w:val="00ED6C94"/>
    <w:rsid w:val="00EE1040"/>
    <w:rsid w:val="00EE58ED"/>
    <w:rsid w:val="00EE5B40"/>
    <w:rsid w:val="00EE67F7"/>
    <w:rsid w:val="00EE7685"/>
    <w:rsid w:val="00EF029E"/>
    <w:rsid w:val="00EF0EA0"/>
    <w:rsid w:val="00EF35D0"/>
    <w:rsid w:val="00EF4396"/>
    <w:rsid w:val="00EF4C89"/>
    <w:rsid w:val="00EF4EBE"/>
    <w:rsid w:val="00EF5F9F"/>
    <w:rsid w:val="00EF64BD"/>
    <w:rsid w:val="00EF688D"/>
    <w:rsid w:val="00F00EB5"/>
    <w:rsid w:val="00F04897"/>
    <w:rsid w:val="00F05050"/>
    <w:rsid w:val="00F050F6"/>
    <w:rsid w:val="00F122FF"/>
    <w:rsid w:val="00F12FA6"/>
    <w:rsid w:val="00F141DF"/>
    <w:rsid w:val="00F15307"/>
    <w:rsid w:val="00F16041"/>
    <w:rsid w:val="00F17A7A"/>
    <w:rsid w:val="00F2130D"/>
    <w:rsid w:val="00F22538"/>
    <w:rsid w:val="00F25611"/>
    <w:rsid w:val="00F273E2"/>
    <w:rsid w:val="00F30A87"/>
    <w:rsid w:val="00F31DA3"/>
    <w:rsid w:val="00F3371D"/>
    <w:rsid w:val="00F33DBC"/>
    <w:rsid w:val="00F406A9"/>
    <w:rsid w:val="00F40BF4"/>
    <w:rsid w:val="00F41942"/>
    <w:rsid w:val="00F43BA6"/>
    <w:rsid w:val="00F43D8C"/>
    <w:rsid w:val="00F46882"/>
    <w:rsid w:val="00F5227C"/>
    <w:rsid w:val="00F52DF8"/>
    <w:rsid w:val="00F54C78"/>
    <w:rsid w:val="00F57850"/>
    <w:rsid w:val="00F6011C"/>
    <w:rsid w:val="00F61778"/>
    <w:rsid w:val="00F643DA"/>
    <w:rsid w:val="00F64763"/>
    <w:rsid w:val="00F656AF"/>
    <w:rsid w:val="00F65C61"/>
    <w:rsid w:val="00F6667B"/>
    <w:rsid w:val="00F67A1C"/>
    <w:rsid w:val="00F7027C"/>
    <w:rsid w:val="00F70333"/>
    <w:rsid w:val="00F73106"/>
    <w:rsid w:val="00F7494E"/>
    <w:rsid w:val="00F74B06"/>
    <w:rsid w:val="00F800CB"/>
    <w:rsid w:val="00F80AFA"/>
    <w:rsid w:val="00F8155F"/>
    <w:rsid w:val="00F82889"/>
    <w:rsid w:val="00F82D92"/>
    <w:rsid w:val="00F860A4"/>
    <w:rsid w:val="00F86357"/>
    <w:rsid w:val="00F87BF8"/>
    <w:rsid w:val="00F91CC1"/>
    <w:rsid w:val="00F93C02"/>
    <w:rsid w:val="00F95C7C"/>
    <w:rsid w:val="00F96126"/>
    <w:rsid w:val="00FA13BE"/>
    <w:rsid w:val="00FA4229"/>
    <w:rsid w:val="00FA65D1"/>
    <w:rsid w:val="00FA6CA0"/>
    <w:rsid w:val="00FA701F"/>
    <w:rsid w:val="00FA7CEA"/>
    <w:rsid w:val="00FB01B3"/>
    <w:rsid w:val="00FB06F3"/>
    <w:rsid w:val="00FB49ED"/>
    <w:rsid w:val="00FB5013"/>
    <w:rsid w:val="00FB6A28"/>
    <w:rsid w:val="00FC1241"/>
    <w:rsid w:val="00FC1311"/>
    <w:rsid w:val="00FC1F82"/>
    <w:rsid w:val="00FC260C"/>
    <w:rsid w:val="00FC662C"/>
    <w:rsid w:val="00FC7B75"/>
    <w:rsid w:val="00FC7FB2"/>
    <w:rsid w:val="00FD2F99"/>
    <w:rsid w:val="00FD3B61"/>
    <w:rsid w:val="00FD5E0B"/>
    <w:rsid w:val="00FD6BB7"/>
    <w:rsid w:val="00FE317E"/>
    <w:rsid w:val="00FE4B51"/>
    <w:rsid w:val="00FE752E"/>
    <w:rsid w:val="00FE7DFE"/>
    <w:rsid w:val="00FF06F1"/>
    <w:rsid w:val="00FF2C7A"/>
    <w:rsid w:val="00FF4869"/>
    <w:rsid w:val="00FF7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78EE6"/>
  <w15:docId w15:val="{3A5DA09F-BFB4-4848-9451-EF5E8F85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165F"/>
  </w:style>
  <w:style w:type="paragraph" w:styleId="Heading1">
    <w:name w:val="heading 1"/>
    <w:basedOn w:val="Normal"/>
    <w:next w:val="Normal"/>
    <w:link w:val="Heading1Char"/>
    <w:uiPriority w:val="9"/>
    <w:qFormat/>
    <w:rsid w:val="007C16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0A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165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C639C"/>
    <w:pPr>
      <w:keepNext/>
      <w:keepLines/>
      <w:spacing w:before="200" w:after="0"/>
      <w:outlineLvl w:val="3"/>
    </w:pPr>
    <w:rPr>
      <w:rFonts w:eastAsiaTheme="majorEastAsia" w:cstheme="majorBidi"/>
      <w:bCs/>
      <w:i/>
      <w:iCs/>
      <w:color w:val="4F81BD" w:themeColor="accent1"/>
      <w:sz w:val="24"/>
    </w:rPr>
  </w:style>
  <w:style w:type="paragraph" w:styleId="Heading5">
    <w:name w:val="heading 5"/>
    <w:basedOn w:val="Normal"/>
    <w:next w:val="Normal"/>
    <w:link w:val="Heading5Char"/>
    <w:uiPriority w:val="9"/>
    <w:unhideWhenUsed/>
    <w:qFormat/>
    <w:rsid w:val="007C165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C165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165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165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7C16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ulletList">
    <w:name w:val="1Bullet List"/>
    <w:rsid w:val="00E91310"/>
    <w:pPr>
      <w:widowControl w:val="0"/>
      <w:tabs>
        <w:tab w:val="left" w:pos="720"/>
      </w:tabs>
      <w:autoSpaceDE w:val="0"/>
      <w:autoSpaceDN w:val="0"/>
      <w:adjustRightInd w:val="0"/>
      <w:ind w:left="720" w:hanging="720"/>
      <w:jc w:val="both"/>
    </w:pPr>
    <w:rPr>
      <w:sz w:val="24"/>
      <w:szCs w:val="24"/>
    </w:rPr>
  </w:style>
  <w:style w:type="paragraph" w:customStyle="1" w:styleId="2BulletList">
    <w:name w:val="2Bullet List"/>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BulletList">
    <w:name w:val="3Bullet List"/>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BulletList">
    <w:name w:val="4Bullet List"/>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BulletList">
    <w:name w:val="5Bullet List"/>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BulletList">
    <w:name w:val="6Bullet List"/>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BulletList">
    <w:name w:val="7Bullet List"/>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BulletList">
    <w:name w:val="8Bullet List"/>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1Triangles">
    <w:name w:val="1Triangles"/>
    <w:rsid w:val="00E91310"/>
    <w:pPr>
      <w:widowControl w:val="0"/>
      <w:tabs>
        <w:tab w:val="left" w:pos="720"/>
      </w:tabs>
      <w:autoSpaceDE w:val="0"/>
      <w:autoSpaceDN w:val="0"/>
      <w:adjustRightInd w:val="0"/>
      <w:ind w:left="720" w:hanging="720"/>
      <w:jc w:val="both"/>
    </w:pPr>
    <w:rPr>
      <w:sz w:val="24"/>
      <w:szCs w:val="24"/>
    </w:rPr>
  </w:style>
  <w:style w:type="paragraph" w:customStyle="1" w:styleId="2Triangles">
    <w:name w:val="2Triangles"/>
    <w:rsid w:val="00E91310"/>
    <w:pPr>
      <w:widowControl w:val="0"/>
      <w:tabs>
        <w:tab w:val="left" w:pos="720"/>
        <w:tab w:val="left" w:pos="1440"/>
      </w:tabs>
      <w:autoSpaceDE w:val="0"/>
      <w:autoSpaceDN w:val="0"/>
      <w:adjustRightInd w:val="0"/>
      <w:ind w:left="1440" w:hanging="720"/>
      <w:jc w:val="both"/>
    </w:pPr>
    <w:rPr>
      <w:sz w:val="24"/>
      <w:szCs w:val="24"/>
    </w:rPr>
  </w:style>
  <w:style w:type="paragraph" w:customStyle="1" w:styleId="3Triangles">
    <w:name w:val="3Triangles"/>
    <w:rsid w:val="00E91310"/>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Triangles">
    <w:name w:val="4Triangles"/>
    <w:rsid w:val="00E91310"/>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Triangles">
    <w:name w:val="5Triangles"/>
    <w:rsid w:val="00E91310"/>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Triangles">
    <w:name w:val="6Triangles"/>
    <w:rsid w:val="00E91310"/>
    <w:pPr>
      <w:widowControl w:val="0"/>
      <w:tabs>
        <w:tab w:val="left" w:pos="720"/>
        <w:tab w:val="left" w:pos="1440"/>
        <w:tab w:val="left" w:pos="2160"/>
        <w:tab w:val="left" w:pos="2880"/>
        <w:tab w:val="left" w:pos="3600"/>
        <w:tab w:val="left" w:pos="4320"/>
      </w:tabs>
      <w:autoSpaceDE w:val="0"/>
      <w:autoSpaceDN w:val="0"/>
      <w:adjustRightInd w:val="0"/>
      <w:ind w:left="4320" w:hanging="720"/>
      <w:jc w:val="both"/>
    </w:pPr>
    <w:rPr>
      <w:sz w:val="24"/>
      <w:szCs w:val="24"/>
    </w:rPr>
  </w:style>
  <w:style w:type="paragraph" w:customStyle="1" w:styleId="7Triangles">
    <w:name w:val="7Triangles"/>
    <w:rsid w:val="00E91310"/>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720"/>
      <w:jc w:val="both"/>
    </w:pPr>
    <w:rPr>
      <w:sz w:val="24"/>
      <w:szCs w:val="24"/>
    </w:rPr>
  </w:style>
  <w:style w:type="paragraph" w:customStyle="1" w:styleId="8Triangles">
    <w:name w:val="8Triangles"/>
    <w:rsid w:val="00E9131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both"/>
    </w:pPr>
    <w:rPr>
      <w:sz w:val="24"/>
      <w:szCs w:val="24"/>
    </w:rPr>
  </w:style>
  <w:style w:type="paragraph" w:customStyle="1" w:styleId="a">
    <w:name w:val="_"/>
    <w:rsid w:val="00E91310"/>
    <w:pPr>
      <w:widowControl w:val="0"/>
      <w:autoSpaceDE w:val="0"/>
      <w:autoSpaceDN w:val="0"/>
      <w:adjustRightInd w:val="0"/>
      <w:ind w:left="-1080"/>
    </w:pPr>
    <w:rPr>
      <w:sz w:val="24"/>
      <w:szCs w:val="24"/>
    </w:rPr>
  </w:style>
  <w:style w:type="character" w:customStyle="1" w:styleId="DefaultPara">
    <w:name w:val="Default Para"/>
    <w:rsid w:val="00E91310"/>
  </w:style>
  <w:style w:type="character" w:customStyle="1" w:styleId="SYSHYPERTEXT">
    <w:name w:val="SYS_HYPERTEXT"/>
    <w:rsid w:val="00E91310"/>
    <w:rPr>
      <w:color w:val="0000FF"/>
    </w:rPr>
  </w:style>
  <w:style w:type="paragraph" w:styleId="Header">
    <w:name w:val="header"/>
    <w:basedOn w:val="Normal"/>
    <w:rsid w:val="00E91310"/>
    <w:pPr>
      <w:tabs>
        <w:tab w:val="center" w:pos="4320"/>
        <w:tab w:val="right" w:pos="8640"/>
      </w:tabs>
    </w:pPr>
  </w:style>
  <w:style w:type="character" w:styleId="PageNumber">
    <w:name w:val="page number"/>
    <w:basedOn w:val="DefaultParagraphFont"/>
    <w:rsid w:val="00E91310"/>
  </w:style>
  <w:style w:type="paragraph" w:styleId="BodyText">
    <w:name w:val="Body Text"/>
    <w:basedOn w:val="Normal"/>
    <w:link w:val="BodyTextChar"/>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FF00FF"/>
    </w:rPr>
  </w:style>
  <w:style w:type="paragraph" w:styleId="Caption">
    <w:name w:val="caption"/>
    <w:basedOn w:val="Normal"/>
    <w:next w:val="Normal"/>
    <w:uiPriority w:val="35"/>
    <w:unhideWhenUsed/>
    <w:qFormat/>
    <w:rsid w:val="007C165F"/>
    <w:pPr>
      <w:spacing w:line="240" w:lineRule="auto"/>
    </w:pPr>
    <w:rPr>
      <w:b/>
      <w:bCs/>
      <w:color w:val="4F81BD" w:themeColor="accent1"/>
      <w:sz w:val="18"/>
      <w:szCs w:val="18"/>
    </w:rPr>
  </w:style>
  <w:style w:type="paragraph" w:styleId="BodyText2">
    <w:name w:val="Body Text 2"/>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styleId="BodyText3">
    <w:name w:val="Body Text 3"/>
    <w:basedOn w:val="Normal"/>
    <w:rsid w:val="00E913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styleId="Hyperlink">
    <w:name w:val="Hyperlink"/>
    <w:rsid w:val="00E91310"/>
    <w:rPr>
      <w:color w:val="0000FF"/>
      <w:u w:val="single"/>
    </w:rPr>
  </w:style>
  <w:style w:type="character" w:styleId="FollowedHyperlink">
    <w:name w:val="FollowedHyperlink"/>
    <w:rsid w:val="00E91310"/>
    <w:rPr>
      <w:color w:val="800080"/>
      <w:u w:val="single"/>
    </w:rPr>
  </w:style>
  <w:style w:type="paragraph" w:styleId="Footer">
    <w:name w:val="footer"/>
    <w:basedOn w:val="Normal"/>
    <w:link w:val="FooterChar"/>
    <w:uiPriority w:val="99"/>
    <w:rsid w:val="00E91310"/>
    <w:pPr>
      <w:tabs>
        <w:tab w:val="center" w:pos="4320"/>
        <w:tab w:val="right" w:pos="8640"/>
      </w:tabs>
    </w:pPr>
  </w:style>
  <w:style w:type="paragraph" w:customStyle="1" w:styleId="Default">
    <w:name w:val="Default"/>
    <w:rsid w:val="00800885"/>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56059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4C89"/>
    <w:rPr>
      <w:rFonts w:ascii="Tahoma" w:hAnsi="Tahoma" w:cs="Tahoma"/>
      <w:sz w:val="16"/>
      <w:szCs w:val="16"/>
    </w:rPr>
  </w:style>
  <w:style w:type="paragraph" w:styleId="ListParagraph">
    <w:name w:val="List Paragraph"/>
    <w:basedOn w:val="Normal"/>
    <w:uiPriority w:val="34"/>
    <w:qFormat/>
    <w:rsid w:val="007C165F"/>
    <w:pPr>
      <w:ind w:left="720"/>
      <w:contextualSpacing/>
    </w:pPr>
  </w:style>
  <w:style w:type="paragraph" w:styleId="ListBullet">
    <w:name w:val="List Bullet"/>
    <w:basedOn w:val="Normal"/>
    <w:rsid w:val="00C4222C"/>
    <w:pPr>
      <w:numPr>
        <w:numId w:val="1"/>
      </w:numPr>
      <w:spacing w:after="120"/>
    </w:pPr>
  </w:style>
  <w:style w:type="character" w:customStyle="1" w:styleId="BodyTextChar">
    <w:name w:val="Body Text Char"/>
    <w:basedOn w:val="DefaultParagraphFont"/>
    <w:link w:val="BodyText"/>
    <w:rsid w:val="00CE313B"/>
    <w:rPr>
      <w:color w:val="FF00FF"/>
      <w:sz w:val="22"/>
      <w:szCs w:val="22"/>
    </w:rPr>
  </w:style>
  <w:style w:type="paragraph" w:customStyle="1" w:styleId="StyleListBulletAfter12pt">
    <w:name w:val="Style List Bullet + After:  12 pt"/>
    <w:basedOn w:val="ListBullet"/>
    <w:rsid w:val="00C4222C"/>
  </w:style>
  <w:style w:type="character" w:styleId="Strong">
    <w:name w:val="Strong"/>
    <w:basedOn w:val="DefaultParagraphFont"/>
    <w:uiPriority w:val="22"/>
    <w:qFormat/>
    <w:rsid w:val="007C165F"/>
    <w:rPr>
      <w:b/>
      <w:bCs/>
    </w:rPr>
  </w:style>
  <w:style w:type="character" w:styleId="Emphasis">
    <w:name w:val="Emphasis"/>
    <w:basedOn w:val="DefaultParagraphFont"/>
    <w:qFormat/>
    <w:rsid w:val="007C165F"/>
    <w:rPr>
      <w:i/>
      <w:iCs/>
    </w:rPr>
  </w:style>
  <w:style w:type="paragraph" w:styleId="Revision">
    <w:name w:val="Revision"/>
    <w:hidden/>
    <w:uiPriority w:val="99"/>
    <w:semiHidden/>
    <w:rsid w:val="00895418"/>
  </w:style>
  <w:style w:type="paragraph" w:styleId="NoSpacing">
    <w:name w:val="No Spacing"/>
    <w:uiPriority w:val="1"/>
    <w:qFormat/>
    <w:rsid w:val="007C165F"/>
    <w:pPr>
      <w:spacing w:after="0" w:line="240" w:lineRule="auto"/>
    </w:pPr>
  </w:style>
  <w:style w:type="character" w:customStyle="1" w:styleId="Heading1Char">
    <w:name w:val="Heading 1 Char"/>
    <w:basedOn w:val="DefaultParagraphFont"/>
    <w:link w:val="Heading1"/>
    <w:uiPriority w:val="9"/>
    <w:rsid w:val="007C165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70AB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165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C639C"/>
    <w:rPr>
      <w:rFonts w:eastAsiaTheme="majorEastAsia" w:cstheme="majorBidi"/>
      <w:bCs/>
      <w:i/>
      <w:iCs/>
      <w:color w:val="4F81BD" w:themeColor="accent1"/>
      <w:sz w:val="24"/>
    </w:rPr>
  </w:style>
  <w:style w:type="character" w:customStyle="1" w:styleId="Heading5Char">
    <w:name w:val="Heading 5 Char"/>
    <w:basedOn w:val="DefaultParagraphFont"/>
    <w:link w:val="Heading5"/>
    <w:uiPriority w:val="9"/>
    <w:rsid w:val="007C165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C165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165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165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C165F"/>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7C16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165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C165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C165F"/>
    <w:rPr>
      <w:rFonts w:asciiTheme="majorHAnsi" w:eastAsiaTheme="majorEastAsia" w:hAnsiTheme="majorHAnsi" w:cstheme="majorBidi"/>
      <w:i/>
      <w:iCs/>
      <w:color w:val="4F81BD" w:themeColor="accent1"/>
      <w:spacing w:val="15"/>
      <w:sz w:val="24"/>
      <w:szCs w:val="24"/>
    </w:rPr>
  </w:style>
  <w:style w:type="paragraph" w:styleId="Quote">
    <w:name w:val="Quote"/>
    <w:basedOn w:val="Normal"/>
    <w:next w:val="Normal"/>
    <w:link w:val="QuoteChar"/>
    <w:uiPriority w:val="29"/>
    <w:qFormat/>
    <w:rsid w:val="007C165F"/>
    <w:rPr>
      <w:i/>
      <w:iCs/>
      <w:color w:val="000000" w:themeColor="text1"/>
    </w:rPr>
  </w:style>
  <w:style w:type="character" w:customStyle="1" w:styleId="QuoteChar">
    <w:name w:val="Quote Char"/>
    <w:basedOn w:val="DefaultParagraphFont"/>
    <w:link w:val="Quote"/>
    <w:uiPriority w:val="29"/>
    <w:rsid w:val="007C165F"/>
    <w:rPr>
      <w:i/>
      <w:iCs/>
      <w:color w:val="000000" w:themeColor="text1"/>
    </w:rPr>
  </w:style>
  <w:style w:type="paragraph" w:styleId="IntenseQuote">
    <w:name w:val="Intense Quote"/>
    <w:basedOn w:val="Normal"/>
    <w:next w:val="Normal"/>
    <w:link w:val="IntenseQuoteChar"/>
    <w:uiPriority w:val="30"/>
    <w:qFormat/>
    <w:rsid w:val="007C16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C165F"/>
    <w:rPr>
      <w:b/>
      <w:bCs/>
      <w:i/>
      <w:iCs/>
      <w:color w:val="4F81BD" w:themeColor="accent1"/>
    </w:rPr>
  </w:style>
  <w:style w:type="character" w:styleId="SubtleEmphasis">
    <w:name w:val="Subtle Emphasis"/>
    <w:basedOn w:val="DefaultParagraphFont"/>
    <w:uiPriority w:val="19"/>
    <w:qFormat/>
    <w:rsid w:val="007C165F"/>
    <w:rPr>
      <w:i/>
      <w:iCs/>
      <w:color w:val="808080" w:themeColor="text1" w:themeTint="7F"/>
    </w:rPr>
  </w:style>
  <w:style w:type="character" w:styleId="IntenseEmphasis">
    <w:name w:val="Intense Emphasis"/>
    <w:basedOn w:val="DefaultParagraphFont"/>
    <w:uiPriority w:val="21"/>
    <w:qFormat/>
    <w:rsid w:val="007C165F"/>
    <w:rPr>
      <w:b/>
      <w:bCs/>
      <w:i/>
      <w:iCs/>
      <w:color w:val="4F81BD" w:themeColor="accent1"/>
    </w:rPr>
  </w:style>
  <w:style w:type="character" w:styleId="SubtleReference">
    <w:name w:val="Subtle Reference"/>
    <w:basedOn w:val="DefaultParagraphFont"/>
    <w:uiPriority w:val="31"/>
    <w:qFormat/>
    <w:rsid w:val="007C165F"/>
    <w:rPr>
      <w:smallCaps/>
      <w:color w:val="C0504D" w:themeColor="accent2"/>
      <w:u w:val="single"/>
    </w:rPr>
  </w:style>
  <w:style w:type="character" w:styleId="IntenseReference">
    <w:name w:val="Intense Reference"/>
    <w:basedOn w:val="DefaultParagraphFont"/>
    <w:uiPriority w:val="32"/>
    <w:qFormat/>
    <w:rsid w:val="007C165F"/>
    <w:rPr>
      <w:b/>
      <w:bCs/>
      <w:smallCaps/>
      <w:color w:val="C0504D" w:themeColor="accent2"/>
      <w:spacing w:val="5"/>
      <w:u w:val="single"/>
    </w:rPr>
  </w:style>
  <w:style w:type="character" w:styleId="BookTitle">
    <w:name w:val="Book Title"/>
    <w:basedOn w:val="DefaultParagraphFont"/>
    <w:uiPriority w:val="33"/>
    <w:qFormat/>
    <w:rsid w:val="007C165F"/>
    <w:rPr>
      <w:b/>
      <w:bCs/>
      <w:smallCaps/>
      <w:spacing w:val="5"/>
    </w:rPr>
  </w:style>
  <w:style w:type="paragraph" w:styleId="TOCHeading">
    <w:name w:val="TOC Heading"/>
    <w:basedOn w:val="Heading1"/>
    <w:next w:val="Normal"/>
    <w:uiPriority w:val="39"/>
    <w:semiHidden/>
    <w:unhideWhenUsed/>
    <w:qFormat/>
    <w:rsid w:val="007C165F"/>
    <w:pPr>
      <w:outlineLvl w:val="9"/>
    </w:pPr>
  </w:style>
  <w:style w:type="character" w:customStyle="1" w:styleId="FooterChar">
    <w:name w:val="Footer Char"/>
    <w:basedOn w:val="DefaultParagraphFont"/>
    <w:link w:val="Footer"/>
    <w:uiPriority w:val="99"/>
    <w:rsid w:val="001B6B06"/>
  </w:style>
  <w:style w:type="character" w:styleId="UnresolvedMention">
    <w:name w:val="Unresolved Mention"/>
    <w:basedOn w:val="DefaultParagraphFont"/>
    <w:uiPriority w:val="99"/>
    <w:semiHidden/>
    <w:unhideWhenUsed/>
    <w:rsid w:val="00F96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572">
      <w:bodyDiv w:val="1"/>
      <w:marLeft w:val="60"/>
      <w:marRight w:val="60"/>
      <w:marTop w:val="60"/>
      <w:marBottom w:val="15"/>
      <w:divBdr>
        <w:top w:val="none" w:sz="0" w:space="0" w:color="auto"/>
        <w:left w:val="none" w:sz="0" w:space="0" w:color="auto"/>
        <w:bottom w:val="none" w:sz="0" w:space="0" w:color="auto"/>
        <w:right w:val="none" w:sz="0" w:space="0" w:color="auto"/>
      </w:divBdr>
      <w:divsChild>
        <w:div w:id="130952323">
          <w:marLeft w:val="0"/>
          <w:marRight w:val="0"/>
          <w:marTop w:val="0"/>
          <w:marBottom w:val="0"/>
          <w:divBdr>
            <w:top w:val="none" w:sz="0" w:space="0" w:color="auto"/>
            <w:left w:val="none" w:sz="0" w:space="0" w:color="auto"/>
            <w:bottom w:val="none" w:sz="0" w:space="0" w:color="auto"/>
            <w:right w:val="none" w:sz="0" w:space="0" w:color="auto"/>
          </w:divBdr>
        </w:div>
        <w:div w:id="135029660">
          <w:marLeft w:val="0"/>
          <w:marRight w:val="0"/>
          <w:marTop w:val="0"/>
          <w:marBottom w:val="0"/>
          <w:divBdr>
            <w:top w:val="none" w:sz="0" w:space="0" w:color="auto"/>
            <w:left w:val="none" w:sz="0" w:space="0" w:color="auto"/>
            <w:bottom w:val="none" w:sz="0" w:space="0" w:color="auto"/>
            <w:right w:val="none" w:sz="0" w:space="0" w:color="auto"/>
          </w:divBdr>
        </w:div>
        <w:div w:id="140199586">
          <w:marLeft w:val="0"/>
          <w:marRight w:val="0"/>
          <w:marTop w:val="0"/>
          <w:marBottom w:val="0"/>
          <w:divBdr>
            <w:top w:val="none" w:sz="0" w:space="0" w:color="auto"/>
            <w:left w:val="none" w:sz="0" w:space="0" w:color="auto"/>
            <w:bottom w:val="none" w:sz="0" w:space="0" w:color="auto"/>
            <w:right w:val="none" w:sz="0" w:space="0" w:color="auto"/>
          </w:divBdr>
        </w:div>
        <w:div w:id="165025019">
          <w:marLeft w:val="0"/>
          <w:marRight w:val="0"/>
          <w:marTop w:val="0"/>
          <w:marBottom w:val="0"/>
          <w:divBdr>
            <w:top w:val="none" w:sz="0" w:space="0" w:color="auto"/>
            <w:left w:val="none" w:sz="0" w:space="0" w:color="auto"/>
            <w:bottom w:val="none" w:sz="0" w:space="0" w:color="auto"/>
            <w:right w:val="none" w:sz="0" w:space="0" w:color="auto"/>
          </w:divBdr>
        </w:div>
        <w:div w:id="233275361">
          <w:marLeft w:val="0"/>
          <w:marRight w:val="0"/>
          <w:marTop w:val="0"/>
          <w:marBottom w:val="0"/>
          <w:divBdr>
            <w:top w:val="none" w:sz="0" w:space="0" w:color="auto"/>
            <w:left w:val="none" w:sz="0" w:space="0" w:color="auto"/>
            <w:bottom w:val="none" w:sz="0" w:space="0" w:color="auto"/>
            <w:right w:val="none" w:sz="0" w:space="0" w:color="auto"/>
          </w:divBdr>
        </w:div>
        <w:div w:id="236519906">
          <w:marLeft w:val="0"/>
          <w:marRight w:val="0"/>
          <w:marTop w:val="0"/>
          <w:marBottom w:val="0"/>
          <w:divBdr>
            <w:top w:val="none" w:sz="0" w:space="0" w:color="auto"/>
            <w:left w:val="none" w:sz="0" w:space="0" w:color="auto"/>
            <w:bottom w:val="none" w:sz="0" w:space="0" w:color="auto"/>
            <w:right w:val="none" w:sz="0" w:space="0" w:color="auto"/>
          </w:divBdr>
        </w:div>
        <w:div w:id="274560804">
          <w:marLeft w:val="0"/>
          <w:marRight w:val="0"/>
          <w:marTop w:val="0"/>
          <w:marBottom w:val="0"/>
          <w:divBdr>
            <w:top w:val="none" w:sz="0" w:space="0" w:color="auto"/>
            <w:left w:val="none" w:sz="0" w:space="0" w:color="auto"/>
            <w:bottom w:val="none" w:sz="0" w:space="0" w:color="auto"/>
            <w:right w:val="none" w:sz="0" w:space="0" w:color="auto"/>
          </w:divBdr>
        </w:div>
        <w:div w:id="331493830">
          <w:marLeft w:val="0"/>
          <w:marRight w:val="0"/>
          <w:marTop w:val="0"/>
          <w:marBottom w:val="0"/>
          <w:divBdr>
            <w:top w:val="none" w:sz="0" w:space="0" w:color="auto"/>
            <w:left w:val="none" w:sz="0" w:space="0" w:color="auto"/>
            <w:bottom w:val="none" w:sz="0" w:space="0" w:color="auto"/>
            <w:right w:val="none" w:sz="0" w:space="0" w:color="auto"/>
          </w:divBdr>
        </w:div>
        <w:div w:id="444538856">
          <w:marLeft w:val="0"/>
          <w:marRight w:val="0"/>
          <w:marTop w:val="0"/>
          <w:marBottom w:val="0"/>
          <w:divBdr>
            <w:top w:val="none" w:sz="0" w:space="0" w:color="auto"/>
            <w:left w:val="none" w:sz="0" w:space="0" w:color="auto"/>
            <w:bottom w:val="none" w:sz="0" w:space="0" w:color="auto"/>
            <w:right w:val="none" w:sz="0" w:space="0" w:color="auto"/>
          </w:divBdr>
        </w:div>
        <w:div w:id="513375455">
          <w:marLeft w:val="0"/>
          <w:marRight w:val="0"/>
          <w:marTop w:val="0"/>
          <w:marBottom w:val="0"/>
          <w:divBdr>
            <w:top w:val="none" w:sz="0" w:space="0" w:color="auto"/>
            <w:left w:val="none" w:sz="0" w:space="0" w:color="auto"/>
            <w:bottom w:val="none" w:sz="0" w:space="0" w:color="auto"/>
            <w:right w:val="none" w:sz="0" w:space="0" w:color="auto"/>
          </w:divBdr>
        </w:div>
        <w:div w:id="514464967">
          <w:marLeft w:val="0"/>
          <w:marRight w:val="0"/>
          <w:marTop w:val="0"/>
          <w:marBottom w:val="0"/>
          <w:divBdr>
            <w:top w:val="none" w:sz="0" w:space="0" w:color="auto"/>
            <w:left w:val="none" w:sz="0" w:space="0" w:color="auto"/>
            <w:bottom w:val="none" w:sz="0" w:space="0" w:color="auto"/>
            <w:right w:val="none" w:sz="0" w:space="0" w:color="auto"/>
          </w:divBdr>
        </w:div>
        <w:div w:id="522091692">
          <w:marLeft w:val="0"/>
          <w:marRight w:val="0"/>
          <w:marTop w:val="0"/>
          <w:marBottom w:val="0"/>
          <w:divBdr>
            <w:top w:val="none" w:sz="0" w:space="0" w:color="auto"/>
            <w:left w:val="none" w:sz="0" w:space="0" w:color="auto"/>
            <w:bottom w:val="none" w:sz="0" w:space="0" w:color="auto"/>
            <w:right w:val="none" w:sz="0" w:space="0" w:color="auto"/>
          </w:divBdr>
        </w:div>
        <w:div w:id="549847490">
          <w:marLeft w:val="0"/>
          <w:marRight w:val="0"/>
          <w:marTop w:val="0"/>
          <w:marBottom w:val="0"/>
          <w:divBdr>
            <w:top w:val="none" w:sz="0" w:space="0" w:color="auto"/>
            <w:left w:val="none" w:sz="0" w:space="0" w:color="auto"/>
            <w:bottom w:val="none" w:sz="0" w:space="0" w:color="auto"/>
            <w:right w:val="none" w:sz="0" w:space="0" w:color="auto"/>
          </w:divBdr>
        </w:div>
        <w:div w:id="571158826">
          <w:marLeft w:val="0"/>
          <w:marRight w:val="0"/>
          <w:marTop w:val="0"/>
          <w:marBottom w:val="0"/>
          <w:divBdr>
            <w:top w:val="none" w:sz="0" w:space="0" w:color="auto"/>
            <w:left w:val="none" w:sz="0" w:space="0" w:color="auto"/>
            <w:bottom w:val="none" w:sz="0" w:space="0" w:color="auto"/>
            <w:right w:val="none" w:sz="0" w:space="0" w:color="auto"/>
          </w:divBdr>
        </w:div>
        <w:div w:id="734858534">
          <w:marLeft w:val="0"/>
          <w:marRight w:val="0"/>
          <w:marTop w:val="0"/>
          <w:marBottom w:val="0"/>
          <w:divBdr>
            <w:top w:val="none" w:sz="0" w:space="0" w:color="auto"/>
            <w:left w:val="none" w:sz="0" w:space="0" w:color="auto"/>
            <w:bottom w:val="none" w:sz="0" w:space="0" w:color="auto"/>
            <w:right w:val="none" w:sz="0" w:space="0" w:color="auto"/>
          </w:divBdr>
        </w:div>
        <w:div w:id="852917297">
          <w:marLeft w:val="0"/>
          <w:marRight w:val="0"/>
          <w:marTop w:val="0"/>
          <w:marBottom w:val="0"/>
          <w:divBdr>
            <w:top w:val="none" w:sz="0" w:space="0" w:color="auto"/>
            <w:left w:val="none" w:sz="0" w:space="0" w:color="auto"/>
            <w:bottom w:val="none" w:sz="0" w:space="0" w:color="auto"/>
            <w:right w:val="none" w:sz="0" w:space="0" w:color="auto"/>
          </w:divBdr>
        </w:div>
        <w:div w:id="885220769">
          <w:marLeft w:val="0"/>
          <w:marRight w:val="0"/>
          <w:marTop w:val="0"/>
          <w:marBottom w:val="0"/>
          <w:divBdr>
            <w:top w:val="none" w:sz="0" w:space="0" w:color="auto"/>
            <w:left w:val="none" w:sz="0" w:space="0" w:color="auto"/>
            <w:bottom w:val="none" w:sz="0" w:space="0" w:color="auto"/>
            <w:right w:val="none" w:sz="0" w:space="0" w:color="auto"/>
          </w:divBdr>
        </w:div>
        <w:div w:id="921719138">
          <w:marLeft w:val="0"/>
          <w:marRight w:val="0"/>
          <w:marTop w:val="0"/>
          <w:marBottom w:val="0"/>
          <w:divBdr>
            <w:top w:val="none" w:sz="0" w:space="0" w:color="auto"/>
            <w:left w:val="none" w:sz="0" w:space="0" w:color="auto"/>
            <w:bottom w:val="none" w:sz="0" w:space="0" w:color="auto"/>
            <w:right w:val="none" w:sz="0" w:space="0" w:color="auto"/>
          </w:divBdr>
        </w:div>
        <w:div w:id="1124808185">
          <w:marLeft w:val="0"/>
          <w:marRight w:val="0"/>
          <w:marTop w:val="0"/>
          <w:marBottom w:val="0"/>
          <w:divBdr>
            <w:top w:val="none" w:sz="0" w:space="0" w:color="auto"/>
            <w:left w:val="none" w:sz="0" w:space="0" w:color="auto"/>
            <w:bottom w:val="none" w:sz="0" w:space="0" w:color="auto"/>
            <w:right w:val="none" w:sz="0" w:space="0" w:color="auto"/>
          </w:divBdr>
        </w:div>
        <w:div w:id="1298149345">
          <w:marLeft w:val="0"/>
          <w:marRight w:val="0"/>
          <w:marTop w:val="0"/>
          <w:marBottom w:val="0"/>
          <w:divBdr>
            <w:top w:val="none" w:sz="0" w:space="0" w:color="auto"/>
            <w:left w:val="none" w:sz="0" w:space="0" w:color="auto"/>
            <w:bottom w:val="none" w:sz="0" w:space="0" w:color="auto"/>
            <w:right w:val="none" w:sz="0" w:space="0" w:color="auto"/>
          </w:divBdr>
        </w:div>
        <w:div w:id="1319269194">
          <w:marLeft w:val="0"/>
          <w:marRight w:val="0"/>
          <w:marTop w:val="0"/>
          <w:marBottom w:val="0"/>
          <w:divBdr>
            <w:top w:val="none" w:sz="0" w:space="0" w:color="auto"/>
            <w:left w:val="none" w:sz="0" w:space="0" w:color="auto"/>
            <w:bottom w:val="none" w:sz="0" w:space="0" w:color="auto"/>
            <w:right w:val="none" w:sz="0" w:space="0" w:color="auto"/>
          </w:divBdr>
        </w:div>
        <w:div w:id="1368215720">
          <w:marLeft w:val="0"/>
          <w:marRight w:val="0"/>
          <w:marTop w:val="0"/>
          <w:marBottom w:val="0"/>
          <w:divBdr>
            <w:top w:val="none" w:sz="0" w:space="0" w:color="auto"/>
            <w:left w:val="none" w:sz="0" w:space="0" w:color="auto"/>
            <w:bottom w:val="none" w:sz="0" w:space="0" w:color="auto"/>
            <w:right w:val="none" w:sz="0" w:space="0" w:color="auto"/>
          </w:divBdr>
        </w:div>
        <w:div w:id="1411851049">
          <w:marLeft w:val="0"/>
          <w:marRight w:val="0"/>
          <w:marTop w:val="0"/>
          <w:marBottom w:val="0"/>
          <w:divBdr>
            <w:top w:val="none" w:sz="0" w:space="0" w:color="auto"/>
            <w:left w:val="none" w:sz="0" w:space="0" w:color="auto"/>
            <w:bottom w:val="none" w:sz="0" w:space="0" w:color="auto"/>
            <w:right w:val="none" w:sz="0" w:space="0" w:color="auto"/>
          </w:divBdr>
        </w:div>
        <w:div w:id="1519932120">
          <w:marLeft w:val="0"/>
          <w:marRight w:val="0"/>
          <w:marTop w:val="0"/>
          <w:marBottom w:val="0"/>
          <w:divBdr>
            <w:top w:val="none" w:sz="0" w:space="0" w:color="auto"/>
            <w:left w:val="none" w:sz="0" w:space="0" w:color="auto"/>
            <w:bottom w:val="none" w:sz="0" w:space="0" w:color="auto"/>
            <w:right w:val="none" w:sz="0" w:space="0" w:color="auto"/>
          </w:divBdr>
        </w:div>
        <w:div w:id="1557472255">
          <w:marLeft w:val="0"/>
          <w:marRight w:val="0"/>
          <w:marTop w:val="0"/>
          <w:marBottom w:val="0"/>
          <w:divBdr>
            <w:top w:val="none" w:sz="0" w:space="0" w:color="auto"/>
            <w:left w:val="none" w:sz="0" w:space="0" w:color="auto"/>
            <w:bottom w:val="none" w:sz="0" w:space="0" w:color="auto"/>
            <w:right w:val="none" w:sz="0" w:space="0" w:color="auto"/>
          </w:divBdr>
        </w:div>
        <w:div w:id="1582105048">
          <w:marLeft w:val="0"/>
          <w:marRight w:val="0"/>
          <w:marTop w:val="0"/>
          <w:marBottom w:val="0"/>
          <w:divBdr>
            <w:top w:val="none" w:sz="0" w:space="0" w:color="auto"/>
            <w:left w:val="none" w:sz="0" w:space="0" w:color="auto"/>
            <w:bottom w:val="none" w:sz="0" w:space="0" w:color="auto"/>
            <w:right w:val="none" w:sz="0" w:space="0" w:color="auto"/>
          </w:divBdr>
        </w:div>
        <w:div w:id="1710063345">
          <w:marLeft w:val="0"/>
          <w:marRight w:val="0"/>
          <w:marTop w:val="0"/>
          <w:marBottom w:val="0"/>
          <w:divBdr>
            <w:top w:val="none" w:sz="0" w:space="0" w:color="auto"/>
            <w:left w:val="none" w:sz="0" w:space="0" w:color="auto"/>
            <w:bottom w:val="none" w:sz="0" w:space="0" w:color="auto"/>
            <w:right w:val="none" w:sz="0" w:space="0" w:color="auto"/>
          </w:divBdr>
        </w:div>
        <w:div w:id="1752772614">
          <w:marLeft w:val="0"/>
          <w:marRight w:val="0"/>
          <w:marTop w:val="0"/>
          <w:marBottom w:val="0"/>
          <w:divBdr>
            <w:top w:val="none" w:sz="0" w:space="0" w:color="auto"/>
            <w:left w:val="none" w:sz="0" w:space="0" w:color="auto"/>
            <w:bottom w:val="none" w:sz="0" w:space="0" w:color="auto"/>
            <w:right w:val="none" w:sz="0" w:space="0" w:color="auto"/>
          </w:divBdr>
        </w:div>
        <w:div w:id="1813214408">
          <w:marLeft w:val="0"/>
          <w:marRight w:val="0"/>
          <w:marTop w:val="0"/>
          <w:marBottom w:val="0"/>
          <w:divBdr>
            <w:top w:val="none" w:sz="0" w:space="0" w:color="auto"/>
            <w:left w:val="none" w:sz="0" w:space="0" w:color="auto"/>
            <w:bottom w:val="none" w:sz="0" w:space="0" w:color="auto"/>
            <w:right w:val="none" w:sz="0" w:space="0" w:color="auto"/>
          </w:divBdr>
        </w:div>
        <w:div w:id="1819223066">
          <w:marLeft w:val="0"/>
          <w:marRight w:val="0"/>
          <w:marTop w:val="0"/>
          <w:marBottom w:val="0"/>
          <w:divBdr>
            <w:top w:val="none" w:sz="0" w:space="0" w:color="auto"/>
            <w:left w:val="none" w:sz="0" w:space="0" w:color="auto"/>
            <w:bottom w:val="none" w:sz="0" w:space="0" w:color="auto"/>
            <w:right w:val="none" w:sz="0" w:space="0" w:color="auto"/>
          </w:divBdr>
        </w:div>
        <w:div w:id="1850943744">
          <w:marLeft w:val="0"/>
          <w:marRight w:val="0"/>
          <w:marTop w:val="0"/>
          <w:marBottom w:val="0"/>
          <w:divBdr>
            <w:top w:val="none" w:sz="0" w:space="0" w:color="auto"/>
            <w:left w:val="none" w:sz="0" w:space="0" w:color="auto"/>
            <w:bottom w:val="none" w:sz="0" w:space="0" w:color="auto"/>
            <w:right w:val="none" w:sz="0" w:space="0" w:color="auto"/>
          </w:divBdr>
        </w:div>
        <w:div w:id="1886482137">
          <w:marLeft w:val="0"/>
          <w:marRight w:val="0"/>
          <w:marTop w:val="0"/>
          <w:marBottom w:val="0"/>
          <w:divBdr>
            <w:top w:val="none" w:sz="0" w:space="0" w:color="auto"/>
            <w:left w:val="none" w:sz="0" w:space="0" w:color="auto"/>
            <w:bottom w:val="none" w:sz="0" w:space="0" w:color="auto"/>
            <w:right w:val="none" w:sz="0" w:space="0" w:color="auto"/>
          </w:divBdr>
        </w:div>
        <w:div w:id="1978029152">
          <w:marLeft w:val="0"/>
          <w:marRight w:val="0"/>
          <w:marTop w:val="0"/>
          <w:marBottom w:val="0"/>
          <w:divBdr>
            <w:top w:val="none" w:sz="0" w:space="0" w:color="auto"/>
            <w:left w:val="none" w:sz="0" w:space="0" w:color="auto"/>
            <w:bottom w:val="none" w:sz="0" w:space="0" w:color="auto"/>
            <w:right w:val="none" w:sz="0" w:space="0" w:color="auto"/>
          </w:divBdr>
        </w:div>
        <w:div w:id="2045397593">
          <w:marLeft w:val="0"/>
          <w:marRight w:val="0"/>
          <w:marTop w:val="0"/>
          <w:marBottom w:val="0"/>
          <w:divBdr>
            <w:top w:val="none" w:sz="0" w:space="0" w:color="auto"/>
            <w:left w:val="none" w:sz="0" w:space="0" w:color="auto"/>
            <w:bottom w:val="none" w:sz="0" w:space="0" w:color="auto"/>
            <w:right w:val="none" w:sz="0" w:space="0" w:color="auto"/>
          </w:divBdr>
        </w:div>
      </w:divsChild>
    </w:div>
    <w:div w:id="148258125">
      <w:bodyDiv w:val="1"/>
      <w:marLeft w:val="0"/>
      <w:marRight w:val="0"/>
      <w:marTop w:val="0"/>
      <w:marBottom w:val="0"/>
      <w:divBdr>
        <w:top w:val="none" w:sz="0" w:space="0" w:color="auto"/>
        <w:left w:val="none" w:sz="0" w:space="0" w:color="auto"/>
        <w:bottom w:val="none" w:sz="0" w:space="0" w:color="auto"/>
        <w:right w:val="none" w:sz="0" w:space="0" w:color="auto"/>
      </w:divBdr>
    </w:div>
    <w:div w:id="507446586">
      <w:bodyDiv w:val="1"/>
      <w:marLeft w:val="0"/>
      <w:marRight w:val="0"/>
      <w:marTop w:val="0"/>
      <w:marBottom w:val="0"/>
      <w:divBdr>
        <w:top w:val="none" w:sz="0" w:space="0" w:color="auto"/>
        <w:left w:val="none" w:sz="0" w:space="0" w:color="auto"/>
        <w:bottom w:val="none" w:sz="0" w:space="0" w:color="auto"/>
        <w:right w:val="none" w:sz="0" w:space="0" w:color="auto"/>
      </w:divBdr>
    </w:div>
    <w:div w:id="556091595">
      <w:bodyDiv w:val="1"/>
      <w:marLeft w:val="0"/>
      <w:marRight w:val="0"/>
      <w:marTop w:val="0"/>
      <w:marBottom w:val="0"/>
      <w:divBdr>
        <w:top w:val="none" w:sz="0" w:space="0" w:color="auto"/>
        <w:left w:val="none" w:sz="0" w:space="0" w:color="auto"/>
        <w:bottom w:val="none" w:sz="0" w:space="0" w:color="auto"/>
        <w:right w:val="none" w:sz="0" w:space="0" w:color="auto"/>
      </w:divBdr>
    </w:div>
    <w:div w:id="569192947">
      <w:bodyDiv w:val="1"/>
      <w:marLeft w:val="0"/>
      <w:marRight w:val="0"/>
      <w:marTop w:val="0"/>
      <w:marBottom w:val="0"/>
      <w:divBdr>
        <w:top w:val="none" w:sz="0" w:space="0" w:color="auto"/>
        <w:left w:val="none" w:sz="0" w:space="0" w:color="auto"/>
        <w:bottom w:val="none" w:sz="0" w:space="0" w:color="auto"/>
        <w:right w:val="none" w:sz="0" w:space="0" w:color="auto"/>
      </w:divBdr>
    </w:div>
    <w:div w:id="617833075">
      <w:bodyDiv w:val="1"/>
      <w:marLeft w:val="0"/>
      <w:marRight w:val="0"/>
      <w:marTop w:val="0"/>
      <w:marBottom w:val="0"/>
      <w:divBdr>
        <w:top w:val="none" w:sz="0" w:space="0" w:color="auto"/>
        <w:left w:val="none" w:sz="0" w:space="0" w:color="auto"/>
        <w:bottom w:val="none" w:sz="0" w:space="0" w:color="auto"/>
        <w:right w:val="none" w:sz="0" w:space="0" w:color="auto"/>
      </w:divBdr>
    </w:div>
    <w:div w:id="692461976">
      <w:bodyDiv w:val="1"/>
      <w:marLeft w:val="0"/>
      <w:marRight w:val="0"/>
      <w:marTop w:val="0"/>
      <w:marBottom w:val="0"/>
      <w:divBdr>
        <w:top w:val="none" w:sz="0" w:space="0" w:color="auto"/>
        <w:left w:val="none" w:sz="0" w:space="0" w:color="auto"/>
        <w:bottom w:val="none" w:sz="0" w:space="0" w:color="auto"/>
        <w:right w:val="none" w:sz="0" w:space="0" w:color="auto"/>
      </w:divBdr>
    </w:div>
    <w:div w:id="799149858">
      <w:bodyDiv w:val="1"/>
      <w:marLeft w:val="0"/>
      <w:marRight w:val="0"/>
      <w:marTop w:val="0"/>
      <w:marBottom w:val="0"/>
      <w:divBdr>
        <w:top w:val="none" w:sz="0" w:space="0" w:color="auto"/>
        <w:left w:val="none" w:sz="0" w:space="0" w:color="auto"/>
        <w:bottom w:val="none" w:sz="0" w:space="0" w:color="auto"/>
        <w:right w:val="none" w:sz="0" w:space="0" w:color="auto"/>
      </w:divBdr>
    </w:div>
    <w:div w:id="846596447">
      <w:bodyDiv w:val="1"/>
      <w:marLeft w:val="0"/>
      <w:marRight w:val="0"/>
      <w:marTop w:val="0"/>
      <w:marBottom w:val="0"/>
      <w:divBdr>
        <w:top w:val="none" w:sz="0" w:space="0" w:color="auto"/>
        <w:left w:val="none" w:sz="0" w:space="0" w:color="auto"/>
        <w:bottom w:val="none" w:sz="0" w:space="0" w:color="auto"/>
        <w:right w:val="none" w:sz="0" w:space="0" w:color="auto"/>
      </w:divBdr>
    </w:div>
    <w:div w:id="1491678343">
      <w:bodyDiv w:val="1"/>
      <w:marLeft w:val="60"/>
      <w:marRight w:val="60"/>
      <w:marTop w:val="60"/>
      <w:marBottom w:val="15"/>
      <w:divBdr>
        <w:top w:val="none" w:sz="0" w:space="0" w:color="auto"/>
        <w:left w:val="none" w:sz="0" w:space="0" w:color="auto"/>
        <w:bottom w:val="none" w:sz="0" w:space="0" w:color="auto"/>
        <w:right w:val="none" w:sz="0" w:space="0" w:color="auto"/>
      </w:divBdr>
      <w:divsChild>
        <w:div w:id="6180454">
          <w:marLeft w:val="0"/>
          <w:marRight w:val="0"/>
          <w:marTop w:val="0"/>
          <w:marBottom w:val="0"/>
          <w:divBdr>
            <w:top w:val="none" w:sz="0" w:space="0" w:color="auto"/>
            <w:left w:val="none" w:sz="0" w:space="0" w:color="auto"/>
            <w:bottom w:val="none" w:sz="0" w:space="0" w:color="auto"/>
            <w:right w:val="none" w:sz="0" w:space="0" w:color="auto"/>
          </w:divBdr>
        </w:div>
        <w:div w:id="48652241">
          <w:marLeft w:val="0"/>
          <w:marRight w:val="0"/>
          <w:marTop w:val="0"/>
          <w:marBottom w:val="0"/>
          <w:divBdr>
            <w:top w:val="none" w:sz="0" w:space="0" w:color="auto"/>
            <w:left w:val="none" w:sz="0" w:space="0" w:color="auto"/>
            <w:bottom w:val="none" w:sz="0" w:space="0" w:color="auto"/>
            <w:right w:val="none" w:sz="0" w:space="0" w:color="auto"/>
          </w:divBdr>
        </w:div>
        <w:div w:id="75983683">
          <w:marLeft w:val="0"/>
          <w:marRight w:val="0"/>
          <w:marTop w:val="0"/>
          <w:marBottom w:val="0"/>
          <w:divBdr>
            <w:top w:val="none" w:sz="0" w:space="0" w:color="auto"/>
            <w:left w:val="none" w:sz="0" w:space="0" w:color="auto"/>
            <w:bottom w:val="none" w:sz="0" w:space="0" w:color="auto"/>
            <w:right w:val="none" w:sz="0" w:space="0" w:color="auto"/>
          </w:divBdr>
        </w:div>
        <w:div w:id="264308144">
          <w:marLeft w:val="0"/>
          <w:marRight w:val="0"/>
          <w:marTop w:val="0"/>
          <w:marBottom w:val="0"/>
          <w:divBdr>
            <w:top w:val="none" w:sz="0" w:space="0" w:color="auto"/>
            <w:left w:val="none" w:sz="0" w:space="0" w:color="auto"/>
            <w:bottom w:val="none" w:sz="0" w:space="0" w:color="auto"/>
            <w:right w:val="none" w:sz="0" w:space="0" w:color="auto"/>
          </w:divBdr>
        </w:div>
        <w:div w:id="320622269">
          <w:marLeft w:val="0"/>
          <w:marRight w:val="0"/>
          <w:marTop w:val="0"/>
          <w:marBottom w:val="0"/>
          <w:divBdr>
            <w:top w:val="none" w:sz="0" w:space="0" w:color="auto"/>
            <w:left w:val="none" w:sz="0" w:space="0" w:color="auto"/>
            <w:bottom w:val="none" w:sz="0" w:space="0" w:color="auto"/>
            <w:right w:val="none" w:sz="0" w:space="0" w:color="auto"/>
          </w:divBdr>
        </w:div>
        <w:div w:id="379676130">
          <w:marLeft w:val="0"/>
          <w:marRight w:val="0"/>
          <w:marTop w:val="0"/>
          <w:marBottom w:val="0"/>
          <w:divBdr>
            <w:top w:val="none" w:sz="0" w:space="0" w:color="auto"/>
            <w:left w:val="none" w:sz="0" w:space="0" w:color="auto"/>
            <w:bottom w:val="none" w:sz="0" w:space="0" w:color="auto"/>
            <w:right w:val="none" w:sz="0" w:space="0" w:color="auto"/>
          </w:divBdr>
        </w:div>
        <w:div w:id="433013661">
          <w:marLeft w:val="0"/>
          <w:marRight w:val="0"/>
          <w:marTop w:val="0"/>
          <w:marBottom w:val="0"/>
          <w:divBdr>
            <w:top w:val="none" w:sz="0" w:space="0" w:color="auto"/>
            <w:left w:val="none" w:sz="0" w:space="0" w:color="auto"/>
            <w:bottom w:val="none" w:sz="0" w:space="0" w:color="auto"/>
            <w:right w:val="none" w:sz="0" w:space="0" w:color="auto"/>
          </w:divBdr>
        </w:div>
        <w:div w:id="491798577">
          <w:marLeft w:val="0"/>
          <w:marRight w:val="0"/>
          <w:marTop w:val="0"/>
          <w:marBottom w:val="0"/>
          <w:divBdr>
            <w:top w:val="none" w:sz="0" w:space="0" w:color="auto"/>
            <w:left w:val="none" w:sz="0" w:space="0" w:color="auto"/>
            <w:bottom w:val="none" w:sz="0" w:space="0" w:color="auto"/>
            <w:right w:val="none" w:sz="0" w:space="0" w:color="auto"/>
          </w:divBdr>
        </w:div>
        <w:div w:id="533082959">
          <w:marLeft w:val="0"/>
          <w:marRight w:val="0"/>
          <w:marTop w:val="0"/>
          <w:marBottom w:val="0"/>
          <w:divBdr>
            <w:top w:val="none" w:sz="0" w:space="0" w:color="auto"/>
            <w:left w:val="none" w:sz="0" w:space="0" w:color="auto"/>
            <w:bottom w:val="none" w:sz="0" w:space="0" w:color="auto"/>
            <w:right w:val="none" w:sz="0" w:space="0" w:color="auto"/>
          </w:divBdr>
        </w:div>
        <w:div w:id="549615924">
          <w:marLeft w:val="0"/>
          <w:marRight w:val="0"/>
          <w:marTop w:val="0"/>
          <w:marBottom w:val="0"/>
          <w:divBdr>
            <w:top w:val="none" w:sz="0" w:space="0" w:color="auto"/>
            <w:left w:val="none" w:sz="0" w:space="0" w:color="auto"/>
            <w:bottom w:val="none" w:sz="0" w:space="0" w:color="auto"/>
            <w:right w:val="none" w:sz="0" w:space="0" w:color="auto"/>
          </w:divBdr>
        </w:div>
        <w:div w:id="693576273">
          <w:marLeft w:val="0"/>
          <w:marRight w:val="0"/>
          <w:marTop w:val="0"/>
          <w:marBottom w:val="0"/>
          <w:divBdr>
            <w:top w:val="none" w:sz="0" w:space="0" w:color="auto"/>
            <w:left w:val="none" w:sz="0" w:space="0" w:color="auto"/>
            <w:bottom w:val="none" w:sz="0" w:space="0" w:color="auto"/>
            <w:right w:val="none" w:sz="0" w:space="0" w:color="auto"/>
          </w:divBdr>
        </w:div>
        <w:div w:id="733507878">
          <w:marLeft w:val="0"/>
          <w:marRight w:val="0"/>
          <w:marTop w:val="0"/>
          <w:marBottom w:val="0"/>
          <w:divBdr>
            <w:top w:val="none" w:sz="0" w:space="0" w:color="auto"/>
            <w:left w:val="none" w:sz="0" w:space="0" w:color="auto"/>
            <w:bottom w:val="none" w:sz="0" w:space="0" w:color="auto"/>
            <w:right w:val="none" w:sz="0" w:space="0" w:color="auto"/>
          </w:divBdr>
        </w:div>
        <w:div w:id="738329561">
          <w:marLeft w:val="0"/>
          <w:marRight w:val="0"/>
          <w:marTop w:val="0"/>
          <w:marBottom w:val="0"/>
          <w:divBdr>
            <w:top w:val="none" w:sz="0" w:space="0" w:color="auto"/>
            <w:left w:val="none" w:sz="0" w:space="0" w:color="auto"/>
            <w:bottom w:val="none" w:sz="0" w:space="0" w:color="auto"/>
            <w:right w:val="none" w:sz="0" w:space="0" w:color="auto"/>
          </w:divBdr>
        </w:div>
        <w:div w:id="766539687">
          <w:marLeft w:val="0"/>
          <w:marRight w:val="0"/>
          <w:marTop w:val="0"/>
          <w:marBottom w:val="0"/>
          <w:divBdr>
            <w:top w:val="none" w:sz="0" w:space="0" w:color="auto"/>
            <w:left w:val="none" w:sz="0" w:space="0" w:color="auto"/>
            <w:bottom w:val="none" w:sz="0" w:space="0" w:color="auto"/>
            <w:right w:val="none" w:sz="0" w:space="0" w:color="auto"/>
          </w:divBdr>
        </w:div>
        <w:div w:id="814761948">
          <w:marLeft w:val="0"/>
          <w:marRight w:val="0"/>
          <w:marTop w:val="0"/>
          <w:marBottom w:val="0"/>
          <w:divBdr>
            <w:top w:val="none" w:sz="0" w:space="0" w:color="auto"/>
            <w:left w:val="none" w:sz="0" w:space="0" w:color="auto"/>
            <w:bottom w:val="none" w:sz="0" w:space="0" w:color="auto"/>
            <w:right w:val="none" w:sz="0" w:space="0" w:color="auto"/>
          </w:divBdr>
        </w:div>
        <w:div w:id="897323485">
          <w:marLeft w:val="0"/>
          <w:marRight w:val="0"/>
          <w:marTop w:val="0"/>
          <w:marBottom w:val="0"/>
          <w:divBdr>
            <w:top w:val="none" w:sz="0" w:space="0" w:color="auto"/>
            <w:left w:val="none" w:sz="0" w:space="0" w:color="auto"/>
            <w:bottom w:val="none" w:sz="0" w:space="0" w:color="auto"/>
            <w:right w:val="none" w:sz="0" w:space="0" w:color="auto"/>
          </w:divBdr>
        </w:div>
        <w:div w:id="956451479">
          <w:marLeft w:val="0"/>
          <w:marRight w:val="0"/>
          <w:marTop w:val="0"/>
          <w:marBottom w:val="0"/>
          <w:divBdr>
            <w:top w:val="none" w:sz="0" w:space="0" w:color="auto"/>
            <w:left w:val="none" w:sz="0" w:space="0" w:color="auto"/>
            <w:bottom w:val="none" w:sz="0" w:space="0" w:color="auto"/>
            <w:right w:val="none" w:sz="0" w:space="0" w:color="auto"/>
          </w:divBdr>
        </w:div>
        <w:div w:id="1027292865">
          <w:marLeft w:val="0"/>
          <w:marRight w:val="0"/>
          <w:marTop w:val="0"/>
          <w:marBottom w:val="0"/>
          <w:divBdr>
            <w:top w:val="none" w:sz="0" w:space="0" w:color="auto"/>
            <w:left w:val="none" w:sz="0" w:space="0" w:color="auto"/>
            <w:bottom w:val="none" w:sz="0" w:space="0" w:color="auto"/>
            <w:right w:val="none" w:sz="0" w:space="0" w:color="auto"/>
          </w:divBdr>
        </w:div>
        <w:div w:id="1049381007">
          <w:marLeft w:val="0"/>
          <w:marRight w:val="0"/>
          <w:marTop w:val="0"/>
          <w:marBottom w:val="0"/>
          <w:divBdr>
            <w:top w:val="none" w:sz="0" w:space="0" w:color="auto"/>
            <w:left w:val="none" w:sz="0" w:space="0" w:color="auto"/>
            <w:bottom w:val="none" w:sz="0" w:space="0" w:color="auto"/>
            <w:right w:val="none" w:sz="0" w:space="0" w:color="auto"/>
          </w:divBdr>
        </w:div>
        <w:div w:id="1226143700">
          <w:marLeft w:val="0"/>
          <w:marRight w:val="0"/>
          <w:marTop w:val="0"/>
          <w:marBottom w:val="0"/>
          <w:divBdr>
            <w:top w:val="none" w:sz="0" w:space="0" w:color="auto"/>
            <w:left w:val="none" w:sz="0" w:space="0" w:color="auto"/>
            <w:bottom w:val="none" w:sz="0" w:space="0" w:color="auto"/>
            <w:right w:val="none" w:sz="0" w:space="0" w:color="auto"/>
          </w:divBdr>
        </w:div>
        <w:div w:id="1273366763">
          <w:marLeft w:val="0"/>
          <w:marRight w:val="0"/>
          <w:marTop w:val="0"/>
          <w:marBottom w:val="0"/>
          <w:divBdr>
            <w:top w:val="none" w:sz="0" w:space="0" w:color="auto"/>
            <w:left w:val="none" w:sz="0" w:space="0" w:color="auto"/>
            <w:bottom w:val="none" w:sz="0" w:space="0" w:color="auto"/>
            <w:right w:val="none" w:sz="0" w:space="0" w:color="auto"/>
          </w:divBdr>
        </w:div>
        <w:div w:id="1293752070">
          <w:marLeft w:val="0"/>
          <w:marRight w:val="0"/>
          <w:marTop w:val="0"/>
          <w:marBottom w:val="0"/>
          <w:divBdr>
            <w:top w:val="none" w:sz="0" w:space="0" w:color="auto"/>
            <w:left w:val="none" w:sz="0" w:space="0" w:color="auto"/>
            <w:bottom w:val="none" w:sz="0" w:space="0" w:color="auto"/>
            <w:right w:val="none" w:sz="0" w:space="0" w:color="auto"/>
          </w:divBdr>
        </w:div>
        <w:div w:id="1295713079">
          <w:marLeft w:val="0"/>
          <w:marRight w:val="0"/>
          <w:marTop w:val="0"/>
          <w:marBottom w:val="0"/>
          <w:divBdr>
            <w:top w:val="none" w:sz="0" w:space="0" w:color="auto"/>
            <w:left w:val="none" w:sz="0" w:space="0" w:color="auto"/>
            <w:bottom w:val="none" w:sz="0" w:space="0" w:color="auto"/>
            <w:right w:val="none" w:sz="0" w:space="0" w:color="auto"/>
          </w:divBdr>
        </w:div>
        <w:div w:id="1302806349">
          <w:marLeft w:val="0"/>
          <w:marRight w:val="0"/>
          <w:marTop w:val="0"/>
          <w:marBottom w:val="0"/>
          <w:divBdr>
            <w:top w:val="none" w:sz="0" w:space="0" w:color="auto"/>
            <w:left w:val="none" w:sz="0" w:space="0" w:color="auto"/>
            <w:bottom w:val="none" w:sz="0" w:space="0" w:color="auto"/>
            <w:right w:val="none" w:sz="0" w:space="0" w:color="auto"/>
          </w:divBdr>
        </w:div>
        <w:div w:id="1509902587">
          <w:marLeft w:val="0"/>
          <w:marRight w:val="0"/>
          <w:marTop w:val="0"/>
          <w:marBottom w:val="0"/>
          <w:divBdr>
            <w:top w:val="none" w:sz="0" w:space="0" w:color="auto"/>
            <w:left w:val="none" w:sz="0" w:space="0" w:color="auto"/>
            <w:bottom w:val="none" w:sz="0" w:space="0" w:color="auto"/>
            <w:right w:val="none" w:sz="0" w:space="0" w:color="auto"/>
          </w:divBdr>
        </w:div>
        <w:div w:id="1553730171">
          <w:marLeft w:val="0"/>
          <w:marRight w:val="0"/>
          <w:marTop w:val="0"/>
          <w:marBottom w:val="0"/>
          <w:divBdr>
            <w:top w:val="none" w:sz="0" w:space="0" w:color="auto"/>
            <w:left w:val="none" w:sz="0" w:space="0" w:color="auto"/>
            <w:bottom w:val="none" w:sz="0" w:space="0" w:color="auto"/>
            <w:right w:val="none" w:sz="0" w:space="0" w:color="auto"/>
          </w:divBdr>
        </w:div>
        <w:div w:id="1627736823">
          <w:marLeft w:val="0"/>
          <w:marRight w:val="0"/>
          <w:marTop w:val="0"/>
          <w:marBottom w:val="0"/>
          <w:divBdr>
            <w:top w:val="none" w:sz="0" w:space="0" w:color="auto"/>
            <w:left w:val="none" w:sz="0" w:space="0" w:color="auto"/>
            <w:bottom w:val="none" w:sz="0" w:space="0" w:color="auto"/>
            <w:right w:val="none" w:sz="0" w:space="0" w:color="auto"/>
          </w:divBdr>
        </w:div>
        <w:div w:id="1653365614">
          <w:marLeft w:val="0"/>
          <w:marRight w:val="0"/>
          <w:marTop w:val="0"/>
          <w:marBottom w:val="0"/>
          <w:divBdr>
            <w:top w:val="none" w:sz="0" w:space="0" w:color="auto"/>
            <w:left w:val="none" w:sz="0" w:space="0" w:color="auto"/>
            <w:bottom w:val="none" w:sz="0" w:space="0" w:color="auto"/>
            <w:right w:val="none" w:sz="0" w:space="0" w:color="auto"/>
          </w:divBdr>
        </w:div>
        <w:div w:id="1741712463">
          <w:marLeft w:val="0"/>
          <w:marRight w:val="0"/>
          <w:marTop w:val="0"/>
          <w:marBottom w:val="0"/>
          <w:divBdr>
            <w:top w:val="none" w:sz="0" w:space="0" w:color="auto"/>
            <w:left w:val="none" w:sz="0" w:space="0" w:color="auto"/>
            <w:bottom w:val="none" w:sz="0" w:space="0" w:color="auto"/>
            <w:right w:val="none" w:sz="0" w:space="0" w:color="auto"/>
          </w:divBdr>
        </w:div>
        <w:div w:id="1887374909">
          <w:marLeft w:val="0"/>
          <w:marRight w:val="0"/>
          <w:marTop w:val="0"/>
          <w:marBottom w:val="0"/>
          <w:divBdr>
            <w:top w:val="none" w:sz="0" w:space="0" w:color="auto"/>
            <w:left w:val="none" w:sz="0" w:space="0" w:color="auto"/>
            <w:bottom w:val="none" w:sz="0" w:space="0" w:color="auto"/>
            <w:right w:val="none" w:sz="0" w:space="0" w:color="auto"/>
          </w:divBdr>
        </w:div>
        <w:div w:id="1951157452">
          <w:marLeft w:val="0"/>
          <w:marRight w:val="0"/>
          <w:marTop w:val="0"/>
          <w:marBottom w:val="0"/>
          <w:divBdr>
            <w:top w:val="none" w:sz="0" w:space="0" w:color="auto"/>
            <w:left w:val="none" w:sz="0" w:space="0" w:color="auto"/>
            <w:bottom w:val="none" w:sz="0" w:space="0" w:color="auto"/>
            <w:right w:val="none" w:sz="0" w:space="0" w:color="auto"/>
          </w:divBdr>
        </w:div>
        <w:div w:id="2075657967">
          <w:marLeft w:val="0"/>
          <w:marRight w:val="0"/>
          <w:marTop w:val="0"/>
          <w:marBottom w:val="0"/>
          <w:divBdr>
            <w:top w:val="none" w:sz="0" w:space="0" w:color="auto"/>
            <w:left w:val="none" w:sz="0" w:space="0" w:color="auto"/>
            <w:bottom w:val="none" w:sz="0" w:space="0" w:color="auto"/>
            <w:right w:val="none" w:sz="0" w:space="0" w:color="auto"/>
          </w:divBdr>
        </w:div>
        <w:div w:id="2090153335">
          <w:marLeft w:val="0"/>
          <w:marRight w:val="0"/>
          <w:marTop w:val="0"/>
          <w:marBottom w:val="0"/>
          <w:divBdr>
            <w:top w:val="none" w:sz="0" w:space="0" w:color="auto"/>
            <w:left w:val="none" w:sz="0" w:space="0" w:color="auto"/>
            <w:bottom w:val="none" w:sz="0" w:space="0" w:color="auto"/>
            <w:right w:val="none" w:sz="0" w:space="0" w:color="auto"/>
          </w:divBdr>
        </w:div>
        <w:div w:id="2134706714">
          <w:marLeft w:val="0"/>
          <w:marRight w:val="0"/>
          <w:marTop w:val="0"/>
          <w:marBottom w:val="0"/>
          <w:divBdr>
            <w:top w:val="none" w:sz="0" w:space="0" w:color="auto"/>
            <w:left w:val="none" w:sz="0" w:space="0" w:color="auto"/>
            <w:bottom w:val="none" w:sz="0" w:space="0" w:color="auto"/>
            <w:right w:val="none" w:sz="0" w:space="0" w:color="auto"/>
          </w:divBdr>
        </w:div>
      </w:divsChild>
    </w:div>
    <w:div w:id="1549027890">
      <w:bodyDiv w:val="1"/>
      <w:marLeft w:val="0"/>
      <w:marRight w:val="0"/>
      <w:marTop w:val="0"/>
      <w:marBottom w:val="0"/>
      <w:divBdr>
        <w:top w:val="none" w:sz="0" w:space="0" w:color="auto"/>
        <w:left w:val="none" w:sz="0" w:space="0" w:color="auto"/>
        <w:bottom w:val="none" w:sz="0" w:space="0" w:color="auto"/>
        <w:right w:val="none" w:sz="0" w:space="0" w:color="auto"/>
      </w:divBdr>
    </w:div>
    <w:div w:id="1580869024">
      <w:bodyDiv w:val="1"/>
      <w:marLeft w:val="0"/>
      <w:marRight w:val="0"/>
      <w:marTop w:val="0"/>
      <w:marBottom w:val="0"/>
      <w:divBdr>
        <w:top w:val="none" w:sz="0" w:space="0" w:color="auto"/>
        <w:left w:val="none" w:sz="0" w:space="0" w:color="auto"/>
        <w:bottom w:val="none" w:sz="0" w:space="0" w:color="auto"/>
        <w:right w:val="none" w:sz="0" w:space="0" w:color="auto"/>
      </w:divBdr>
    </w:div>
    <w:div w:id="1581252783">
      <w:bodyDiv w:val="1"/>
      <w:marLeft w:val="0"/>
      <w:marRight w:val="0"/>
      <w:marTop w:val="0"/>
      <w:marBottom w:val="0"/>
      <w:divBdr>
        <w:top w:val="none" w:sz="0" w:space="0" w:color="auto"/>
        <w:left w:val="none" w:sz="0" w:space="0" w:color="auto"/>
        <w:bottom w:val="none" w:sz="0" w:space="0" w:color="auto"/>
        <w:right w:val="none" w:sz="0" w:space="0" w:color="auto"/>
      </w:divBdr>
    </w:div>
    <w:div w:id="1588879076">
      <w:bodyDiv w:val="1"/>
      <w:marLeft w:val="0"/>
      <w:marRight w:val="0"/>
      <w:marTop w:val="0"/>
      <w:marBottom w:val="0"/>
      <w:divBdr>
        <w:top w:val="none" w:sz="0" w:space="0" w:color="auto"/>
        <w:left w:val="none" w:sz="0" w:space="0" w:color="auto"/>
        <w:bottom w:val="none" w:sz="0" w:space="0" w:color="auto"/>
        <w:right w:val="none" w:sz="0" w:space="0" w:color="auto"/>
      </w:divBdr>
    </w:div>
    <w:div w:id="1724938557">
      <w:bodyDiv w:val="1"/>
      <w:marLeft w:val="0"/>
      <w:marRight w:val="0"/>
      <w:marTop w:val="0"/>
      <w:marBottom w:val="0"/>
      <w:divBdr>
        <w:top w:val="none" w:sz="0" w:space="0" w:color="auto"/>
        <w:left w:val="none" w:sz="0" w:space="0" w:color="auto"/>
        <w:bottom w:val="none" w:sz="0" w:space="0" w:color="auto"/>
        <w:right w:val="none" w:sz="0" w:space="0" w:color="auto"/>
      </w:divBdr>
    </w:div>
    <w:div w:id="1728409520">
      <w:bodyDiv w:val="1"/>
      <w:marLeft w:val="0"/>
      <w:marRight w:val="0"/>
      <w:marTop w:val="0"/>
      <w:marBottom w:val="0"/>
      <w:divBdr>
        <w:top w:val="none" w:sz="0" w:space="0" w:color="auto"/>
        <w:left w:val="none" w:sz="0" w:space="0" w:color="auto"/>
        <w:bottom w:val="none" w:sz="0" w:space="0" w:color="auto"/>
        <w:right w:val="none" w:sz="0" w:space="0" w:color="auto"/>
      </w:divBdr>
    </w:div>
    <w:div w:id="1981425106">
      <w:bodyDiv w:val="1"/>
      <w:marLeft w:val="0"/>
      <w:marRight w:val="0"/>
      <w:marTop w:val="0"/>
      <w:marBottom w:val="0"/>
      <w:divBdr>
        <w:top w:val="none" w:sz="0" w:space="0" w:color="auto"/>
        <w:left w:val="none" w:sz="0" w:space="0" w:color="auto"/>
        <w:bottom w:val="none" w:sz="0" w:space="0" w:color="auto"/>
        <w:right w:val="none" w:sz="0" w:space="0" w:color="auto"/>
      </w:divBdr>
    </w:div>
    <w:div w:id="20059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hyperlink" Target="http://mn.gov/deed/data/export-sta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24737864206368143"/>
          <c:y val="8.5767071124306177E-2"/>
          <c:w val="0.48232820329277021"/>
          <c:h val="0.78279495288498768"/>
        </c:manualLayout>
      </c:layout>
      <c:pieChart>
        <c:varyColors val="1"/>
        <c:ser>
          <c:idx val="0"/>
          <c:order val="0"/>
          <c:tx>
            <c:strRef>
              <c:f>Sheet1!$B$1</c:f>
              <c:strCache>
                <c:ptCount val="1"/>
                <c:pt idx="0">
                  <c:v>  2,021  </c:v>
                </c:pt>
              </c:strCache>
            </c:strRef>
          </c:tx>
          <c:spPr>
            <a:ln>
              <a:solidFill>
                <a:schemeClr val="tx1">
                  <a:lumMod val="75000"/>
                  <a:lumOff val="25000"/>
                </a:schemeClr>
              </a:solidFill>
            </a:ln>
          </c:spPr>
          <c:dPt>
            <c:idx val="0"/>
            <c:bubble3D val="0"/>
            <c:spPr>
              <a:solidFill>
                <a:schemeClr val="accent1">
                  <a:shade val="45000"/>
                </a:schemeClr>
              </a:solidFill>
              <a:ln>
                <a:solidFill>
                  <a:schemeClr val="tx1">
                    <a:lumMod val="75000"/>
                    <a:lumOff val="25000"/>
                  </a:schemeClr>
                </a:solidFill>
              </a:ln>
              <a:effectLst/>
            </c:spPr>
            <c:extLst>
              <c:ext xmlns:c16="http://schemas.microsoft.com/office/drawing/2014/chart" uri="{C3380CC4-5D6E-409C-BE32-E72D297353CC}">
                <c16:uniqueId val="{00000001-ED29-4537-8016-AAA72727FCAA}"/>
              </c:ext>
            </c:extLst>
          </c:dPt>
          <c:dPt>
            <c:idx val="1"/>
            <c:bubble3D val="0"/>
            <c:spPr>
              <a:solidFill>
                <a:schemeClr val="accent1">
                  <a:shade val="61000"/>
                </a:schemeClr>
              </a:solidFill>
              <a:ln>
                <a:solidFill>
                  <a:schemeClr val="tx1">
                    <a:lumMod val="75000"/>
                    <a:lumOff val="25000"/>
                  </a:schemeClr>
                </a:solidFill>
              </a:ln>
              <a:effectLst/>
            </c:spPr>
            <c:extLst>
              <c:ext xmlns:c16="http://schemas.microsoft.com/office/drawing/2014/chart" uri="{C3380CC4-5D6E-409C-BE32-E72D297353CC}">
                <c16:uniqueId val="{00000003-ED29-4537-8016-AAA72727FCAA}"/>
              </c:ext>
            </c:extLst>
          </c:dPt>
          <c:dPt>
            <c:idx val="2"/>
            <c:bubble3D val="0"/>
            <c:spPr>
              <a:solidFill>
                <a:schemeClr val="accent1">
                  <a:shade val="76000"/>
                </a:schemeClr>
              </a:solidFill>
              <a:ln>
                <a:solidFill>
                  <a:schemeClr val="tx1">
                    <a:lumMod val="75000"/>
                    <a:lumOff val="25000"/>
                  </a:schemeClr>
                </a:solidFill>
              </a:ln>
              <a:effectLst/>
            </c:spPr>
            <c:extLst>
              <c:ext xmlns:c16="http://schemas.microsoft.com/office/drawing/2014/chart" uri="{C3380CC4-5D6E-409C-BE32-E72D297353CC}">
                <c16:uniqueId val="{00000005-ED29-4537-8016-AAA72727FCAA}"/>
              </c:ext>
            </c:extLst>
          </c:dPt>
          <c:dPt>
            <c:idx val="3"/>
            <c:bubble3D val="0"/>
            <c:spPr>
              <a:solidFill>
                <a:schemeClr val="accent1">
                  <a:shade val="92000"/>
                </a:schemeClr>
              </a:solidFill>
              <a:ln>
                <a:solidFill>
                  <a:schemeClr val="tx1">
                    <a:lumMod val="75000"/>
                    <a:lumOff val="25000"/>
                  </a:schemeClr>
                </a:solidFill>
              </a:ln>
              <a:effectLst/>
            </c:spPr>
            <c:extLst>
              <c:ext xmlns:c16="http://schemas.microsoft.com/office/drawing/2014/chart" uri="{C3380CC4-5D6E-409C-BE32-E72D297353CC}">
                <c16:uniqueId val="{00000007-ED29-4537-8016-AAA72727FCAA}"/>
              </c:ext>
            </c:extLst>
          </c:dPt>
          <c:dPt>
            <c:idx val="4"/>
            <c:bubble3D val="0"/>
            <c:spPr>
              <a:solidFill>
                <a:schemeClr val="accent1">
                  <a:tint val="93000"/>
                </a:schemeClr>
              </a:solidFill>
              <a:ln>
                <a:solidFill>
                  <a:schemeClr val="tx1">
                    <a:lumMod val="75000"/>
                    <a:lumOff val="25000"/>
                  </a:schemeClr>
                </a:solidFill>
              </a:ln>
              <a:effectLst/>
            </c:spPr>
            <c:extLst>
              <c:ext xmlns:c16="http://schemas.microsoft.com/office/drawing/2014/chart" uri="{C3380CC4-5D6E-409C-BE32-E72D297353CC}">
                <c16:uniqueId val="{00000009-ED29-4537-8016-AAA72727FCAA}"/>
              </c:ext>
            </c:extLst>
          </c:dPt>
          <c:dPt>
            <c:idx val="5"/>
            <c:bubble3D val="0"/>
            <c:spPr>
              <a:solidFill>
                <a:schemeClr val="accent1">
                  <a:tint val="77000"/>
                </a:schemeClr>
              </a:solidFill>
              <a:ln>
                <a:solidFill>
                  <a:schemeClr val="tx1">
                    <a:lumMod val="75000"/>
                    <a:lumOff val="25000"/>
                  </a:schemeClr>
                </a:solidFill>
              </a:ln>
              <a:effectLst/>
            </c:spPr>
            <c:extLst>
              <c:ext xmlns:c16="http://schemas.microsoft.com/office/drawing/2014/chart" uri="{C3380CC4-5D6E-409C-BE32-E72D297353CC}">
                <c16:uniqueId val="{0000000B-ED29-4537-8016-AAA72727FCAA}"/>
              </c:ext>
            </c:extLst>
          </c:dPt>
          <c:dPt>
            <c:idx val="6"/>
            <c:bubble3D val="0"/>
            <c:spPr>
              <a:solidFill>
                <a:schemeClr val="accent1">
                  <a:tint val="62000"/>
                </a:schemeClr>
              </a:solidFill>
              <a:ln>
                <a:solidFill>
                  <a:schemeClr val="tx1">
                    <a:lumMod val="75000"/>
                    <a:lumOff val="25000"/>
                  </a:schemeClr>
                </a:solidFill>
              </a:ln>
              <a:effectLst/>
            </c:spPr>
            <c:extLst>
              <c:ext xmlns:c16="http://schemas.microsoft.com/office/drawing/2014/chart" uri="{C3380CC4-5D6E-409C-BE32-E72D297353CC}">
                <c16:uniqueId val="{0000000D-ED29-4537-8016-AAA72727FCAA}"/>
              </c:ext>
            </c:extLst>
          </c:dPt>
          <c:dPt>
            <c:idx val="7"/>
            <c:bubble3D val="0"/>
            <c:spPr>
              <a:solidFill>
                <a:schemeClr val="accent1">
                  <a:tint val="46000"/>
                </a:schemeClr>
              </a:solidFill>
              <a:ln>
                <a:solidFill>
                  <a:schemeClr val="tx1">
                    <a:lumMod val="75000"/>
                    <a:lumOff val="25000"/>
                  </a:schemeClr>
                </a:solidFill>
              </a:ln>
              <a:effectLst/>
            </c:spPr>
            <c:extLst>
              <c:ext xmlns:c16="http://schemas.microsoft.com/office/drawing/2014/chart" uri="{C3380CC4-5D6E-409C-BE32-E72D297353CC}">
                <c16:uniqueId val="{0000000F-ED29-4537-8016-AAA72727FCAA}"/>
              </c:ext>
            </c:extLst>
          </c:dPt>
          <c:dLbls>
            <c:dLbl>
              <c:idx val="0"/>
              <c:layout>
                <c:manualLayout>
                  <c:x val="-1.8939393939394016E-2"/>
                  <c:y val="2.2398186394733444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5608380391844957"/>
                      <c:h val="0.28368131749924697"/>
                    </c:manualLayout>
                  </c15:layout>
                </c:ext>
                <c:ext xmlns:c16="http://schemas.microsoft.com/office/drawing/2014/chart" uri="{C3380CC4-5D6E-409C-BE32-E72D297353CC}">
                  <c16:uniqueId val="{00000001-ED29-4537-8016-AAA72727FCAA}"/>
                </c:ext>
              </c:extLst>
            </c:dLbl>
            <c:dLbl>
              <c:idx val="1"/>
              <c:layout>
                <c:manualLayout>
                  <c:x val="-6.3131313131312983E-3"/>
                  <c:y val="-0.12836205412847984"/>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581928205943955"/>
                      <c:h val="0.23844122456004474"/>
                    </c:manualLayout>
                  </c15:layout>
                </c:ext>
                <c:ext xmlns:c16="http://schemas.microsoft.com/office/drawing/2014/chart" uri="{C3380CC4-5D6E-409C-BE32-E72D297353CC}">
                  <c16:uniqueId val="{00000003-ED29-4537-8016-AAA72727FCAA}"/>
                </c:ext>
              </c:extLst>
            </c:dLbl>
            <c:dLbl>
              <c:idx val="2"/>
              <c:layout>
                <c:manualLayout>
                  <c:x val="6.3469007661921054E-2"/>
                  <c:y val="-0.18475861623854409"/>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884646994883217"/>
                      <c:h val="0.1920571403984338"/>
                    </c:manualLayout>
                  </c15:layout>
                </c:ext>
                <c:ext xmlns:c16="http://schemas.microsoft.com/office/drawing/2014/chart" uri="{C3380CC4-5D6E-409C-BE32-E72D297353CC}">
                  <c16:uniqueId val="{00000005-ED29-4537-8016-AAA72727FCAA}"/>
                </c:ext>
              </c:extLst>
            </c:dLbl>
            <c:dLbl>
              <c:idx val="3"/>
              <c:layout>
                <c:manualLayout>
                  <c:x val="8.6396113364617305E-2"/>
                  <c:y val="-2.5219439783141862E-3"/>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4029898724780616"/>
                      <c:h val="0.19037207951465082"/>
                    </c:manualLayout>
                  </c15:layout>
                </c:ext>
                <c:ext xmlns:c16="http://schemas.microsoft.com/office/drawing/2014/chart" uri="{C3380CC4-5D6E-409C-BE32-E72D297353CC}">
                  <c16:uniqueId val="{00000007-ED29-4537-8016-AAA72727FCAA}"/>
                </c:ext>
              </c:extLst>
            </c:dLbl>
            <c:dLbl>
              <c:idx val="4"/>
              <c:layout>
                <c:manualLayout>
                  <c:x val="-4.1876441581166012E-2"/>
                  <c:y val="2.0492072199991395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layout>
                    <c:manualLayout>
                      <c:w val="0.45656897054534851"/>
                      <c:h val="9.2144270900563638E-2"/>
                    </c:manualLayout>
                  </c15:layout>
                </c:ext>
                <c:ext xmlns:c16="http://schemas.microsoft.com/office/drawing/2014/chart" uri="{C3380CC4-5D6E-409C-BE32-E72D297353CC}">
                  <c16:uniqueId val="{00000009-ED29-4537-8016-AAA72727FCAA}"/>
                </c:ext>
              </c:extLst>
            </c:dLbl>
            <c:dLbl>
              <c:idx val="5"/>
              <c:layout>
                <c:manualLayout>
                  <c:x val="-6.4495347172512527E-2"/>
                  <c:y val="-6.5308614087173533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7264177205122087"/>
                      <c:h val="0.19364969235402951"/>
                    </c:manualLayout>
                  </c15:layout>
                </c:ext>
                <c:ext xmlns:c16="http://schemas.microsoft.com/office/drawing/2014/chart" uri="{C3380CC4-5D6E-409C-BE32-E72D297353CC}">
                  <c16:uniqueId val="{0000000B-ED29-4537-8016-AAA72727FCAA}"/>
                </c:ext>
              </c:extLst>
            </c:dLbl>
            <c:dLbl>
              <c:idx val="6"/>
              <c:layout>
                <c:manualLayout>
                  <c:x val="-2.695193403854821E-2"/>
                  <c:y val="-0.158195107783658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0087223945491665"/>
                      <c:h val="0.11401241340734047"/>
                    </c:manualLayout>
                  </c15:layout>
                </c:ext>
                <c:ext xmlns:c16="http://schemas.microsoft.com/office/drawing/2014/chart" uri="{C3380CC4-5D6E-409C-BE32-E72D297353CC}">
                  <c16:uniqueId val="{0000000D-ED29-4537-8016-AAA72727FCAA}"/>
                </c:ext>
              </c:extLst>
            </c:dLbl>
            <c:dLbl>
              <c:idx val="7"/>
              <c:layout>
                <c:manualLayout>
                  <c:x val="-1.3888888888888895E-2"/>
                  <c:y val="-7.98300436660664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883967629046367"/>
                      <c:h val="0.19127620258230052"/>
                    </c:manualLayout>
                  </c15:layout>
                </c:ext>
                <c:ext xmlns:c16="http://schemas.microsoft.com/office/drawing/2014/chart" uri="{C3380CC4-5D6E-409C-BE32-E72D297353CC}">
                  <c16:uniqueId val="{0000000F-ED29-4537-8016-AAA72727FCAA}"/>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eparator> </c:separator>
            <c:showLeaderLines val="1"/>
            <c:leaderLines>
              <c:spPr>
                <a:ln w="9525" cap="flat" cmpd="sng" algn="ctr">
                  <a:solidFill>
                    <a:schemeClr val="tx1">
                      <a:lumMod val="50000"/>
                      <a:lumOff val="50000"/>
                    </a:schemeClr>
                  </a:solidFill>
                  <a:prstDash val="solid"/>
                  <a:round/>
                </a:ln>
                <a:effectLst/>
              </c:spPr>
            </c:leaderLines>
            <c:extLst>
              <c:ext xmlns:c15="http://schemas.microsoft.com/office/drawing/2012/chart" uri="{CE6537A1-D6FC-4f65-9D91-7224C49458BB}"/>
            </c:extLst>
          </c:dLbls>
          <c:cat>
            <c:strRef>
              <c:f>Sheet1!$A$2:$A$10</c:f>
              <c:strCache>
                <c:ptCount val="8"/>
                <c:pt idx="0">
                  <c:v>Machines to make semiconductors</c:v>
                </c:pt>
                <c:pt idx="1">
                  <c:v>Centrifuges, filters</c:v>
                </c:pt>
                <c:pt idx="2">
                  <c:v>Spraying machines</c:v>
                </c:pt>
                <c:pt idx="3">
                  <c:v>Pumps for liquids</c:v>
                </c:pt>
                <c:pt idx="4">
                  <c:v>Specialized machines</c:v>
                </c:pt>
                <c:pt idx="5">
                  <c:v>Taps, valves for pipes</c:v>
                </c:pt>
                <c:pt idx="6">
                  <c:v>Computers</c:v>
                </c:pt>
                <c:pt idx="7">
                  <c:v>Other</c:v>
                </c:pt>
              </c:strCache>
              <c:extLst/>
            </c:strRef>
          </c:cat>
          <c:val>
            <c:numRef>
              <c:f>Sheet1!$B$2:$B$10</c:f>
              <c:numCache>
                <c:formatCode>_(* #,##0_);_(* \(#,##0\);_(* "-"??_);_(@_)</c:formatCode>
                <c:ptCount val="8"/>
                <c:pt idx="0">
                  <c:v>815112913</c:v>
                </c:pt>
                <c:pt idx="1">
                  <c:v>694235206</c:v>
                </c:pt>
                <c:pt idx="2">
                  <c:v>261015200</c:v>
                </c:pt>
                <c:pt idx="3">
                  <c:v>254271937</c:v>
                </c:pt>
                <c:pt idx="4">
                  <c:v>207981271</c:v>
                </c:pt>
                <c:pt idx="5" formatCode="_(&quot;$&quot;* #,##0_);_(&quot;$&quot;* \(#,##0\);_(&quot;$&quot;* &quot;-&quot;??_);_(@_)">
                  <c:v>194684620</c:v>
                </c:pt>
                <c:pt idx="6" formatCode="_(&quot;$&quot;* #,##0_);_(&quot;$&quot;* \(#,##0\);_(&quot;$&quot;* &quot;-&quot;??_);_(@_)">
                  <c:v>194095480</c:v>
                </c:pt>
                <c:pt idx="7">
                  <c:v>1537951251</c:v>
                </c:pt>
              </c:numCache>
              <c:extLst/>
            </c:numRef>
          </c:val>
          <c:extLst>
            <c:ext xmlns:c16="http://schemas.microsoft.com/office/drawing/2014/chart" uri="{C3380CC4-5D6E-409C-BE32-E72D297353CC}">
              <c16:uniqueId val="{00000012-ED29-4537-8016-AAA72727FCA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3175" cap="flat" cmpd="sng" algn="ctr">
      <a:noFill/>
      <a:prstDash val="solid"/>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3">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5F4D-CB18-4770-8543-9DBB6AD8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Minnesota Annual Export Statistics, 2021</vt:lpstr>
    </vt:vector>
  </TitlesOfParts>
  <Company>MN DEED</Company>
  <LinksUpToDate>false</LinksUpToDate>
  <CharactersWithSpaces>5152</CharactersWithSpaces>
  <SharedDoc>false</SharedDoc>
  <HLinks>
    <vt:vector size="12" baseType="variant">
      <vt:variant>
        <vt:i4>6488181</vt:i4>
      </vt:variant>
      <vt:variant>
        <vt:i4>9</vt:i4>
      </vt:variant>
      <vt:variant>
        <vt:i4>0</vt:i4>
      </vt:variant>
      <vt:variant>
        <vt:i4>5</vt:i4>
      </vt:variant>
      <vt:variant>
        <vt:lpwstr>http://www.deed.state.mn.us/facts/manufacturing.htm</vt:lpwstr>
      </vt:variant>
      <vt:variant>
        <vt:lpwstr/>
      </vt:variant>
      <vt:variant>
        <vt:i4>3211383</vt:i4>
      </vt:variant>
      <vt:variant>
        <vt:i4>6</vt:i4>
      </vt:variant>
      <vt:variant>
        <vt:i4>0</vt:i4>
      </vt:variant>
      <vt:variant>
        <vt:i4>5</vt:i4>
      </vt:variant>
      <vt:variant>
        <vt:lpwstr>http://www.exportminnesota.com/itradestats.htm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Minnesota Annual Export Statistics, 2021</dc:title>
  <dc:subject>Minnesota Annual Export Statistics, 2021</dc:subject>
  <dc:creator>Economic Analysis Unit (T. Ho-Kim)</dc:creator>
  <cp:keywords/>
  <dc:description>Prepared March 2022</dc:description>
  <cp:lastModifiedBy>Ho-Kim, Thu-Mai (DEED)</cp:lastModifiedBy>
  <cp:revision>4</cp:revision>
  <cp:lastPrinted>2019-03-11T18:11:00Z</cp:lastPrinted>
  <dcterms:created xsi:type="dcterms:W3CDTF">2022-03-16T13:01:00Z</dcterms:created>
  <dcterms:modified xsi:type="dcterms:W3CDTF">2022-03-16T13:16:00Z</dcterms:modified>
</cp:coreProperties>
</file>