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Arial"/>
          <w:b/>
          <w:color w:val="003865" w:themeColor="accent1"/>
          <w:sz w:val="26"/>
          <w:szCs w:val="24"/>
        </w:rPr>
        <w:id w:val="10729564"/>
        <w:docPartObj>
          <w:docPartGallery w:val="Cover Pages"/>
          <w:docPartUnique/>
        </w:docPartObj>
      </w:sdtPr>
      <w:sdtEndPr>
        <w:rPr>
          <w:i/>
        </w:rPr>
      </w:sdtEndPr>
      <w:sdtContent>
        <w:p w14:paraId="0F9BB045" w14:textId="77777777" w:rsidR="009A66AE" w:rsidRDefault="00100675" w:rsidP="00463AD5">
          <w:pPr>
            <w:pBdr>
              <w:bottom w:val="single" w:sz="6" w:space="1" w:color="auto"/>
            </w:pBdr>
            <w:jc w:val="right"/>
          </w:pPr>
          <w:r>
            <w:rPr>
              <w:noProof/>
              <w:lang w:bidi="ar-SA"/>
            </w:rPr>
            <w:drawing>
              <wp:inline distT="0" distB="0" distL="0" distR="0" wp14:anchorId="02C54BD7" wp14:editId="65FB2D0D">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p w14:paraId="62C5F96B" w14:textId="40770E44" w:rsidR="00C61688" w:rsidRPr="00463AD5" w:rsidRDefault="00873474" w:rsidP="00463AD5">
          <w:pPr>
            <w:pStyle w:val="Heading1"/>
          </w:pPr>
          <w:bookmarkStart w:id="0" w:name="_Toc154651365"/>
          <w:r>
            <w:t>30,000 Feet Direct Appropriation</w:t>
          </w:r>
          <w:bookmarkEnd w:id="0"/>
        </w:p>
        <w:p w14:paraId="5FFE5A1B" w14:textId="600C49AD" w:rsidR="007124DA" w:rsidRDefault="00873474" w:rsidP="005A5A73">
          <w:pPr>
            <w:jc w:val="right"/>
            <w:rPr>
              <w:color w:val="003865" w:themeColor="accent1"/>
              <w:sz w:val="28"/>
              <w:szCs w:val="28"/>
            </w:rPr>
          </w:pPr>
          <w:bookmarkStart w:id="1" w:name="_Toc477437899"/>
          <w:r>
            <w:rPr>
              <w:color w:val="003865" w:themeColor="accent1"/>
              <w:sz w:val="28"/>
              <w:szCs w:val="28"/>
            </w:rPr>
            <w:t>Legislative Report</w:t>
          </w:r>
        </w:p>
        <w:p w14:paraId="3BD3AEA7" w14:textId="77420F96" w:rsidR="005A5A73" w:rsidRPr="005A5A73" w:rsidRDefault="00873474" w:rsidP="005A5A73">
          <w:pPr>
            <w:pBdr>
              <w:bottom w:val="single" w:sz="4" w:space="15" w:color="auto"/>
            </w:pBdr>
            <w:jc w:val="right"/>
            <w:rPr>
              <w:color w:val="003865" w:themeColor="accent1"/>
              <w:sz w:val="28"/>
              <w:szCs w:val="28"/>
            </w:rPr>
          </w:pPr>
          <w:r>
            <w:rPr>
              <w:color w:val="003865" w:themeColor="accent1"/>
              <w:sz w:val="28"/>
              <w:szCs w:val="28"/>
            </w:rPr>
            <w:t>1</w:t>
          </w:r>
          <w:r w:rsidR="008A7204">
            <w:rPr>
              <w:color w:val="003865" w:themeColor="accent1"/>
              <w:sz w:val="28"/>
              <w:szCs w:val="28"/>
            </w:rPr>
            <w:t>2</w:t>
          </w:r>
          <w:r w:rsidR="005A5A73">
            <w:rPr>
              <w:color w:val="003865" w:themeColor="accent1"/>
              <w:sz w:val="28"/>
              <w:szCs w:val="28"/>
            </w:rPr>
            <w:t>/</w:t>
          </w:r>
          <w:r w:rsidR="00634E82">
            <w:rPr>
              <w:color w:val="003865" w:themeColor="accent1"/>
              <w:sz w:val="28"/>
              <w:szCs w:val="28"/>
            </w:rPr>
            <w:t>2</w:t>
          </w:r>
          <w:r w:rsidR="008A7204">
            <w:rPr>
              <w:color w:val="003865" w:themeColor="accent1"/>
              <w:sz w:val="28"/>
              <w:szCs w:val="28"/>
            </w:rPr>
            <w:t>8</w:t>
          </w:r>
          <w:r w:rsidR="005A5A73">
            <w:rPr>
              <w:color w:val="003865" w:themeColor="accent1"/>
              <w:sz w:val="28"/>
              <w:szCs w:val="28"/>
            </w:rPr>
            <w:t>/</w:t>
          </w:r>
          <w:r>
            <w:rPr>
              <w:color w:val="003865" w:themeColor="accent1"/>
              <w:sz w:val="28"/>
              <w:szCs w:val="28"/>
            </w:rPr>
            <w:t>202</w:t>
          </w:r>
          <w:r w:rsidR="00B027A8">
            <w:rPr>
              <w:color w:val="003865" w:themeColor="accent1"/>
              <w:sz w:val="28"/>
              <w:szCs w:val="28"/>
            </w:rPr>
            <w:t>3</w:t>
          </w:r>
        </w:p>
        <w:bookmarkEnd w:id="1"/>
        <w:p w14:paraId="42E00546" w14:textId="77777777" w:rsidR="00074A30" w:rsidRPr="00074A30" w:rsidRDefault="00074A30" w:rsidP="00074A30">
          <w:pPr>
            <w:sectPr w:rsidR="00074A30" w:rsidRPr="00074A30" w:rsidSect="00B545E5">
              <w:headerReference w:type="even" r:id="rId12"/>
              <w:headerReference w:type="default" r:id="rId13"/>
              <w:footerReference w:type="even" r:id="rId14"/>
              <w:footerReference w:type="default" r:id="rId15"/>
              <w:headerReference w:type="first" r:id="rId16"/>
              <w:footerReference w:type="first" r:id="rId17"/>
              <w:pgSz w:w="12240" w:h="15840" w:code="1"/>
              <w:pgMar w:top="1728" w:right="1080" w:bottom="1440" w:left="1080" w:header="0" w:footer="504" w:gutter="0"/>
              <w:cols w:space="720"/>
              <w:vAlign w:val="center"/>
              <w:titlePg/>
              <w:docGrid w:linePitch="326"/>
            </w:sectPr>
          </w:pPr>
        </w:p>
        <w:p w14:paraId="3F7A76D2" w14:textId="77777777" w:rsidR="00873474" w:rsidRPr="00FF033F" w:rsidRDefault="00873474" w:rsidP="00873474">
          <w:pPr>
            <w:rPr>
              <w:rStyle w:val="Hyperlink"/>
            </w:rPr>
          </w:pPr>
          <w:r>
            <w:lastRenderedPageBreak/>
            <w:t>Department of Employment and Economic Development</w:t>
          </w:r>
          <w:r w:rsidRPr="0042247B">
            <w:br/>
          </w:r>
          <w:r>
            <w:t>Office of Youth Development</w:t>
          </w:r>
          <w:r>
            <w:br/>
            <w:t>332 Minnesota Street Ste. E200</w:t>
          </w:r>
          <w:r w:rsidRPr="0042247B">
            <w:t xml:space="preserve"> </w:t>
          </w:r>
          <w:r w:rsidRPr="0042247B">
            <w:br/>
            <w:t xml:space="preserve">St. Paul, MN </w:t>
          </w:r>
          <w:r>
            <w:t>55101</w:t>
          </w:r>
          <w:r>
            <w:br/>
            <w:t>(P</w:t>
          </w:r>
          <w:r w:rsidRPr="0042247B">
            <w:t xml:space="preserve">hone) </w:t>
          </w:r>
          <w:r>
            <w:t>651-259-7555</w:t>
          </w:r>
          <w:r w:rsidRPr="0042247B">
            <w:t xml:space="preserve"> </w:t>
          </w:r>
          <w:r w:rsidRPr="0042247B">
            <w:br/>
          </w:r>
          <w:hyperlink r:id="rId18" w:history="1">
            <w:r w:rsidRPr="00C90DA5">
              <w:rPr>
                <w:rStyle w:val="Hyperlink"/>
              </w:rPr>
              <w:t>Kay.Tracy@state.mn.us</w:t>
            </w:r>
          </w:hyperlink>
          <w:r w:rsidRPr="0013434B">
            <w:rPr>
              <w:rStyle w:val="Hyperlink"/>
            </w:rPr>
            <w:br/>
          </w:r>
          <w:hyperlink r:id="rId19" w:history="1">
            <w:r w:rsidRPr="00FF033F">
              <w:rPr>
                <w:rStyle w:val="Hyperlink"/>
                <w:rFonts w:eastAsiaTheme="majorEastAsia"/>
              </w:rPr>
              <w:t>mn.gov/deed/programs-services/office-youth-development/</w:t>
            </w:r>
          </w:hyperlink>
        </w:p>
        <w:p w14:paraId="64B92D80" w14:textId="2AB2E4A5" w:rsidR="00F6052E" w:rsidRPr="0042247B" w:rsidRDefault="00F6052E" w:rsidP="00F6052E">
          <w:r w:rsidRPr="0042247B">
            <w:t xml:space="preserve">As requested by Minnesota Statute 3.197: This report cost </w:t>
          </w:r>
          <w:r w:rsidRPr="005140EC">
            <w:t>approximately $ to prepare,</w:t>
          </w:r>
          <w:r w:rsidRPr="0042247B">
            <w:t xml:space="preserve"> including staff time, </w:t>
          </w:r>
          <w:proofErr w:type="gramStart"/>
          <w:r w:rsidRPr="0042247B">
            <w:t>printing</w:t>
          </w:r>
          <w:proofErr w:type="gramEnd"/>
          <w:r w:rsidRPr="0042247B">
            <w:t xml:space="preserve"> and mailing expenses.</w:t>
          </w:r>
        </w:p>
        <w:p w14:paraId="2F137DF7" w14:textId="77777777" w:rsidR="00F6052E" w:rsidRDefault="00F6052E" w:rsidP="00F6052E">
          <w:pPr>
            <w:rPr>
              <w:rStyle w:val="Emphasis"/>
            </w:rPr>
          </w:pPr>
          <w:r w:rsidRPr="00BE1756">
            <w:rPr>
              <w:rStyle w:val="Emphasis"/>
            </w:rPr>
            <w:t xml:space="preserve">Upon request, this material will be made available in an alternative format such as large print, </w:t>
          </w:r>
          <w:proofErr w:type="gramStart"/>
          <w:r w:rsidRPr="00BE1756">
            <w:rPr>
              <w:rStyle w:val="Emphasis"/>
            </w:rPr>
            <w:t>Braille</w:t>
          </w:r>
          <w:proofErr w:type="gramEnd"/>
          <w:r w:rsidRPr="00BE1756">
            <w:rPr>
              <w:rStyle w:val="Emphasis"/>
            </w:rPr>
            <w:t xml:space="preserve"> or audio recording. Printed on recycled paper.</w:t>
          </w:r>
        </w:p>
        <w:p w14:paraId="19D426E1" w14:textId="77777777" w:rsidR="00074A30" w:rsidRDefault="00074A30">
          <w:pPr>
            <w:spacing w:before="120" w:after="0"/>
            <w:rPr>
              <w:rStyle w:val="Emphasis"/>
            </w:rPr>
            <w:sectPr w:rsidR="00074A30" w:rsidSect="00074A30">
              <w:pgSz w:w="12240" w:h="15840" w:code="1"/>
              <w:pgMar w:top="1728" w:right="1080" w:bottom="1440" w:left="1080" w:header="0" w:footer="504" w:gutter="0"/>
              <w:cols w:space="720"/>
              <w:vAlign w:val="center"/>
              <w:titlePg/>
              <w:docGrid w:linePitch="326"/>
            </w:sectPr>
          </w:pPr>
        </w:p>
        <w:bookmarkStart w:id="2" w:name="_Toc154651366" w:displacedByCustomXml="next"/>
        <w:bookmarkStart w:id="3"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0DFE8533" w14:textId="77777777" w:rsidR="00A660F1" w:rsidRDefault="00014777" w:rsidP="00014777">
              <w:pPr>
                <w:pStyle w:val="Heading2"/>
                <w:rPr>
                  <w:noProof/>
                </w:rPr>
              </w:pPr>
              <w:r>
                <w:t>Contents</w:t>
              </w:r>
              <w:bookmarkEnd w:id="2"/>
              <w:r>
                <w:rPr>
                  <w:rFonts w:asciiTheme="majorHAnsi" w:hAnsiTheme="majorHAnsi"/>
                  <w:color w:val="00294B" w:themeColor="accent1" w:themeShade="BF"/>
                  <w:sz w:val="28"/>
                  <w:szCs w:val="28"/>
                </w:rPr>
                <w:fldChar w:fldCharType="begin"/>
              </w:r>
              <w:r>
                <w:instrText xml:space="preserve"> TOC \o "1-3" \h \z \u </w:instrText>
              </w:r>
              <w:r>
                <w:rPr>
                  <w:rFonts w:asciiTheme="majorHAnsi" w:hAnsiTheme="majorHAnsi"/>
                  <w:color w:val="00294B" w:themeColor="accent1" w:themeShade="BF"/>
                  <w:sz w:val="28"/>
                  <w:szCs w:val="28"/>
                </w:rPr>
                <w:fldChar w:fldCharType="separate"/>
              </w:r>
            </w:p>
            <w:p w14:paraId="7848A64D" w14:textId="4B2ED32D" w:rsidR="00A660F1" w:rsidRDefault="00A660F1">
              <w:pPr>
                <w:pStyle w:val="TOC1"/>
                <w:tabs>
                  <w:tab w:val="right" w:leader="dot" w:pos="10070"/>
                </w:tabs>
                <w:rPr>
                  <w:rFonts w:asciiTheme="minorHAnsi" w:eastAsiaTheme="minorEastAsia" w:hAnsiTheme="minorHAnsi" w:cstheme="minorBidi"/>
                  <w:noProof/>
                  <w:lang w:bidi="ar-SA"/>
                </w:rPr>
              </w:pPr>
              <w:hyperlink w:anchor="_Toc154651365" w:history="1">
                <w:r w:rsidRPr="001953BC">
                  <w:rPr>
                    <w:rStyle w:val="Hyperlink"/>
                    <w:noProof/>
                  </w:rPr>
                  <w:t>30,000 Feet Direct Appropriation</w:t>
                </w:r>
                <w:r>
                  <w:rPr>
                    <w:noProof/>
                    <w:webHidden/>
                  </w:rPr>
                  <w:tab/>
                </w:r>
                <w:r>
                  <w:rPr>
                    <w:noProof/>
                    <w:webHidden/>
                  </w:rPr>
                  <w:fldChar w:fldCharType="begin"/>
                </w:r>
                <w:r>
                  <w:rPr>
                    <w:noProof/>
                    <w:webHidden/>
                  </w:rPr>
                  <w:instrText xml:space="preserve"> PAGEREF _Toc154651365 \h </w:instrText>
                </w:r>
                <w:r>
                  <w:rPr>
                    <w:noProof/>
                    <w:webHidden/>
                  </w:rPr>
                </w:r>
                <w:r>
                  <w:rPr>
                    <w:noProof/>
                    <w:webHidden/>
                  </w:rPr>
                  <w:fldChar w:fldCharType="separate"/>
                </w:r>
                <w:r>
                  <w:rPr>
                    <w:noProof/>
                    <w:webHidden/>
                  </w:rPr>
                  <w:t>1</w:t>
                </w:r>
                <w:r>
                  <w:rPr>
                    <w:noProof/>
                    <w:webHidden/>
                  </w:rPr>
                  <w:fldChar w:fldCharType="end"/>
                </w:r>
              </w:hyperlink>
            </w:p>
            <w:p w14:paraId="1620E1B2" w14:textId="1873BEC2" w:rsidR="00A660F1" w:rsidRDefault="00A660F1">
              <w:pPr>
                <w:pStyle w:val="TOC2"/>
                <w:tabs>
                  <w:tab w:val="right" w:leader="dot" w:pos="10070"/>
                </w:tabs>
                <w:rPr>
                  <w:rFonts w:asciiTheme="minorHAnsi" w:eastAsiaTheme="minorEastAsia" w:hAnsiTheme="minorHAnsi" w:cstheme="minorBidi"/>
                  <w:noProof/>
                  <w:lang w:bidi="ar-SA"/>
                </w:rPr>
              </w:pPr>
              <w:hyperlink w:anchor="_Toc154651366" w:history="1">
                <w:r w:rsidRPr="001953BC">
                  <w:rPr>
                    <w:rStyle w:val="Hyperlink"/>
                    <w:noProof/>
                  </w:rPr>
                  <w:t>Contents</w:t>
                </w:r>
                <w:r>
                  <w:rPr>
                    <w:noProof/>
                    <w:webHidden/>
                  </w:rPr>
                  <w:tab/>
                </w:r>
                <w:r>
                  <w:rPr>
                    <w:noProof/>
                    <w:webHidden/>
                  </w:rPr>
                  <w:fldChar w:fldCharType="begin"/>
                </w:r>
                <w:r>
                  <w:rPr>
                    <w:noProof/>
                    <w:webHidden/>
                  </w:rPr>
                  <w:instrText xml:space="preserve"> PAGEREF _Toc154651366 \h </w:instrText>
                </w:r>
                <w:r>
                  <w:rPr>
                    <w:noProof/>
                    <w:webHidden/>
                  </w:rPr>
                </w:r>
                <w:r>
                  <w:rPr>
                    <w:noProof/>
                    <w:webHidden/>
                  </w:rPr>
                  <w:fldChar w:fldCharType="separate"/>
                </w:r>
                <w:r>
                  <w:rPr>
                    <w:noProof/>
                    <w:webHidden/>
                  </w:rPr>
                  <w:t>3</w:t>
                </w:r>
                <w:r>
                  <w:rPr>
                    <w:noProof/>
                    <w:webHidden/>
                  </w:rPr>
                  <w:fldChar w:fldCharType="end"/>
                </w:r>
              </w:hyperlink>
            </w:p>
            <w:p w14:paraId="067F17C0" w14:textId="199AA85A" w:rsidR="00A660F1" w:rsidRDefault="00A660F1">
              <w:pPr>
                <w:pStyle w:val="TOC2"/>
                <w:tabs>
                  <w:tab w:val="right" w:leader="dot" w:pos="10070"/>
                </w:tabs>
                <w:rPr>
                  <w:rFonts w:asciiTheme="minorHAnsi" w:eastAsiaTheme="minorEastAsia" w:hAnsiTheme="minorHAnsi" w:cstheme="minorBidi"/>
                  <w:noProof/>
                  <w:lang w:bidi="ar-SA"/>
                </w:rPr>
              </w:pPr>
              <w:hyperlink w:anchor="_Toc154651367" w:history="1">
                <w:r w:rsidRPr="001953BC">
                  <w:rPr>
                    <w:rStyle w:val="Hyperlink"/>
                    <w:noProof/>
                  </w:rPr>
                  <w:t>Program Overview</w:t>
                </w:r>
                <w:r>
                  <w:rPr>
                    <w:noProof/>
                    <w:webHidden/>
                  </w:rPr>
                  <w:tab/>
                </w:r>
                <w:r>
                  <w:rPr>
                    <w:noProof/>
                    <w:webHidden/>
                  </w:rPr>
                  <w:fldChar w:fldCharType="begin"/>
                </w:r>
                <w:r>
                  <w:rPr>
                    <w:noProof/>
                    <w:webHidden/>
                  </w:rPr>
                  <w:instrText xml:space="preserve"> PAGEREF _Toc154651367 \h </w:instrText>
                </w:r>
                <w:r>
                  <w:rPr>
                    <w:noProof/>
                    <w:webHidden/>
                  </w:rPr>
                </w:r>
                <w:r>
                  <w:rPr>
                    <w:noProof/>
                    <w:webHidden/>
                  </w:rPr>
                  <w:fldChar w:fldCharType="separate"/>
                </w:r>
                <w:r>
                  <w:rPr>
                    <w:noProof/>
                    <w:webHidden/>
                  </w:rPr>
                  <w:t>4</w:t>
                </w:r>
                <w:r>
                  <w:rPr>
                    <w:noProof/>
                    <w:webHidden/>
                  </w:rPr>
                  <w:fldChar w:fldCharType="end"/>
                </w:r>
              </w:hyperlink>
            </w:p>
            <w:p w14:paraId="54BEC90F" w14:textId="690566D6" w:rsidR="00A660F1" w:rsidRDefault="00A660F1">
              <w:pPr>
                <w:pStyle w:val="TOC3"/>
                <w:tabs>
                  <w:tab w:val="right" w:leader="dot" w:pos="10070"/>
                </w:tabs>
                <w:rPr>
                  <w:rFonts w:asciiTheme="minorHAnsi" w:eastAsiaTheme="minorEastAsia" w:hAnsiTheme="minorHAnsi" w:cstheme="minorBidi"/>
                  <w:noProof/>
                  <w:lang w:bidi="ar-SA"/>
                </w:rPr>
              </w:pPr>
              <w:hyperlink w:anchor="_Toc154651368" w:history="1">
                <w:r w:rsidRPr="001953BC">
                  <w:rPr>
                    <w:rStyle w:val="Hyperlink"/>
                    <w:noProof/>
                  </w:rPr>
                  <w:t>Legislative Appropriation</w:t>
                </w:r>
                <w:r>
                  <w:rPr>
                    <w:noProof/>
                    <w:webHidden/>
                  </w:rPr>
                  <w:tab/>
                </w:r>
                <w:r>
                  <w:rPr>
                    <w:noProof/>
                    <w:webHidden/>
                  </w:rPr>
                  <w:fldChar w:fldCharType="begin"/>
                </w:r>
                <w:r>
                  <w:rPr>
                    <w:noProof/>
                    <w:webHidden/>
                  </w:rPr>
                  <w:instrText xml:space="preserve"> PAGEREF _Toc154651368 \h </w:instrText>
                </w:r>
                <w:r>
                  <w:rPr>
                    <w:noProof/>
                    <w:webHidden/>
                  </w:rPr>
                </w:r>
                <w:r>
                  <w:rPr>
                    <w:noProof/>
                    <w:webHidden/>
                  </w:rPr>
                  <w:fldChar w:fldCharType="separate"/>
                </w:r>
                <w:r>
                  <w:rPr>
                    <w:noProof/>
                    <w:webHidden/>
                  </w:rPr>
                  <w:t>4</w:t>
                </w:r>
                <w:r>
                  <w:rPr>
                    <w:noProof/>
                    <w:webHidden/>
                  </w:rPr>
                  <w:fldChar w:fldCharType="end"/>
                </w:r>
              </w:hyperlink>
            </w:p>
            <w:p w14:paraId="36343A03" w14:textId="3FCD91C0" w:rsidR="00A660F1" w:rsidRDefault="00A660F1">
              <w:pPr>
                <w:pStyle w:val="TOC3"/>
                <w:tabs>
                  <w:tab w:val="right" w:leader="dot" w:pos="10070"/>
                </w:tabs>
                <w:rPr>
                  <w:rFonts w:asciiTheme="minorHAnsi" w:eastAsiaTheme="minorEastAsia" w:hAnsiTheme="minorHAnsi" w:cstheme="minorBidi"/>
                  <w:noProof/>
                  <w:lang w:bidi="ar-SA"/>
                </w:rPr>
              </w:pPr>
              <w:hyperlink w:anchor="_Toc154651369" w:history="1">
                <w:r w:rsidRPr="001953BC">
                  <w:rPr>
                    <w:rStyle w:val="Hyperlink"/>
                    <w:noProof/>
                  </w:rPr>
                  <w:t>Program Eligibility</w:t>
                </w:r>
                <w:r>
                  <w:rPr>
                    <w:noProof/>
                    <w:webHidden/>
                  </w:rPr>
                  <w:tab/>
                </w:r>
                <w:r>
                  <w:rPr>
                    <w:noProof/>
                    <w:webHidden/>
                  </w:rPr>
                  <w:fldChar w:fldCharType="begin"/>
                </w:r>
                <w:r>
                  <w:rPr>
                    <w:noProof/>
                    <w:webHidden/>
                  </w:rPr>
                  <w:instrText xml:space="preserve"> PAGEREF _Toc154651369 \h </w:instrText>
                </w:r>
                <w:r>
                  <w:rPr>
                    <w:noProof/>
                    <w:webHidden/>
                  </w:rPr>
                </w:r>
                <w:r>
                  <w:rPr>
                    <w:noProof/>
                    <w:webHidden/>
                  </w:rPr>
                  <w:fldChar w:fldCharType="separate"/>
                </w:r>
                <w:r>
                  <w:rPr>
                    <w:noProof/>
                    <w:webHidden/>
                  </w:rPr>
                  <w:t>4</w:t>
                </w:r>
                <w:r>
                  <w:rPr>
                    <w:noProof/>
                    <w:webHidden/>
                  </w:rPr>
                  <w:fldChar w:fldCharType="end"/>
                </w:r>
              </w:hyperlink>
            </w:p>
            <w:p w14:paraId="0CA25EB5" w14:textId="5641FAC1" w:rsidR="00A660F1" w:rsidRDefault="00A660F1">
              <w:pPr>
                <w:pStyle w:val="TOC3"/>
                <w:tabs>
                  <w:tab w:val="right" w:leader="dot" w:pos="10070"/>
                </w:tabs>
                <w:rPr>
                  <w:rFonts w:asciiTheme="minorHAnsi" w:eastAsiaTheme="minorEastAsia" w:hAnsiTheme="minorHAnsi" w:cstheme="minorBidi"/>
                  <w:noProof/>
                  <w:lang w:bidi="ar-SA"/>
                </w:rPr>
              </w:pPr>
              <w:hyperlink w:anchor="_Toc154651370" w:history="1">
                <w:r w:rsidRPr="001953BC">
                  <w:rPr>
                    <w:rStyle w:val="Hyperlink"/>
                    <w:noProof/>
                  </w:rPr>
                  <w:t>Program Activities</w:t>
                </w:r>
                <w:r>
                  <w:rPr>
                    <w:noProof/>
                    <w:webHidden/>
                  </w:rPr>
                  <w:tab/>
                </w:r>
                <w:r>
                  <w:rPr>
                    <w:noProof/>
                    <w:webHidden/>
                  </w:rPr>
                  <w:fldChar w:fldCharType="begin"/>
                </w:r>
                <w:r>
                  <w:rPr>
                    <w:noProof/>
                    <w:webHidden/>
                  </w:rPr>
                  <w:instrText xml:space="preserve"> PAGEREF _Toc154651370 \h </w:instrText>
                </w:r>
                <w:r>
                  <w:rPr>
                    <w:noProof/>
                    <w:webHidden/>
                  </w:rPr>
                </w:r>
                <w:r>
                  <w:rPr>
                    <w:noProof/>
                    <w:webHidden/>
                  </w:rPr>
                  <w:fldChar w:fldCharType="separate"/>
                </w:r>
                <w:r>
                  <w:rPr>
                    <w:noProof/>
                    <w:webHidden/>
                  </w:rPr>
                  <w:t>4</w:t>
                </w:r>
                <w:r>
                  <w:rPr>
                    <w:noProof/>
                    <w:webHidden/>
                  </w:rPr>
                  <w:fldChar w:fldCharType="end"/>
                </w:r>
              </w:hyperlink>
            </w:p>
            <w:p w14:paraId="4C180285" w14:textId="6D48840D" w:rsidR="00A660F1" w:rsidRDefault="00A660F1">
              <w:pPr>
                <w:pStyle w:val="TOC3"/>
                <w:tabs>
                  <w:tab w:val="right" w:leader="dot" w:pos="10070"/>
                </w:tabs>
                <w:rPr>
                  <w:rFonts w:asciiTheme="minorHAnsi" w:eastAsiaTheme="minorEastAsia" w:hAnsiTheme="minorHAnsi" w:cstheme="minorBidi"/>
                  <w:noProof/>
                  <w:lang w:bidi="ar-SA"/>
                </w:rPr>
              </w:pPr>
              <w:hyperlink w:anchor="_Toc154651371" w:history="1">
                <w:r w:rsidRPr="001953BC">
                  <w:rPr>
                    <w:rStyle w:val="Hyperlink"/>
                    <w:noProof/>
                  </w:rPr>
                  <w:t>Business Partnership and Success Stories</w:t>
                </w:r>
                <w:r>
                  <w:rPr>
                    <w:noProof/>
                    <w:webHidden/>
                  </w:rPr>
                  <w:tab/>
                </w:r>
                <w:r>
                  <w:rPr>
                    <w:noProof/>
                    <w:webHidden/>
                  </w:rPr>
                  <w:fldChar w:fldCharType="begin"/>
                </w:r>
                <w:r>
                  <w:rPr>
                    <w:noProof/>
                    <w:webHidden/>
                  </w:rPr>
                  <w:instrText xml:space="preserve"> PAGEREF _Toc154651371 \h </w:instrText>
                </w:r>
                <w:r>
                  <w:rPr>
                    <w:noProof/>
                    <w:webHidden/>
                  </w:rPr>
                </w:r>
                <w:r>
                  <w:rPr>
                    <w:noProof/>
                    <w:webHidden/>
                  </w:rPr>
                  <w:fldChar w:fldCharType="separate"/>
                </w:r>
                <w:r>
                  <w:rPr>
                    <w:noProof/>
                    <w:webHidden/>
                  </w:rPr>
                  <w:t>5</w:t>
                </w:r>
                <w:r>
                  <w:rPr>
                    <w:noProof/>
                    <w:webHidden/>
                  </w:rPr>
                  <w:fldChar w:fldCharType="end"/>
                </w:r>
              </w:hyperlink>
            </w:p>
            <w:p w14:paraId="50258E12" w14:textId="1F527F9E" w:rsidR="00A660F1" w:rsidRDefault="00A660F1">
              <w:pPr>
                <w:pStyle w:val="TOC3"/>
                <w:tabs>
                  <w:tab w:val="right" w:leader="dot" w:pos="10070"/>
                </w:tabs>
                <w:rPr>
                  <w:rFonts w:asciiTheme="minorHAnsi" w:eastAsiaTheme="minorEastAsia" w:hAnsiTheme="minorHAnsi" w:cstheme="minorBidi"/>
                  <w:noProof/>
                  <w:lang w:bidi="ar-SA"/>
                </w:rPr>
              </w:pPr>
              <w:hyperlink w:anchor="_Toc154651372" w:history="1">
                <w:r w:rsidRPr="001953BC">
                  <w:rPr>
                    <w:rStyle w:val="Hyperlink"/>
                    <w:noProof/>
                  </w:rPr>
                  <w:t>Program Data and Outcomes</w:t>
                </w:r>
                <w:r>
                  <w:rPr>
                    <w:noProof/>
                    <w:webHidden/>
                  </w:rPr>
                  <w:tab/>
                </w:r>
                <w:r>
                  <w:rPr>
                    <w:noProof/>
                    <w:webHidden/>
                  </w:rPr>
                  <w:fldChar w:fldCharType="begin"/>
                </w:r>
                <w:r>
                  <w:rPr>
                    <w:noProof/>
                    <w:webHidden/>
                  </w:rPr>
                  <w:instrText xml:space="preserve"> PAGEREF _Toc154651372 \h </w:instrText>
                </w:r>
                <w:r>
                  <w:rPr>
                    <w:noProof/>
                    <w:webHidden/>
                  </w:rPr>
                </w:r>
                <w:r>
                  <w:rPr>
                    <w:noProof/>
                    <w:webHidden/>
                  </w:rPr>
                  <w:fldChar w:fldCharType="separate"/>
                </w:r>
                <w:r>
                  <w:rPr>
                    <w:noProof/>
                    <w:webHidden/>
                  </w:rPr>
                  <w:t>6</w:t>
                </w:r>
                <w:r>
                  <w:rPr>
                    <w:noProof/>
                    <w:webHidden/>
                  </w:rPr>
                  <w:fldChar w:fldCharType="end"/>
                </w:r>
              </w:hyperlink>
            </w:p>
            <w:p w14:paraId="354B8C9A" w14:textId="55E6879A" w:rsidR="00014777" w:rsidRPr="003F61EE" w:rsidRDefault="00014777" w:rsidP="00014777">
              <w:pPr>
                <w:tabs>
                  <w:tab w:val="right" w:leader="dot" w:pos="10070"/>
                </w:tabs>
                <w:rPr>
                  <w:rFonts w:eastAsiaTheme="minorEastAsia" w:cstheme="minorBidi"/>
                  <w:noProof/>
                  <w:lang w:bidi="ar-SA"/>
                </w:rPr>
              </w:pPr>
              <w:r>
                <w:rPr>
                  <w:b/>
                  <w:bCs/>
                  <w:noProof/>
                </w:rPr>
                <w:fldChar w:fldCharType="end"/>
              </w:r>
            </w:p>
          </w:sdtContent>
        </w:sdt>
        <w:p w14:paraId="2E5DBF4C" w14:textId="77777777" w:rsidR="00014777" w:rsidRDefault="00014777" w:rsidP="006B0D98">
          <w:pPr>
            <w:rPr>
              <w:rFonts w:eastAsiaTheme="majorEastAsia"/>
            </w:rPr>
          </w:pPr>
          <w:r>
            <w:br w:type="page"/>
          </w:r>
        </w:p>
        <w:p w14:paraId="5D8087CC" w14:textId="535D980B" w:rsidR="00E41BD2" w:rsidRPr="00BA23A4" w:rsidRDefault="007511B5" w:rsidP="000261E8">
          <w:pPr>
            <w:pStyle w:val="Heading2"/>
          </w:pPr>
          <w:bookmarkStart w:id="4" w:name="_Toc154651367"/>
          <w:bookmarkEnd w:id="3"/>
          <w:r>
            <w:lastRenderedPageBreak/>
            <w:t>Program Overview</w:t>
          </w:r>
          <w:bookmarkEnd w:id="4"/>
        </w:p>
        <w:p w14:paraId="0FB8691B" w14:textId="142BE07D" w:rsidR="007511B5" w:rsidRPr="005769A5" w:rsidRDefault="007511B5" w:rsidP="0053078F">
          <w:pPr>
            <w:autoSpaceDE w:val="0"/>
            <w:autoSpaceDN w:val="0"/>
            <w:adjustRightInd w:val="0"/>
            <w:spacing w:before="0" w:after="0" w:line="240" w:lineRule="auto"/>
            <w:rPr>
              <w:rFonts w:cs="Calibri"/>
              <w:lang w:bidi="ar-SA"/>
            </w:rPr>
          </w:pPr>
          <w:bookmarkStart w:id="5" w:name="_Toc461105258"/>
          <w:r w:rsidRPr="005769A5">
            <w:rPr>
              <w:rFonts w:cs="Calibri"/>
              <w:lang w:bidi="ar-SA"/>
            </w:rPr>
            <w:t xml:space="preserve">30,000 Feet is focused on addressing educational disparities faced by African American students in St. Paul, ensuring that all students </w:t>
          </w:r>
          <w:proofErr w:type="gramStart"/>
          <w:r w:rsidRPr="005769A5">
            <w:rPr>
              <w:rFonts w:cs="Calibri"/>
              <w:lang w:bidi="ar-SA"/>
            </w:rPr>
            <w:t>are able to</w:t>
          </w:r>
          <w:proofErr w:type="gramEnd"/>
          <w:r w:rsidRPr="005769A5">
            <w:rPr>
              <w:rFonts w:cs="Calibri"/>
              <w:lang w:bidi="ar-SA"/>
            </w:rPr>
            <w:t xml:space="preserve"> achieve their full potential. Its objectives are to increase academic achievement among students, reveal and nurture students’ artistic skills, and use art </w:t>
          </w:r>
          <w:proofErr w:type="gramStart"/>
          <w:r w:rsidRPr="005769A5">
            <w:rPr>
              <w:rFonts w:cs="Calibri"/>
              <w:lang w:bidi="ar-SA"/>
            </w:rPr>
            <w:t>as a way to</w:t>
          </w:r>
          <w:proofErr w:type="gramEnd"/>
          <w:r w:rsidRPr="005769A5">
            <w:rPr>
              <w:rFonts w:cs="Calibri"/>
              <w:lang w:bidi="ar-SA"/>
            </w:rPr>
            <w:t xml:space="preserve"> improve literacy outcomes. 30,000 Feet works towards this goal by providing culturally responsive academic tutoring</w:t>
          </w:r>
          <w:r w:rsidR="008A7204">
            <w:rPr>
              <w:rFonts w:cs="Calibri"/>
              <w:lang w:bidi="ar-SA"/>
            </w:rPr>
            <w:t xml:space="preserve"> and social and emotional development</w:t>
          </w:r>
          <w:r w:rsidRPr="005769A5">
            <w:rPr>
              <w:rFonts w:cs="Calibri"/>
              <w:lang w:bidi="ar-SA"/>
            </w:rPr>
            <w:t xml:space="preserve"> to elementary </w:t>
          </w:r>
          <w:r w:rsidR="008A7204">
            <w:rPr>
              <w:rFonts w:cs="Calibri"/>
              <w:lang w:bidi="ar-SA"/>
            </w:rPr>
            <w:t>(K through 3</w:t>
          </w:r>
          <w:r w:rsidR="008A7204" w:rsidRPr="008A7204">
            <w:rPr>
              <w:rFonts w:cs="Calibri"/>
              <w:vertAlign w:val="superscript"/>
              <w:lang w:bidi="ar-SA"/>
            </w:rPr>
            <w:t>rd</w:t>
          </w:r>
          <w:r w:rsidR="008A7204">
            <w:rPr>
              <w:rFonts w:cs="Calibri"/>
              <w:lang w:bidi="ar-SA"/>
            </w:rPr>
            <w:t xml:space="preserve"> grade)</w:t>
          </w:r>
          <w:r w:rsidRPr="005769A5">
            <w:rPr>
              <w:rFonts w:cs="Calibri"/>
              <w:lang w:bidi="ar-SA"/>
            </w:rPr>
            <w:t xml:space="preserve"> students during the school year, </w:t>
          </w:r>
          <w:r w:rsidR="008A7204">
            <w:rPr>
              <w:rFonts w:cs="Calibri"/>
              <w:lang w:bidi="ar-SA"/>
            </w:rPr>
            <w:t xml:space="preserve">and </w:t>
          </w:r>
          <w:r w:rsidRPr="005769A5">
            <w:rPr>
              <w:rFonts w:cs="Calibri"/>
              <w:lang w:bidi="ar-SA"/>
            </w:rPr>
            <w:t>enrichment activities during the summer</w:t>
          </w:r>
          <w:r w:rsidR="008A7204">
            <w:rPr>
              <w:rFonts w:cs="Calibri"/>
              <w:lang w:bidi="ar-SA"/>
            </w:rPr>
            <w:t>. 30,000 Feet also provides</w:t>
          </w:r>
          <w:r w:rsidRPr="005769A5">
            <w:rPr>
              <w:rFonts w:cs="Calibri"/>
              <w:lang w:bidi="ar-SA"/>
            </w:rPr>
            <w:t xml:space="preserve"> a coding program targeted at high school students, including those who have </w:t>
          </w:r>
          <w:proofErr w:type="gramStart"/>
          <w:r w:rsidRPr="005769A5">
            <w:rPr>
              <w:rFonts w:cs="Calibri"/>
              <w:lang w:bidi="ar-SA"/>
            </w:rPr>
            <w:t>had involvement</w:t>
          </w:r>
          <w:proofErr w:type="gramEnd"/>
          <w:r w:rsidRPr="005769A5">
            <w:rPr>
              <w:rFonts w:cs="Calibri"/>
              <w:lang w:bidi="ar-SA"/>
            </w:rPr>
            <w:t xml:space="preserve"> with the justice system. The </w:t>
          </w:r>
          <w:r w:rsidR="005E2605">
            <w:rPr>
              <w:rFonts w:cs="Calibri"/>
              <w:lang w:bidi="ar-SA"/>
            </w:rPr>
            <w:t xml:space="preserve">legislative direct appropriation </w:t>
          </w:r>
          <w:r w:rsidRPr="005769A5">
            <w:rPr>
              <w:rFonts w:cs="Calibri"/>
              <w:lang w:bidi="ar-SA"/>
            </w:rPr>
            <w:t xml:space="preserve">primarily focuses </w:t>
          </w:r>
          <w:r w:rsidR="00301E8C">
            <w:rPr>
              <w:rFonts w:cs="Calibri"/>
              <w:lang w:bidi="ar-SA"/>
            </w:rPr>
            <w:t>on</w:t>
          </w:r>
          <w:r w:rsidRPr="005769A5">
            <w:rPr>
              <w:rFonts w:cs="Calibri"/>
              <w:lang w:bidi="ar-SA"/>
            </w:rPr>
            <w:t xml:space="preserve"> </w:t>
          </w:r>
          <w:r w:rsidR="005E2605">
            <w:rPr>
              <w:rFonts w:cs="Calibri"/>
              <w:lang w:bidi="ar-SA"/>
            </w:rPr>
            <w:t xml:space="preserve">providing individualized services to </w:t>
          </w:r>
          <w:r w:rsidRPr="005769A5">
            <w:rPr>
              <w:rFonts w:cs="Calibri"/>
              <w:lang w:bidi="ar-SA"/>
            </w:rPr>
            <w:t>youth ages 14 through 24</w:t>
          </w:r>
          <w:r w:rsidR="0053078F" w:rsidRPr="005769A5">
            <w:rPr>
              <w:rFonts w:cs="Calibri"/>
              <w:lang w:bidi="ar-SA"/>
            </w:rPr>
            <w:t xml:space="preserve"> and supports 30,000 Feet’s partnership with Ramsey County to provide job opportunities to youth who have contact with Juvenile</w:t>
          </w:r>
          <w:r w:rsidR="00EA0EB1">
            <w:rPr>
              <w:rFonts w:cs="Calibri"/>
              <w:lang w:bidi="ar-SA"/>
            </w:rPr>
            <w:t xml:space="preserve"> </w:t>
          </w:r>
          <w:r w:rsidR="0053078F" w:rsidRPr="005769A5">
            <w:rPr>
              <w:rFonts w:cs="Calibri"/>
              <w:lang w:bidi="ar-SA"/>
            </w:rPr>
            <w:t>Delinquency system.</w:t>
          </w:r>
          <w:r w:rsidR="008A7204">
            <w:rPr>
              <w:rFonts w:cs="Calibri"/>
              <w:lang w:bidi="ar-SA"/>
            </w:rPr>
            <w:t xml:space="preserve"> </w:t>
          </w:r>
        </w:p>
        <w:p w14:paraId="3BF5FBDF" w14:textId="70EBC275" w:rsidR="007511B5" w:rsidRDefault="007511B5" w:rsidP="007511B5">
          <w:pPr>
            <w:pStyle w:val="Heading3"/>
            <w:rPr>
              <w:lang w:bidi="ar-SA"/>
            </w:rPr>
          </w:pPr>
          <w:bookmarkStart w:id="6" w:name="_Toc154651368"/>
          <w:r>
            <w:rPr>
              <w:lang w:bidi="ar-SA"/>
            </w:rPr>
            <w:t>Legislative Appropriation</w:t>
          </w:r>
          <w:bookmarkEnd w:id="6"/>
        </w:p>
        <w:p w14:paraId="1F8FEDE1" w14:textId="0AFC4B3A" w:rsidR="007511B5" w:rsidRPr="007511B5" w:rsidRDefault="007511B5" w:rsidP="007511B5">
          <w:pPr>
            <w:rPr>
              <w:lang w:bidi="ar-SA"/>
            </w:rPr>
          </w:pPr>
          <w:r>
            <w:rPr>
              <w:rFonts w:cs="Arial"/>
            </w:rPr>
            <w:t xml:space="preserve">Funds for this project are appropriated in </w:t>
          </w:r>
          <w:hyperlink r:id="rId20" w:history="1">
            <w:r w:rsidRPr="00F335EF">
              <w:rPr>
                <w:rStyle w:val="Hyperlink"/>
                <w:rFonts w:cs="Arial"/>
              </w:rPr>
              <w:t>Minnesota Session Laws – 2021, 1</w:t>
            </w:r>
            <w:r w:rsidRPr="00F335EF">
              <w:rPr>
                <w:rStyle w:val="Hyperlink"/>
                <w:rFonts w:cs="Arial"/>
                <w:vertAlign w:val="superscript"/>
              </w:rPr>
              <w:t>st</w:t>
            </w:r>
            <w:r w:rsidRPr="00F335EF">
              <w:rPr>
                <w:rStyle w:val="Hyperlink"/>
                <w:rFonts w:cs="Arial"/>
              </w:rPr>
              <w:t xml:space="preserve"> Special Session, Chapter 10, S.F. 9, Article 1, Section 2, Subdivision 3(</w:t>
            </w:r>
            <w:proofErr w:type="spellStart"/>
            <w:r>
              <w:rPr>
                <w:rStyle w:val="Hyperlink"/>
                <w:rFonts w:cs="Arial"/>
              </w:rPr>
              <w:t>ll</w:t>
            </w:r>
            <w:proofErr w:type="spellEnd"/>
            <w:r w:rsidRPr="00F335EF">
              <w:rPr>
                <w:rStyle w:val="Hyperlink"/>
                <w:rFonts w:cs="Arial"/>
              </w:rPr>
              <w:t>)</w:t>
            </w:r>
          </w:hyperlink>
          <w:r w:rsidR="0053078F" w:rsidRPr="0053078F">
            <w:rPr>
              <w:rStyle w:val="Hyperlink"/>
              <w:rFonts w:cs="Arial"/>
              <w:color w:val="auto"/>
              <w:u w:val="none"/>
            </w:rPr>
            <w:t>.</w:t>
          </w:r>
          <w:r w:rsidR="0053078F">
            <w:rPr>
              <w:rStyle w:val="Hyperlink"/>
              <w:rFonts w:cs="Arial"/>
              <w:u w:val="none"/>
            </w:rPr>
            <w:t xml:space="preserve"> </w:t>
          </w:r>
          <w:r w:rsidRPr="00C95416">
            <w:rPr>
              <w:rFonts w:cs="Arial"/>
            </w:rPr>
            <w:t xml:space="preserve">The amount available to </w:t>
          </w:r>
          <w:r>
            <w:rPr>
              <w:rFonts w:cs="Arial"/>
            </w:rPr>
            <w:t>30,000 Feet</w:t>
          </w:r>
          <w:r w:rsidRPr="00C95416">
            <w:rPr>
              <w:rFonts w:cs="Arial"/>
            </w:rPr>
            <w:t xml:space="preserve"> for SFY 202</w:t>
          </w:r>
          <w:r w:rsidR="00B027A8">
            <w:rPr>
              <w:rFonts w:cs="Arial"/>
            </w:rPr>
            <w:t>3</w:t>
          </w:r>
          <w:r w:rsidRPr="00C95416">
            <w:rPr>
              <w:rFonts w:cs="Arial"/>
            </w:rPr>
            <w:t xml:space="preserve"> is </w:t>
          </w:r>
          <w:r w:rsidRPr="00C95416">
            <w:rPr>
              <w:rFonts w:cs="Arial"/>
              <w:b/>
            </w:rPr>
            <w:t>$</w:t>
          </w:r>
          <w:r>
            <w:rPr>
              <w:rFonts w:cs="Arial"/>
              <w:b/>
            </w:rPr>
            <w:t>237,500</w:t>
          </w:r>
          <w:r w:rsidRPr="00C95416">
            <w:rPr>
              <w:rFonts w:cs="Arial"/>
            </w:rPr>
            <w:t xml:space="preserve">. </w:t>
          </w:r>
          <w:r>
            <w:rPr>
              <w:rFonts w:cs="Arial"/>
            </w:rPr>
            <w:t>(</w:t>
          </w:r>
          <w:r w:rsidRPr="00C95416">
            <w:rPr>
              <w:rFonts w:cs="Arial"/>
            </w:rPr>
            <w:t>DEED is permitted to retain up to 5% of the $</w:t>
          </w:r>
          <w:r>
            <w:rPr>
              <w:rFonts w:cs="Arial"/>
            </w:rPr>
            <w:t>250</w:t>
          </w:r>
          <w:r w:rsidRPr="00C95416">
            <w:rPr>
              <w:rFonts w:cs="Arial"/>
            </w:rPr>
            <w:t>,000 appropriation for administration and monitoring of the grant.</w:t>
          </w:r>
          <w:r>
            <w:rPr>
              <w:rFonts w:cs="Arial"/>
            </w:rPr>
            <w:t xml:space="preserve">) </w:t>
          </w:r>
        </w:p>
        <w:p w14:paraId="72965823" w14:textId="40CEBA10" w:rsidR="007F7097" w:rsidRPr="00E41BD2" w:rsidRDefault="007511B5" w:rsidP="007511B5">
          <w:pPr>
            <w:pStyle w:val="Heading3"/>
          </w:pPr>
          <w:bookmarkStart w:id="7" w:name="_Toc154651369"/>
          <w:bookmarkEnd w:id="5"/>
          <w:r>
            <w:t>Program Eligibility</w:t>
          </w:r>
          <w:bookmarkEnd w:id="7"/>
        </w:p>
        <w:p w14:paraId="61BA0AE2" w14:textId="77777777" w:rsidR="0053078F" w:rsidRDefault="0053078F" w:rsidP="0053078F">
          <w:r w:rsidRPr="00C71DEF">
            <w:t>In accordance with the language appropriating these funds, allowable activities include</w:t>
          </w:r>
          <w:r>
            <w:t>:</w:t>
          </w:r>
        </w:p>
        <w:p w14:paraId="39406DCC" w14:textId="77777777" w:rsidR="0053078F" w:rsidRDefault="0053078F" w:rsidP="0053078F">
          <w:pPr>
            <w:pStyle w:val="ListParagraph"/>
          </w:pPr>
          <w:r>
            <w:t xml:space="preserve">Providing paid work experience opportunities to </w:t>
          </w:r>
          <w:proofErr w:type="gramStart"/>
          <w:r>
            <w:t>youth;</w:t>
          </w:r>
          <w:proofErr w:type="gramEnd"/>
        </w:p>
        <w:p w14:paraId="77C101F3" w14:textId="77777777" w:rsidR="0053078F" w:rsidRDefault="0053078F" w:rsidP="0053078F">
          <w:pPr>
            <w:pStyle w:val="ListParagraph"/>
          </w:pPr>
          <w:r>
            <w:t>Offering after-school programming; and</w:t>
          </w:r>
        </w:p>
        <w:p w14:paraId="4274B51F" w14:textId="54546FEB" w:rsidR="0053078F" w:rsidRDefault="0053078F" w:rsidP="0053078F">
          <w:pPr>
            <w:pStyle w:val="ListParagraph"/>
          </w:pPr>
          <w:r>
            <w:t>Providing programming that prevents summer learning loss for African American youth.</w:t>
          </w:r>
        </w:p>
        <w:p w14:paraId="465678D1" w14:textId="1F9F43E2" w:rsidR="0053078F" w:rsidRDefault="0053078F" w:rsidP="0053078F">
          <w:r>
            <w:t>In addition, 30,000 Feet has prioritized services to youth who have barriers to employment, live below the federal poverty line, and/or have had contact with the juvenile delinquency system.</w:t>
          </w:r>
        </w:p>
        <w:p w14:paraId="3BFBFDEF" w14:textId="778CE8A5" w:rsidR="00BA5500" w:rsidRDefault="00BA5500" w:rsidP="00BA5500">
          <w:pPr>
            <w:pStyle w:val="Heading3"/>
          </w:pPr>
          <w:bookmarkStart w:id="8" w:name="_Toc154651370"/>
          <w:r>
            <w:t>Program Activities</w:t>
          </w:r>
          <w:bookmarkEnd w:id="8"/>
        </w:p>
        <w:p w14:paraId="5B0524D1" w14:textId="1C768BF2" w:rsidR="00AD2CD6" w:rsidRDefault="00BA5500" w:rsidP="00BA5500">
          <w:r>
            <w:t>Youth ages 14-2</w:t>
          </w:r>
          <w:r w:rsidR="00DF71E0">
            <w:t>4</w:t>
          </w:r>
          <w:r>
            <w:t xml:space="preserve"> were recruited for 30,000 Feet’s tech apprenticeship program. The youth who participated in this program work 20 hours a week in a paid position. To accommodate shifts caused by the COVID-19 health emergency, work opportunities were provided in hybrid formats. </w:t>
          </w:r>
          <w:proofErr w:type="gramStart"/>
          <w:r w:rsidR="00AD2CD6">
            <w:t>In order to</w:t>
          </w:r>
          <w:proofErr w:type="gramEnd"/>
          <w:r w:rsidR="00AD2CD6">
            <w:t xml:space="preserve"> provide hybrid options, 30,000 Feet partner</w:t>
          </w:r>
          <w:r w:rsidR="005140EC">
            <w:t>s</w:t>
          </w:r>
          <w:r w:rsidR="00AD2CD6">
            <w:t xml:space="preserve"> with Comcast to provide internet access codes to participants. Youth were also provided Chromebooks </w:t>
          </w:r>
          <w:proofErr w:type="gramStart"/>
          <w:r w:rsidR="00AD2CD6">
            <w:t>in order to</w:t>
          </w:r>
          <w:proofErr w:type="gramEnd"/>
          <w:r w:rsidR="00AD2CD6">
            <w:t xml:space="preserve"> complete program activities, school activities, and work experiences. These wraparound services in addition to transportation support allowed youth to complete programming and retain youth in the program to help ensure successful outcomes. Program participants who are 18 years or older are supported with paid work experiences if needed, or they start their full-time careers in IT fields at companies such as Software for Good or Treat and Company. Youth </w:t>
          </w:r>
          <w:proofErr w:type="gramStart"/>
          <w:r w:rsidR="00AD2CD6">
            <w:t>have the ability to</w:t>
          </w:r>
          <w:proofErr w:type="gramEnd"/>
          <w:r w:rsidR="00AD2CD6">
            <w:t xml:space="preserve"> complete code academy certificates which are industry recognized credentials that allow the youth to enter into the tech field without </w:t>
          </w:r>
          <w:r w:rsidR="00CB1603">
            <w:t>needing a college degree.</w:t>
          </w:r>
        </w:p>
        <w:p w14:paraId="2AF4B871" w14:textId="4A20FE91" w:rsidR="00CB1603" w:rsidRDefault="005140EC" w:rsidP="00BA5500">
          <w:proofErr w:type="gramStart"/>
          <w:r>
            <w:lastRenderedPageBreak/>
            <w:t>Culturally-relevant</w:t>
          </w:r>
          <w:proofErr w:type="gramEnd"/>
          <w:r>
            <w:t xml:space="preserve"> pedagogy and practices are core aspects of 30,000 Feet’s programming. Specifically, e</w:t>
          </w:r>
          <w:r w:rsidR="00CB1603">
            <w:t xml:space="preserve">ngaging and meeting students where they are at academically, socially, and economically served as a critical strategy to retaining youth in programming. 30,000 Feet staff used participants’ school IEPs, transcripts, and parent knowledge to better understand the needs of each youth. As a result of this, the program model adjusted to </w:t>
          </w:r>
          <w:proofErr w:type="gramStart"/>
          <w:r w:rsidR="00CB1603">
            <w:t>in order to</w:t>
          </w:r>
          <w:proofErr w:type="gramEnd"/>
          <w:r w:rsidR="00CB1603">
            <w:t xml:space="preserve"> create specialized learning environments, implementing academic learning breaks, decreasing group sizes, increasing the intensity and interval of on-on-one academic supports, and providing peer-to-peer support to meet students’ social needs. This was also bolstered by creating a positive, supportive environment that lifts all students up and supports them in achieving their goals.</w:t>
          </w:r>
          <w:r w:rsidR="007C4A88">
            <w:t xml:space="preserve"> To address mental health related needs of youth participants, 30,000 Feet provides modified environments to better support youth including quiet areas and </w:t>
          </w:r>
        </w:p>
        <w:p w14:paraId="19031DC1" w14:textId="38F7AEAE" w:rsidR="00AD2CD6" w:rsidRDefault="00CB1603" w:rsidP="00BA5500">
          <w:r>
            <w:t>30,000 Feet also provides group services.</w:t>
          </w:r>
          <w:r>
            <w:rPr>
              <w:rStyle w:val="FootnoteReference"/>
            </w:rPr>
            <w:footnoteReference w:id="1"/>
          </w:r>
          <w:r>
            <w:t xml:space="preserve"> These services were provided to elementary aged youth and were focused on language arts and literacy.</w:t>
          </w:r>
          <w:r w:rsidR="005140EC">
            <w:t xml:space="preserve"> The curriculum used by 30,000 Feet aligns with Minnesota’s K-5 Language Arts standards and is based on phonics-driven literacy instruction. Students work on skills such as sequencing, retelling, identifying story elements in a text, using literature to support their understanding of African culture and life in Africa, poetry, narrative writing, and history. </w:t>
          </w:r>
          <w:r>
            <w:t>This part of programming aligns with the legislative intent of providing programming that prevents summer learning loss to African American youth.</w:t>
          </w:r>
        </w:p>
        <w:p w14:paraId="6DF7FBC1" w14:textId="5B9708E9" w:rsidR="00CC524E" w:rsidRDefault="00CC524E" w:rsidP="00CC524E">
          <w:pPr>
            <w:pStyle w:val="Heading3"/>
          </w:pPr>
          <w:bookmarkStart w:id="9" w:name="_Toc154651371"/>
          <w:r w:rsidRPr="00A660F1">
            <w:t>Business Partnership and Success Stor</w:t>
          </w:r>
          <w:r w:rsidR="00BA3445" w:rsidRPr="00A660F1">
            <w:t>ies</w:t>
          </w:r>
          <w:bookmarkEnd w:id="9"/>
        </w:p>
        <w:p w14:paraId="58447892" w14:textId="5C3275A5" w:rsidR="007C4A88" w:rsidRPr="00CC524E" w:rsidRDefault="00CC524E" w:rsidP="00CC524E">
          <w:r>
            <w:t xml:space="preserve">While many of their peers spent their summers working retail jobs, high school students </w:t>
          </w:r>
          <w:proofErr w:type="spellStart"/>
          <w:r>
            <w:t>Cece</w:t>
          </w:r>
          <w:proofErr w:type="spellEnd"/>
          <w:r>
            <w:t xml:space="preserve"> and </w:t>
          </w:r>
          <w:proofErr w:type="spellStart"/>
          <w:r>
            <w:t>Jacq</w:t>
          </w:r>
          <w:r w:rsidR="008A7204">
            <w:t>u</w:t>
          </w:r>
          <w:r>
            <w:t>ra</w:t>
          </w:r>
          <w:proofErr w:type="spellEnd"/>
          <w:r>
            <w:t xml:space="preserve"> were learning JavaScript and SQL, shadowing developers, and attending agile meetings. </w:t>
          </w:r>
          <w:r w:rsidR="00287FA4">
            <w:t>T</w:t>
          </w:r>
          <w:r>
            <w:t>hey spent their summer working at HealthPartners</w:t>
          </w:r>
          <w:r w:rsidR="00287FA4">
            <w:t xml:space="preserve"> </w:t>
          </w:r>
          <w:r>
            <w:t>learning more about technology and experiencing what it’s like to work in a professional setting.</w:t>
          </w:r>
          <w:r w:rsidR="00287FA4">
            <w:t xml:space="preserve"> Andy Wilde, Senior Technology Director with Health Partners said,</w:t>
          </w:r>
          <w:r>
            <w:t xml:space="preserve"> </w:t>
          </w:r>
          <w:r w:rsidR="00287FA4">
            <w:t>“</w:t>
          </w:r>
          <w:r>
            <w:t>We’ve had a successful college intern program for many years but wanted to find a way to encourage students from diverse backgrounds to explore careers in technolog</w:t>
          </w:r>
          <w:r w:rsidR="00287FA4">
            <w:t>y.</w:t>
          </w:r>
          <w:r>
            <w:t xml:space="preserve"> We’ve never done an internship program with high school students before but working with 30,000 feet has been an opportunity for us to make a difference for students in our community.”</w:t>
          </w:r>
          <w:r w:rsidR="00287FA4">
            <w:t xml:space="preserve"> Jeremy Johnson, Senior Technology Manager with Health Partners stated,</w:t>
          </w:r>
          <w:r>
            <w:t xml:space="preserve"> </w:t>
          </w:r>
          <w:r w:rsidR="00287FA4">
            <w:t>“</w:t>
          </w:r>
          <w:r>
            <w:t>Our goal is to give the students exposure to technology and the corporate world, and a better sense of what’s interesting to them</w:t>
          </w:r>
          <w:r w:rsidR="00287FA4">
            <w:t xml:space="preserve">. </w:t>
          </w:r>
          <w:r>
            <w:t>If we inspire them to pursue a career in technology someday, even better.” With the help of the 30,000 feet team, the students created resumes and then interviewed for the internships. Team activities, work assignments</w:t>
          </w:r>
          <w:r w:rsidR="00BA3445">
            <w:t>,</w:t>
          </w:r>
          <w:r>
            <w:t xml:space="preserve"> and 1:1 mentoring have helped them develop organizational skills, balance their time</w:t>
          </w:r>
          <w:r w:rsidR="00BA3445">
            <w:t>,</w:t>
          </w:r>
          <w:r>
            <w:t xml:space="preserve"> and manage responsibility. </w:t>
          </w:r>
          <w:r w:rsidR="00BA3445">
            <w:t>More importantly,</w:t>
          </w:r>
          <w:r>
            <w:t xml:space="preserve"> what’s been most valuable to the students is the confidence they’ve built in themselves. Their colleagues’ encouragement to ask questions and share ideas has made them feel welcome, valued</w:t>
          </w:r>
          <w:r w:rsidR="00BA3445">
            <w:t>,</w:t>
          </w:r>
          <w:r>
            <w:t xml:space="preserve"> and included. The people have been my favorite part of the internship,” says </w:t>
          </w:r>
          <w:proofErr w:type="spellStart"/>
          <w:r>
            <w:t>Jacq</w:t>
          </w:r>
          <w:r w:rsidR="008A7204">
            <w:t>u</w:t>
          </w:r>
          <w:r>
            <w:t>ra</w:t>
          </w:r>
          <w:proofErr w:type="spellEnd"/>
          <w:r>
            <w:t xml:space="preserve">. “The experience is important </w:t>
          </w:r>
          <w:r w:rsidR="00BA3445">
            <w:t>but</w:t>
          </w:r>
          <w:r>
            <w:t xml:space="preserve"> interacting in a healthy work environment and seeing how everyone encourages their peers to do better is what I really like about the program.”  “I feel very appreciated and welcomed here,” says </w:t>
          </w:r>
          <w:proofErr w:type="spellStart"/>
          <w:r>
            <w:t>Cece</w:t>
          </w:r>
          <w:proofErr w:type="spellEnd"/>
          <w:r>
            <w:t xml:space="preserve">. “I’m glad to have had this experience, knowing it’s hard to get internship opportunities. It’s a huge honor to be in such a big place with such nice people.”  </w:t>
          </w:r>
          <w:proofErr w:type="gramStart"/>
          <w:r>
            <w:t>All of</w:t>
          </w:r>
          <w:proofErr w:type="gramEnd"/>
          <w:r>
            <w:t xml:space="preserve"> the youth</w:t>
          </w:r>
          <w:r w:rsidR="0027051A">
            <w:t xml:space="preserve"> in this program,</w:t>
          </w:r>
          <w:r>
            <w:t xml:space="preserve"> including </w:t>
          </w:r>
          <w:proofErr w:type="spellStart"/>
          <w:r>
            <w:t>Cece</w:t>
          </w:r>
          <w:proofErr w:type="spellEnd"/>
          <w:r>
            <w:t xml:space="preserve"> and </w:t>
          </w:r>
          <w:proofErr w:type="spellStart"/>
          <w:r>
            <w:t>Jacqyra</w:t>
          </w:r>
          <w:proofErr w:type="spellEnd"/>
          <w:r w:rsidR="0027051A">
            <w:t>,</w:t>
          </w:r>
          <w:r>
            <w:t xml:space="preserve"> are in </w:t>
          </w:r>
          <w:r>
            <w:lastRenderedPageBreak/>
            <w:t>ongoing internship work while they are enrolled in</w:t>
          </w:r>
          <w:r w:rsidR="008A7204">
            <w:t xml:space="preserve"> college or</w:t>
          </w:r>
          <w:r>
            <w:t xml:space="preserve"> high school</w:t>
          </w:r>
          <w:r w:rsidR="0027051A">
            <w:t xml:space="preserve"> with</w:t>
          </w:r>
          <w:r>
            <w:t xml:space="preserve"> some </w:t>
          </w:r>
          <w:r w:rsidR="0027051A">
            <w:t>completing</w:t>
          </w:r>
          <w:r>
            <w:t xml:space="preserve"> senior projects for school credit with </w:t>
          </w:r>
          <w:r w:rsidR="00BA3445">
            <w:t>H</w:t>
          </w:r>
          <w:r>
            <w:t xml:space="preserve">ealth </w:t>
          </w:r>
          <w:r w:rsidR="00BA3445">
            <w:t>P</w:t>
          </w:r>
          <w:r>
            <w:t xml:space="preserve">artners and some continuing to gain valuable tech experience </w:t>
          </w:r>
          <w:r w:rsidR="0027051A">
            <w:t>with Health Partners</w:t>
          </w:r>
          <w:r>
            <w:t>.</w:t>
          </w:r>
          <w:r w:rsidR="007C4A88">
            <w:t xml:space="preserve"> </w:t>
          </w:r>
          <w:proofErr w:type="spellStart"/>
          <w:r w:rsidR="007C4A88">
            <w:t>Cece</w:t>
          </w:r>
          <w:proofErr w:type="spellEnd"/>
          <w:r w:rsidR="007C4A88">
            <w:t xml:space="preserve"> and </w:t>
          </w:r>
          <w:proofErr w:type="spellStart"/>
          <w:r w:rsidR="007C4A88">
            <w:t>Jacqyra</w:t>
          </w:r>
          <w:proofErr w:type="spellEnd"/>
          <w:r w:rsidR="007C4A88">
            <w:t xml:space="preserve"> are just two examples of youth who have achieved academic and employment success through 30,000 Feet’s programming</w:t>
          </w:r>
          <w:r w:rsidR="007C4A88" w:rsidRPr="008A7204">
            <w:t>. In addition, there are six youth who are earning wages at $20/</w:t>
          </w:r>
          <w:proofErr w:type="spellStart"/>
          <w:r w:rsidR="007C4A88" w:rsidRPr="008A7204">
            <w:t>hr</w:t>
          </w:r>
          <w:proofErr w:type="spellEnd"/>
          <w:r w:rsidR="007C4A88" w:rsidRPr="008A7204">
            <w:t xml:space="preserve"> </w:t>
          </w:r>
          <w:r w:rsidR="005140EC" w:rsidRPr="008A7204">
            <w:t>at Health Partners.</w:t>
          </w:r>
        </w:p>
        <w:p w14:paraId="67A7E857" w14:textId="1725F94F" w:rsidR="00C365CE" w:rsidRDefault="0053078F" w:rsidP="0053078F">
          <w:pPr>
            <w:pStyle w:val="Heading3"/>
          </w:pPr>
          <w:bookmarkStart w:id="10" w:name="_Toc154651372"/>
          <w:r>
            <w:t>Program Data and Outcomes</w:t>
          </w:r>
        </w:p>
      </w:sdtContent>
    </w:sdt>
    <w:bookmarkEnd w:id="10" w:displacedByCustomXml="prev"/>
    <w:p w14:paraId="3C09C214" w14:textId="2192620D" w:rsidR="00B007FF" w:rsidRPr="00301E8C" w:rsidRDefault="00B007FF" w:rsidP="00EB251D">
      <w:pPr>
        <w:pStyle w:val="Caption"/>
        <w:rPr>
          <w:sz w:val="22"/>
          <w:szCs w:val="22"/>
        </w:rPr>
      </w:pPr>
      <w:r w:rsidRPr="008A7204">
        <w:rPr>
          <w:sz w:val="22"/>
          <w:szCs w:val="22"/>
        </w:rPr>
        <w:t xml:space="preserve">65% of students have been released from probation with skills to enter the tech field. 30,000 Feet has also helped to decrease recidivism among many </w:t>
      </w:r>
      <w:proofErr w:type="gramStart"/>
      <w:r w:rsidRPr="008A7204">
        <w:rPr>
          <w:sz w:val="22"/>
          <w:szCs w:val="22"/>
        </w:rPr>
        <w:t>youth</w:t>
      </w:r>
      <w:proofErr w:type="gramEnd"/>
      <w:r w:rsidRPr="008A7204">
        <w:rPr>
          <w:sz w:val="22"/>
          <w:szCs w:val="22"/>
        </w:rPr>
        <w:t xml:space="preserve"> and their peers by 40% from providing them with a safe welcoming and productive place to be on and off probation.</w:t>
      </w:r>
    </w:p>
    <w:p w14:paraId="5D50E09A" w14:textId="1D28A6B3" w:rsidR="00963BA0" w:rsidRPr="00301E8C" w:rsidRDefault="0053078F" w:rsidP="00EB251D">
      <w:pPr>
        <w:pStyle w:val="Caption"/>
        <w:rPr>
          <w:sz w:val="22"/>
          <w:szCs w:val="22"/>
        </w:rPr>
      </w:pPr>
      <w:r w:rsidRPr="00301E8C">
        <w:rPr>
          <w:sz w:val="22"/>
          <w:szCs w:val="22"/>
        </w:rPr>
        <w:t>The data included in this report reflects youth served during State Fiscal Year 202</w:t>
      </w:r>
      <w:r w:rsidR="00844F51">
        <w:rPr>
          <w:sz w:val="22"/>
          <w:szCs w:val="22"/>
        </w:rPr>
        <w:t>3</w:t>
      </w:r>
      <w:r w:rsidRPr="00301E8C">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4314"/>
        <w:gridCol w:w="876"/>
        <w:gridCol w:w="3640"/>
      </w:tblGrid>
      <w:tr w:rsidR="00873474" w:rsidRPr="0070451B" w14:paraId="45B5A13E" w14:textId="77777777" w:rsidTr="00F4703F">
        <w:trPr>
          <w:trHeight w:val="432"/>
        </w:trPr>
        <w:tc>
          <w:tcPr>
            <w:tcW w:w="9707" w:type="dxa"/>
            <w:gridSpan w:val="4"/>
            <w:shd w:val="clear" w:color="auto" w:fill="E6E6E6"/>
            <w:vAlign w:val="center"/>
          </w:tcPr>
          <w:p w14:paraId="2CBF65EB" w14:textId="77777777" w:rsidR="00873474" w:rsidRPr="00863287" w:rsidRDefault="00873474" w:rsidP="00ED6EB7">
            <w:pPr>
              <w:rPr>
                <w:rFonts w:cs="Calibri"/>
                <w:b/>
              </w:rPr>
            </w:pPr>
            <w:r w:rsidRPr="00863287">
              <w:rPr>
                <w:rFonts w:cs="Calibri"/>
                <w:b/>
              </w:rPr>
              <w:t xml:space="preserve">DATA ON PARTICIPANTS SERVED – INDIVIDUAL SERVICES - </w:t>
            </w:r>
            <w:r w:rsidRPr="00863287">
              <w:rPr>
                <w:rFonts w:cs="Calibri"/>
              </w:rPr>
              <w:t>(Cumulative for the SFY)</w:t>
            </w:r>
          </w:p>
        </w:tc>
      </w:tr>
      <w:tr w:rsidR="00161927" w:rsidRPr="0070451B" w14:paraId="38296C6D" w14:textId="77777777" w:rsidTr="0077552B">
        <w:trPr>
          <w:trHeight w:val="432"/>
        </w:trPr>
        <w:tc>
          <w:tcPr>
            <w:tcW w:w="5191" w:type="dxa"/>
            <w:gridSpan w:val="2"/>
            <w:shd w:val="clear" w:color="auto" w:fill="auto"/>
            <w:vAlign w:val="center"/>
          </w:tcPr>
          <w:p w14:paraId="63F79C31" w14:textId="77777777" w:rsidR="00161927" w:rsidRPr="005769A5" w:rsidRDefault="00161927" w:rsidP="00ED6EB7">
            <w:pPr>
              <w:rPr>
                <w:rFonts w:cs="Calibri"/>
                <w:b/>
                <w:bCs/>
              </w:rPr>
            </w:pPr>
            <w:r w:rsidRPr="005769A5">
              <w:rPr>
                <w:rFonts w:cs="Calibri"/>
                <w:b/>
                <w:bCs/>
              </w:rPr>
              <w:t xml:space="preserve">Total Individual Participants Served </w:t>
            </w:r>
          </w:p>
        </w:tc>
        <w:tc>
          <w:tcPr>
            <w:tcW w:w="876" w:type="dxa"/>
            <w:shd w:val="clear" w:color="auto" w:fill="auto"/>
            <w:vAlign w:val="bottom"/>
          </w:tcPr>
          <w:p w14:paraId="2D2FE762" w14:textId="44DAA78A" w:rsidR="00161927" w:rsidRPr="005769A5" w:rsidRDefault="00161927" w:rsidP="00ED6EB7">
            <w:pPr>
              <w:rPr>
                <w:rFonts w:cs="Calibri"/>
                <w:b/>
                <w:bCs/>
              </w:rPr>
            </w:pPr>
            <w:r w:rsidRPr="005769A5">
              <w:rPr>
                <w:rFonts w:cs="Calibri"/>
                <w:b/>
                <w:bCs/>
                <w:color w:val="000000"/>
              </w:rPr>
              <w:t xml:space="preserve">         1</w:t>
            </w:r>
            <w:r w:rsidR="00844F51">
              <w:rPr>
                <w:rFonts w:cs="Calibri"/>
                <w:b/>
                <w:bCs/>
                <w:color w:val="000000"/>
              </w:rPr>
              <w:t>53</w:t>
            </w:r>
          </w:p>
        </w:tc>
        <w:tc>
          <w:tcPr>
            <w:tcW w:w="3640" w:type="dxa"/>
            <w:shd w:val="clear" w:color="auto" w:fill="000000" w:themeFill="text2"/>
          </w:tcPr>
          <w:p w14:paraId="21CC5D71" w14:textId="77777777" w:rsidR="00161927" w:rsidRPr="00863287" w:rsidRDefault="00161927" w:rsidP="00ED6EB7">
            <w:pPr>
              <w:rPr>
                <w:rFonts w:cs="Calibri"/>
              </w:rPr>
            </w:pPr>
          </w:p>
        </w:tc>
      </w:tr>
      <w:tr w:rsidR="00873474" w:rsidRPr="0070451B" w14:paraId="1DAADA1C" w14:textId="77777777" w:rsidTr="00F4703F">
        <w:trPr>
          <w:trHeight w:val="432"/>
        </w:trPr>
        <w:tc>
          <w:tcPr>
            <w:tcW w:w="877" w:type="dxa"/>
            <w:vMerge w:val="restart"/>
            <w:shd w:val="clear" w:color="auto" w:fill="auto"/>
            <w:textDirection w:val="btLr"/>
            <w:vAlign w:val="center"/>
          </w:tcPr>
          <w:p w14:paraId="338A934D" w14:textId="77777777" w:rsidR="00873474" w:rsidRPr="00863287" w:rsidRDefault="00873474" w:rsidP="00F4703F">
            <w:pPr>
              <w:ind w:right="113"/>
              <w:jc w:val="center"/>
              <w:rPr>
                <w:rFonts w:cs="Calibri"/>
                <w:b/>
                <w:sz w:val="18"/>
                <w:szCs w:val="18"/>
              </w:rPr>
            </w:pPr>
            <w:r w:rsidRPr="00863287">
              <w:rPr>
                <w:rFonts w:cs="Calibri"/>
                <w:b/>
                <w:sz w:val="18"/>
                <w:szCs w:val="18"/>
              </w:rPr>
              <w:t>Gender</w:t>
            </w:r>
          </w:p>
        </w:tc>
        <w:tc>
          <w:tcPr>
            <w:tcW w:w="4314" w:type="dxa"/>
            <w:shd w:val="clear" w:color="auto" w:fill="auto"/>
            <w:vAlign w:val="center"/>
          </w:tcPr>
          <w:p w14:paraId="6641B648" w14:textId="77777777" w:rsidR="00873474" w:rsidRPr="00863287" w:rsidRDefault="00873474" w:rsidP="00ED6EB7">
            <w:pPr>
              <w:ind w:left="144"/>
              <w:rPr>
                <w:rFonts w:cs="Calibri"/>
              </w:rPr>
            </w:pPr>
            <w:r w:rsidRPr="00863287">
              <w:rPr>
                <w:rFonts w:cs="Calibri"/>
              </w:rPr>
              <w:t xml:space="preserve">A.  </w:t>
            </w:r>
            <w:r>
              <w:rPr>
                <w:rFonts w:cs="Calibri"/>
              </w:rPr>
              <w:t>Fem</w:t>
            </w:r>
            <w:r w:rsidRPr="00863287">
              <w:rPr>
                <w:rFonts w:cs="Calibri"/>
              </w:rPr>
              <w:t>ale</w:t>
            </w:r>
          </w:p>
        </w:tc>
        <w:tc>
          <w:tcPr>
            <w:tcW w:w="876" w:type="dxa"/>
            <w:shd w:val="clear" w:color="auto" w:fill="auto"/>
            <w:vAlign w:val="bottom"/>
          </w:tcPr>
          <w:p w14:paraId="01FAC2AC" w14:textId="6A96C8FD" w:rsidR="00873474" w:rsidRPr="00863287" w:rsidRDefault="00844F51" w:rsidP="00ED6EB7">
            <w:pPr>
              <w:rPr>
                <w:rFonts w:cs="Calibri"/>
              </w:rPr>
            </w:pPr>
            <w:r>
              <w:rPr>
                <w:rFonts w:cs="Calibri"/>
              </w:rPr>
              <w:t>73</w:t>
            </w:r>
          </w:p>
        </w:tc>
        <w:tc>
          <w:tcPr>
            <w:tcW w:w="3640" w:type="dxa"/>
            <w:shd w:val="clear" w:color="auto" w:fill="auto"/>
            <w:vAlign w:val="bottom"/>
          </w:tcPr>
          <w:p w14:paraId="0C0B0426" w14:textId="639075BB" w:rsidR="00873474" w:rsidRPr="00863287" w:rsidRDefault="00161927" w:rsidP="00ED6EB7">
            <w:pPr>
              <w:rPr>
                <w:rFonts w:cs="Calibri"/>
              </w:rPr>
            </w:pPr>
            <w:r>
              <w:rPr>
                <w:rFonts w:cs="Calibri"/>
              </w:rPr>
              <w:t>4</w:t>
            </w:r>
            <w:r w:rsidR="008F4308">
              <w:rPr>
                <w:rFonts w:cs="Calibri"/>
              </w:rPr>
              <w:t>7</w:t>
            </w:r>
            <w:r>
              <w:rPr>
                <w:rFonts w:cs="Calibri"/>
              </w:rPr>
              <w:t>%</w:t>
            </w:r>
          </w:p>
        </w:tc>
      </w:tr>
      <w:tr w:rsidR="00873474" w:rsidRPr="0070451B" w14:paraId="0AC15D13" w14:textId="77777777" w:rsidTr="00F4703F">
        <w:trPr>
          <w:trHeight w:val="432"/>
        </w:trPr>
        <w:tc>
          <w:tcPr>
            <w:tcW w:w="877" w:type="dxa"/>
            <w:vMerge/>
            <w:shd w:val="clear" w:color="auto" w:fill="auto"/>
            <w:vAlign w:val="center"/>
          </w:tcPr>
          <w:p w14:paraId="3E7E2666" w14:textId="77777777" w:rsidR="00873474" w:rsidRPr="00863287" w:rsidRDefault="00873474" w:rsidP="00ED6EB7">
            <w:pPr>
              <w:ind w:right="113"/>
              <w:jc w:val="center"/>
              <w:rPr>
                <w:rFonts w:cs="Calibri"/>
                <w:b/>
                <w:sz w:val="18"/>
                <w:szCs w:val="18"/>
              </w:rPr>
            </w:pPr>
          </w:p>
        </w:tc>
        <w:tc>
          <w:tcPr>
            <w:tcW w:w="4314" w:type="dxa"/>
            <w:shd w:val="clear" w:color="auto" w:fill="auto"/>
            <w:vAlign w:val="center"/>
          </w:tcPr>
          <w:p w14:paraId="0893F787" w14:textId="77777777" w:rsidR="00873474" w:rsidRPr="00863287" w:rsidRDefault="00873474" w:rsidP="00ED6EB7">
            <w:pPr>
              <w:ind w:left="144"/>
              <w:rPr>
                <w:rFonts w:cs="Calibri"/>
              </w:rPr>
            </w:pPr>
            <w:r w:rsidRPr="00863287">
              <w:rPr>
                <w:rFonts w:cs="Calibri"/>
              </w:rPr>
              <w:t xml:space="preserve">B.  </w:t>
            </w:r>
            <w:r>
              <w:rPr>
                <w:rFonts w:cs="Calibri"/>
              </w:rPr>
              <w:t>M</w:t>
            </w:r>
            <w:r w:rsidRPr="00863287">
              <w:rPr>
                <w:rFonts w:cs="Calibri"/>
              </w:rPr>
              <w:t>ale</w:t>
            </w:r>
          </w:p>
        </w:tc>
        <w:tc>
          <w:tcPr>
            <w:tcW w:w="876" w:type="dxa"/>
            <w:shd w:val="clear" w:color="auto" w:fill="auto"/>
            <w:vAlign w:val="bottom"/>
          </w:tcPr>
          <w:p w14:paraId="2F8BB762" w14:textId="0C8A3C86" w:rsidR="00873474" w:rsidRPr="00863287" w:rsidRDefault="00844F51" w:rsidP="00ED6EB7">
            <w:pPr>
              <w:rPr>
                <w:rFonts w:cs="Calibri"/>
              </w:rPr>
            </w:pPr>
            <w:r>
              <w:rPr>
                <w:rFonts w:cs="Calibri"/>
              </w:rPr>
              <w:t>80</w:t>
            </w:r>
          </w:p>
        </w:tc>
        <w:tc>
          <w:tcPr>
            <w:tcW w:w="3640" w:type="dxa"/>
            <w:shd w:val="clear" w:color="auto" w:fill="auto"/>
            <w:vAlign w:val="bottom"/>
          </w:tcPr>
          <w:p w14:paraId="1E06ED11" w14:textId="7BDEA0CE" w:rsidR="00873474" w:rsidRPr="00863287" w:rsidRDefault="00161927" w:rsidP="00ED6EB7">
            <w:pPr>
              <w:rPr>
                <w:rFonts w:cs="Calibri"/>
              </w:rPr>
            </w:pPr>
            <w:r>
              <w:rPr>
                <w:rFonts w:cs="Calibri"/>
              </w:rPr>
              <w:t>52%</w:t>
            </w:r>
          </w:p>
        </w:tc>
      </w:tr>
      <w:tr w:rsidR="00873474" w:rsidRPr="0070451B" w14:paraId="27891718" w14:textId="77777777" w:rsidTr="00F4703F">
        <w:trPr>
          <w:trHeight w:val="432"/>
        </w:trPr>
        <w:tc>
          <w:tcPr>
            <w:tcW w:w="877" w:type="dxa"/>
            <w:vMerge/>
            <w:shd w:val="clear" w:color="auto" w:fill="auto"/>
            <w:vAlign w:val="center"/>
          </w:tcPr>
          <w:p w14:paraId="371C68B6" w14:textId="77777777" w:rsidR="00873474" w:rsidRPr="00863287" w:rsidRDefault="00873474" w:rsidP="00ED6EB7">
            <w:pPr>
              <w:ind w:right="113"/>
              <w:jc w:val="center"/>
              <w:rPr>
                <w:rFonts w:cs="Calibri"/>
                <w:b/>
                <w:sz w:val="18"/>
                <w:szCs w:val="18"/>
              </w:rPr>
            </w:pPr>
          </w:p>
        </w:tc>
        <w:tc>
          <w:tcPr>
            <w:tcW w:w="4314" w:type="dxa"/>
            <w:shd w:val="clear" w:color="auto" w:fill="auto"/>
            <w:vAlign w:val="center"/>
          </w:tcPr>
          <w:p w14:paraId="57E9DA8B" w14:textId="3201DA04" w:rsidR="00873474" w:rsidRPr="00863287" w:rsidRDefault="00873474" w:rsidP="00ED6EB7">
            <w:pPr>
              <w:ind w:left="144"/>
              <w:rPr>
                <w:rFonts w:cs="Calibri"/>
              </w:rPr>
            </w:pPr>
            <w:r w:rsidRPr="00863287">
              <w:rPr>
                <w:rFonts w:cs="Calibri"/>
              </w:rPr>
              <w:t xml:space="preserve">C.  </w:t>
            </w:r>
            <w:r w:rsidR="00C01703">
              <w:rPr>
                <w:rFonts w:cs="Calibri"/>
              </w:rPr>
              <w:t>Not disclosed</w:t>
            </w:r>
          </w:p>
        </w:tc>
        <w:tc>
          <w:tcPr>
            <w:tcW w:w="876" w:type="dxa"/>
            <w:shd w:val="clear" w:color="auto" w:fill="auto"/>
            <w:vAlign w:val="bottom"/>
          </w:tcPr>
          <w:p w14:paraId="4171EAD3" w14:textId="377F922E" w:rsidR="00873474" w:rsidRPr="00863287" w:rsidRDefault="00F4703F" w:rsidP="00ED6EB7">
            <w:pPr>
              <w:rPr>
                <w:rFonts w:cs="Calibri"/>
              </w:rPr>
            </w:pPr>
            <w:r>
              <w:rPr>
                <w:rFonts w:cs="Calibri"/>
              </w:rPr>
              <w:t>1</w:t>
            </w:r>
            <w:r w:rsidR="00844F51">
              <w:rPr>
                <w:rFonts w:cs="Calibri"/>
              </w:rPr>
              <w:t>2</w:t>
            </w:r>
          </w:p>
        </w:tc>
        <w:tc>
          <w:tcPr>
            <w:tcW w:w="3640" w:type="dxa"/>
            <w:shd w:val="clear" w:color="auto" w:fill="auto"/>
            <w:vAlign w:val="bottom"/>
          </w:tcPr>
          <w:p w14:paraId="4A4A82CF" w14:textId="787491DD" w:rsidR="00873474" w:rsidRPr="00863287" w:rsidRDefault="00161927" w:rsidP="00ED6EB7">
            <w:pPr>
              <w:rPr>
                <w:rFonts w:cs="Calibri"/>
              </w:rPr>
            </w:pPr>
            <w:r>
              <w:rPr>
                <w:rFonts w:cs="Calibri"/>
              </w:rPr>
              <w:t>7%</w:t>
            </w:r>
          </w:p>
        </w:tc>
      </w:tr>
      <w:tr w:rsidR="00F4703F" w:rsidRPr="0070451B" w14:paraId="6B0B6220" w14:textId="77777777" w:rsidTr="00F4703F">
        <w:trPr>
          <w:trHeight w:val="432"/>
        </w:trPr>
        <w:tc>
          <w:tcPr>
            <w:tcW w:w="877" w:type="dxa"/>
            <w:vMerge w:val="restart"/>
            <w:shd w:val="clear" w:color="auto" w:fill="auto"/>
            <w:textDirection w:val="btLr"/>
            <w:vAlign w:val="center"/>
          </w:tcPr>
          <w:p w14:paraId="0A2EB0E4" w14:textId="423DF031" w:rsidR="00F4703F" w:rsidRPr="00863287" w:rsidRDefault="00F4703F" w:rsidP="00ED6EB7">
            <w:pPr>
              <w:ind w:right="113"/>
              <w:jc w:val="center"/>
              <w:rPr>
                <w:rFonts w:cs="Calibri"/>
                <w:b/>
                <w:sz w:val="18"/>
                <w:szCs w:val="18"/>
              </w:rPr>
            </w:pPr>
            <w:r w:rsidRPr="00863287">
              <w:rPr>
                <w:rFonts w:cs="Calibri"/>
                <w:b/>
                <w:sz w:val="18"/>
                <w:szCs w:val="18"/>
              </w:rPr>
              <w:t>Age</w:t>
            </w:r>
          </w:p>
        </w:tc>
        <w:tc>
          <w:tcPr>
            <w:tcW w:w="4314" w:type="dxa"/>
            <w:shd w:val="clear" w:color="auto" w:fill="auto"/>
            <w:vAlign w:val="center"/>
          </w:tcPr>
          <w:p w14:paraId="3C44D3D9" w14:textId="1BB8004C" w:rsidR="00F4703F" w:rsidRPr="00863287" w:rsidRDefault="00F4703F" w:rsidP="00873474">
            <w:pPr>
              <w:numPr>
                <w:ilvl w:val="0"/>
                <w:numId w:val="30"/>
              </w:numPr>
              <w:spacing w:before="0" w:after="0" w:line="240" w:lineRule="auto"/>
              <w:rPr>
                <w:rFonts w:cs="Calibri"/>
              </w:rPr>
            </w:pPr>
            <w:r>
              <w:rPr>
                <w:rFonts w:cs="Calibri"/>
              </w:rPr>
              <w:t>14 and under</w:t>
            </w:r>
          </w:p>
        </w:tc>
        <w:tc>
          <w:tcPr>
            <w:tcW w:w="876" w:type="dxa"/>
            <w:shd w:val="clear" w:color="auto" w:fill="auto"/>
            <w:vAlign w:val="bottom"/>
          </w:tcPr>
          <w:p w14:paraId="37800E70" w14:textId="0E3508E0" w:rsidR="00F4703F" w:rsidRPr="00863287" w:rsidRDefault="00844F51" w:rsidP="00ED6EB7">
            <w:pPr>
              <w:rPr>
                <w:rFonts w:cs="Calibri"/>
              </w:rPr>
            </w:pPr>
            <w:r>
              <w:rPr>
                <w:rFonts w:cs="Calibri"/>
              </w:rPr>
              <w:t>69</w:t>
            </w:r>
          </w:p>
        </w:tc>
        <w:tc>
          <w:tcPr>
            <w:tcW w:w="3640" w:type="dxa"/>
            <w:shd w:val="clear" w:color="auto" w:fill="auto"/>
            <w:vAlign w:val="bottom"/>
          </w:tcPr>
          <w:p w14:paraId="46B6BA06" w14:textId="380163B2" w:rsidR="00F4703F" w:rsidRPr="00863287" w:rsidRDefault="008F4308" w:rsidP="00ED6EB7">
            <w:pPr>
              <w:rPr>
                <w:rFonts w:cs="Calibri"/>
              </w:rPr>
            </w:pPr>
            <w:r>
              <w:rPr>
                <w:rFonts w:cs="Calibri"/>
              </w:rPr>
              <w:t>4</w:t>
            </w:r>
            <w:r w:rsidR="00161927">
              <w:rPr>
                <w:rFonts w:cs="Calibri"/>
              </w:rPr>
              <w:t>5%</w:t>
            </w:r>
          </w:p>
        </w:tc>
      </w:tr>
      <w:tr w:rsidR="00F4703F" w:rsidRPr="0070451B" w14:paraId="5A14AFC5" w14:textId="77777777" w:rsidTr="00F4703F">
        <w:trPr>
          <w:trHeight w:val="432"/>
        </w:trPr>
        <w:tc>
          <w:tcPr>
            <w:tcW w:w="877" w:type="dxa"/>
            <w:vMerge/>
            <w:shd w:val="clear" w:color="auto" w:fill="auto"/>
            <w:textDirection w:val="btLr"/>
            <w:vAlign w:val="center"/>
          </w:tcPr>
          <w:p w14:paraId="5147A9AB" w14:textId="5039534F" w:rsidR="00F4703F" w:rsidRPr="00863287" w:rsidRDefault="00F4703F" w:rsidP="00ED6EB7">
            <w:pPr>
              <w:ind w:right="113"/>
              <w:jc w:val="center"/>
              <w:rPr>
                <w:rFonts w:cs="Calibri"/>
                <w:b/>
                <w:sz w:val="18"/>
                <w:szCs w:val="18"/>
              </w:rPr>
            </w:pPr>
          </w:p>
        </w:tc>
        <w:tc>
          <w:tcPr>
            <w:tcW w:w="4314" w:type="dxa"/>
            <w:shd w:val="clear" w:color="auto" w:fill="auto"/>
            <w:vAlign w:val="center"/>
          </w:tcPr>
          <w:p w14:paraId="4544D691" w14:textId="77777777" w:rsidR="00F4703F" w:rsidRPr="00863287" w:rsidRDefault="00F4703F" w:rsidP="00873474">
            <w:pPr>
              <w:numPr>
                <w:ilvl w:val="0"/>
                <w:numId w:val="30"/>
              </w:numPr>
              <w:spacing w:before="0" w:after="0" w:line="240" w:lineRule="auto"/>
              <w:rPr>
                <w:rFonts w:cs="Calibri"/>
              </w:rPr>
            </w:pPr>
            <w:r w:rsidRPr="00863287">
              <w:rPr>
                <w:rFonts w:cs="Calibri"/>
              </w:rPr>
              <w:t>14 – 15</w:t>
            </w:r>
          </w:p>
        </w:tc>
        <w:tc>
          <w:tcPr>
            <w:tcW w:w="876" w:type="dxa"/>
            <w:shd w:val="clear" w:color="auto" w:fill="auto"/>
            <w:vAlign w:val="bottom"/>
          </w:tcPr>
          <w:p w14:paraId="7CE86385" w14:textId="532EC9DE" w:rsidR="00F4703F" w:rsidRPr="00863287" w:rsidRDefault="00844F51" w:rsidP="00ED6EB7">
            <w:pPr>
              <w:rPr>
                <w:rFonts w:cs="Calibri"/>
              </w:rPr>
            </w:pPr>
            <w:r>
              <w:rPr>
                <w:rFonts w:cs="Calibri"/>
              </w:rPr>
              <w:t>25</w:t>
            </w:r>
          </w:p>
        </w:tc>
        <w:tc>
          <w:tcPr>
            <w:tcW w:w="3640" w:type="dxa"/>
            <w:shd w:val="clear" w:color="auto" w:fill="auto"/>
            <w:vAlign w:val="bottom"/>
          </w:tcPr>
          <w:p w14:paraId="7A3EE644" w14:textId="75A4C9BC" w:rsidR="00F4703F" w:rsidRPr="00863287" w:rsidRDefault="008F4308" w:rsidP="00ED6EB7">
            <w:pPr>
              <w:rPr>
                <w:rFonts w:cs="Calibri"/>
              </w:rPr>
            </w:pPr>
            <w:r>
              <w:rPr>
                <w:rFonts w:cs="Calibri"/>
              </w:rPr>
              <w:t>16</w:t>
            </w:r>
            <w:r w:rsidR="00161927">
              <w:rPr>
                <w:rFonts w:cs="Calibri"/>
              </w:rPr>
              <w:t>%</w:t>
            </w:r>
          </w:p>
        </w:tc>
      </w:tr>
      <w:tr w:rsidR="00F4703F" w:rsidRPr="0070451B" w14:paraId="0E631E0F" w14:textId="77777777" w:rsidTr="00F4703F">
        <w:trPr>
          <w:trHeight w:val="432"/>
        </w:trPr>
        <w:tc>
          <w:tcPr>
            <w:tcW w:w="877" w:type="dxa"/>
            <w:vMerge/>
            <w:shd w:val="clear" w:color="auto" w:fill="auto"/>
            <w:textDirection w:val="btLr"/>
            <w:vAlign w:val="center"/>
          </w:tcPr>
          <w:p w14:paraId="66A7F626" w14:textId="77777777" w:rsidR="00F4703F" w:rsidRPr="00863287" w:rsidRDefault="00F4703F" w:rsidP="00ED6EB7">
            <w:pPr>
              <w:ind w:right="113"/>
              <w:jc w:val="center"/>
              <w:rPr>
                <w:rFonts w:cs="Calibri"/>
                <w:b/>
                <w:sz w:val="18"/>
                <w:szCs w:val="18"/>
              </w:rPr>
            </w:pPr>
          </w:p>
        </w:tc>
        <w:tc>
          <w:tcPr>
            <w:tcW w:w="4314" w:type="dxa"/>
            <w:shd w:val="clear" w:color="auto" w:fill="auto"/>
            <w:vAlign w:val="center"/>
          </w:tcPr>
          <w:p w14:paraId="549B0AFC" w14:textId="77777777" w:rsidR="00F4703F" w:rsidRPr="00863287" w:rsidRDefault="00F4703F" w:rsidP="00ED6EB7">
            <w:pPr>
              <w:ind w:left="144"/>
              <w:rPr>
                <w:rFonts w:cs="Calibri"/>
              </w:rPr>
            </w:pPr>
            <w:r w:rsidRPr="00863287">
              <w:rPr>
                <w:rFonts w:cs="Calibri"/>
              </w:rPr>
              <w:t>B.  16 – 17</w:t>
            </w:r>
          </w:p>
        </w:tc>
        <w:tc>
          <w:tcPr>
            <w:tcW w:w="876" w:type="dxa"/>
            <w:shd w:val="clear" w:color="auto" w:fill="auto"/>
            <w:vAlign w:val="bottom"/>
          </w:tcPr>
          <w:p w14:paraId="5B015710" w14:textId="0E2519E9" w:rsidR="00F4703F" w:rsidRPr="00863287" w:rsidRDefault="00844F51" w:rsidP="00ED6EB7">
            <w:pPr>
              <w:rPr>
                <w:rFonts w:cs="Calibri"/>
              </w:rPr>
            </w:pPr>
            <w:r>
              <w:rPr>
                <w:rFonts w:cs="Calibri"/>
              </w:rPr>
              <w:t>38</w:t>
            </w:r>
          </w:p>
        </w:tc>
        <w:tc>
          <w:tcPr>
            <w:tcW w:w="3640" w:type="dxa"/>
            <w:shd w:val="clear" w:color="auto" w:fill="auto"/>
            <w:vAlign w:val="bottom"/>
          </w:tcPr>
          <w:p w14:paraId="5D75E1C5" w14:textId="13D31CF5" w:rsidR="00F4703F" w:rsidRPr="00863287" w:rsidRDefault="008F4308" w:rsidP="00ED6EB7">
            <w:pPr>
              <w:rPr>
                <w:rFonts w:cs="Calibri"/>
              </w:rPr>
            </w:pPr>
            <w:r>
              <w:rPr>
                <w:rFonts w:cs="Calibri"/>
              </w:rPr>
              <w:t>25</w:t>
            </w:r>
            <w:r w:rsidR="00161927">
              <w:rPr>
                <w:rFonts w:cs="Calibri"/>
              </w:rPr>
              <w:t>%</w:t>
            </w:r>
          </w:p>
        </w:tc>
      </w:tr>
      <w:tr w:rsidR="00F4703F" w:rsidRPr="0070451B" w14:paraId="67736CBA" w14:textId="77777777" w:rsidTr="00F4703F">
        <w:trPr>
          <w:trHeight w:val="432"/>
        </w:trPr>
        <w:tc>
          <w:tcPr>
            <w:tcW w:w="877" w:type="dxa"/>
            <w:vMerge/>
            <w:shd w:val="clear" w:color="auto" w:fill="auto"/>
            <w:textDirection w:val="btLr"/>
            <w:vAlign w:val="center"/>
          </w:tcPr>
          <w:p w14:paraId="0B84D09D" w14:textId="77777777" w:rsidR="00F4703F" w:rsidRPr="00863287" w:rsidRDefault="00F4703F" w:rsidP="00ED6EB7">
            <w:pPr>
              <w:ind w:right="113"/>
              <w:jc w:val="right"/>
              <w:rPr>
                <w:rFonts w:cs="Calibri"/>
                <w:b/>
                <w:sz w:val="18"/>
                <w:szCs w:val="18"/>
              </w:rPr>
            </w:pPr>
          </w:p>
        </w:tc>
        <w:tc>
          <w:tcPr>
            <w:tcW w:w="4314" w:type="dxa"/>
            <w:shd w:val="clear" w:color="auto" w:fill="auto"/>
            <w:vAlign w:val="center"/>
          </w:tcPr>
          <w:p w14:paraId="0143BC21" w14:textId="77777777" w:rsidR="00F4703F" w:rsidRPr="00863287" w:rsidRDefault="00F4703F" w:rsidP="00ED6EB7">
            <w:pPr>
              <w:ind w:left="144"/>
              <w:rPr>
                <w:rFonts w:cs="Calibri"/>
              </w:rPr>
            </w:pPr>
            <w:r w:rsidRPr="00863287">
              <w:rPr>
                <w:rFonts w:cs="Calibri"/>
              </w:rPr>
              <w:t>D.  1</w:t>
            </w:r>
            <w:r>
              <w:rPr>
                <w:rFonts w:cs="Calibri"/>
              </w:rPr>
              <w:t>8</w:t>
            </w:r>
            <w:r w:rsidRPr="00863287">
              <w:rPr>
                <w:rFonts w:cs="Calibri"/>
              </w:rPr>
              <w:t xml:space="preserve"> – 21</w:t>
            </w:r>
          </w:p>
        </w:tc>
        <w:tc>
          <w:tcPr>
            <w:tcW w:w="876" w:type="dxa"/>
            <w:shd w:val="clear" w:color="auto" w:fill="auto"/>
            <w:vAlign w:val="bottom"/>
          </w:tcPr>
          <w:p w14:paraId="1E94EE18" w14:textId="481DDFD0" w:rsidR="00F4703F" w:rsidRPr="00863287" w:rsidRDefault="00844F51" w:rsidP="00ED6EB7">
            <w:pPr>
              <w:rPr>
                <w:rFonts w:cs="Calibri"/>
              </w:rPr>
            </w:pPr>
            <w:r>
              <w:rPr>
                <w:rFonts w:cs="Calibri"/>
              </w:rPr>
              <w:t>20</w:t>
            </w:r>
          </w:p>
        </w:tc>
        <w:tc>
          <w:tcPr>
            <w:tcW w:w="3640" w:type="dxa"/>
            <w:vAlign w:val="bottom"/>
          </w:tcPr>
          <w:p w14:paraId="527ED9B9" w14:textId="37A38840" w:rsidR="00F4703F" w:rsidRPr="00863287" w:rsidRDefault="008F4308" w:rsidP="00ED6EB7">
            <w:pPr>
              <w:rPr>
                <w:rFonts w:cs="Calibri"/>
              </w:rPr>
            </w:pPr>
            <w:r>
              <w:rPr>
                <w:rFonts w:cs="Calibri"/>
              </w:rPr>
              <w:t>13</w:t>
            </w:r>
            <w:r w:rsidR="00161927">
              <w:rPr>
                <w:rFonts w:cs="Calibri"/>
              </w:rPr>
              <w:t>%</w:t>
            </w:r>
          </w:p>
        </w:tc>
      </w:tr>
      <w:tr w:rsidR="00F4703F" w:rsidRPr="0070451B" w14:paraId="516B0215" w14:textId="77777777" w:rsidTr="00F4703F">
        <w:trPr>
          <w:trHeight w:val="432"/>
        </w:trPr>
        <w:tc>
          <w:tcPr>
            <w:tcW w:w="877" w:type="dxa"/>
            <w:vMerge/>
            <w:shd w:val="clear" w:color="auto" w:fill="auto"/>
            <w:textDirection w:val="btLr"/>
            <w:vAlign w:val="center"/>
          </w:tcPr>
          <w:p w14:paraId="521F0DE9" w14:textId="77777777" w:rsidR="00F4703F" w:rsidRPr="00863287" w:rsidRDefault="00F4703F" w:rsidP="00ED6EB7">
            <w:pPr>
              <w:ind w:right="113"/>
              <w:jc w:val="right"/>
              <w:rPr>
                <w:rFonts w:cs="Calibri"/>
                <w:b/>
                <w:sz w:val="18"/>
                <w:szCs w:val="18"/>
              </w:rPr>
            </w:pPr>
          </w:p>
        </w:tc>
        <w:tc>
          <w:tcPr>
            <w:tcW w:w="4314" w:type="dxa"/>
            <w:shd w:val="clear" w:color="auto" w:fill="auto"/>
            <w:vAlign w:val="center"/>
          </w:tcPr>
          <w:p w14:paraId="0C658488" w14:textId="77777777" w:rsidR="00F4703F" w:rsidRPr="00863287" w:rsidRDefault="00F4703F" w:rsidP="00ED6EB7">
            <w:pPr>
              <w:ind w:left="144"/>
              <w:rPr>
                <w:rFonts w:cs="Calibri"/>
              </w:rPr>
            </w:pPr>
            <w:r w:rsidRPr="00863287">
              <w:rPr>
                <w:rFonts w:cs="Calibri"/>
              </w:rPr>
              <w:t>E.  22 – 24</w:t>
            </w:r>
          </w:p>
        </w:tc>
        <w:tc>
          <w:tcPr>
            <w:tcW w:w="876" w:type="dxa"/>
            <w:shd w:val="clear" w:color="auto" w:fill="auto"/>
            <w:vAlign w:val="bottom"/>
          </w:tcPr>
          <w:p w14:paraId="2D9A0390" w14:textId="13730C20" w:rsidR="00F4703F" w:rsidRPr="00863287" w:rsidRDefault="00844F51" w:rsidP="00ED6EB7">
            <w:pPr>
              <w:rPr>
                <w:rFonts w:cs="Calibri"/>
              </w:rPr>
            </w:pPr>
            <w:r>
              <w:rPr>
                <w:rFonts w:cs="Calibri"/>
              </w:rPr>
              <w:t>1</w:t>
            </w:r>
          </w:p>
        </w:tc>
        <w:tc>
          <w:tcPr>
            <w:tcW w:w="3640" w:type="dxa"/>
            <w:vAlign w:val="bottom"/>
          </w:tcPr>
          <w:p w14:paraId="088780F6" w14:textId="2683BECB" w:rsidR="00F4703F" w:rsidRPr="00863287" w:rsidRDefault="008F4308" w:rsidP="00ED6EB7">
            <w:pPr>
              <w:rPr>
                <w:rFonts w:cs="Calibri"/>
              </w:rPr>
            </w:pPr>
            <w:r>
              <w:rPr>
                <w:rFonts w:cs="Calibri"/>
              </w:rPr>
              <w:t>0</w:t>
            </w:r>
            <w:r w:rsidR="00161927">
              <w:rPr>
                <w:rFonts w:cs="Calibri"/>
              </w:rPr>
              <w:t>%</w:t>
            </w:r>
          </w:p>
        </w:tc>
      </w:tr>
      <w:tr w:rsidR="00873474" w:rsidRPr="0070451B" w14:paraId="71F7B067" w14:textId="77777777" w:rsidTr="00F4703F">
        <w:trPr>
          <w:trHeight w:val="432"/>
        </w:trPr>
        <w:tc>
          <w:tcPr>
            <w:tcW w:w="877" w:type="dxa"/>
            <w:vMerge w:val="restart"/>
            <w:shd w:val="clear" w:color="auto" w:fill="auto"/>
            <w:textDirection w:val="btLr"/>
            <w:vAlign w:val="center"/>
          </w:tcPr>
          <w:p w14:paraId="113BB99F" w14:textId="77777777" w:rsidR="00873474" w:rsidRPr="00863287" w:rsidRDefault="00873474" w:rsidP="00ED6EB7">
            <w:pPr>
              <w:ind w:left="113" w:right="113"/>
              <w:jc w:val="center"/>
              <w:rPr>
                <w:rFonts w:cs="Calibri"/>
                <w:b/>
                <w:sz w:val="18"/>
                <w:szCs w:val="18"/>
              </w:rPr>
            </w:pPr>
            <w:r w:rsidRPr="00863287">
              <w:rPr>
                <w:rFonts w:cs="Calibri"/>
                <w:b/>
                <w:sz w:val="18"/>
                <w:szCs w:val="18"/>
              </w:rPr>
              <w:t>Ethnicity / Race</w:t>
            </w:r>
          </w:p>
        </w:tc>
        <w:tc>
          <w:tcPr>
            <w:tcW w:w="4314" w:type="dxa"/>
            <w:shd w:val="clear" w:color="auto" w:fill="auto"/>
            <w:vAlign w:val="center"/>
          </w:tcPr>
          <w:p w14:paraId="3B4CC202" w14:textId="77777777" w:rsidR="00873474" w:rsidRPr="00863287" w:rsidRDefault="00873474" w:rsidP="00ED6EB7">
            <w:pPr>
              <w:ind w:left="144"/>
              <w:rPr>
                <w:rFonts w:cs="Calibri"/>
              </w:rPr>
            </w:pPr>
            <w:r w:rsidRPr="00863287">
              <w:rPr>
                <w:rFonts w:cs="Calibri"/>
              </w:rPr>
              <w:t>A.  Hispanic/Latino</w:t>
            </w:r>
          </w:p>
        </w:tc>
        <w:tc>
          <w:tcPr>
            <w:tcW w:w="876" w:type="dxa"/>
            <w:shd w:val="clear" w:color="auto" w:fill="auto"/>
            <w:vAlign w:val="bottom"/>
          </w:tcPr>
          <w:p w14:paraId="0ABB97E1" w14:textId="32090B08" w:rsidR="00873474" w:rsidRPr="00863287" w:rsidRDefault="00844F51" w:rsidP="00ED6EB7">
            <w:pPr>
              <w:rPr>
                <w:rFonts w:cs="Calibri"/>
              </w:rPr>
            </w:pPr>
            <w:r>
              <w:rPr>
                <w:rFonts w:cs="Calibri"/>
              </w:rPr>
              <w:t>1</w:t>
            </w:r>
          </w:p>
        </w:tc>
        <w:tc>
          <w:tcPr>
            <w:tcW w:w="3640" w:type="dxa"/>
            <w:vAlign w:val="bottom"/>
          </w:tcPr>
          <w:p w14:paraId="59BE3B59" w14:textId="17480D34" w:rsidR="00873474" w:rsidRPr="00863287" w:rsidRDefault="00161927" w:rsidP="00ED6EB7">
            <w:pPr>
              <w:rPr>
                <w:rFonts w:cs="Calibri"/>
              </w:rPr>
            </w:pPr>
            <w:r>
              <w:rPr>
                <w:rFonts w:cs="Calibri"/>
              </w:rPr>
              <w:t>0%</w:t>
            </w:r>
          </w:p>
        </w:tc>
      </w:tr>
      <w:tr w:rsidR="00873474" w:rsidRPr="0070451B" w14:paraId="2046BD39" w14:textId="77777777" w:rsidTr="00F4703F">
        <w:trPr>
          <w:trHeight w:val="432"/>
        </w:trPr>
        <w:tc>
          <w:tcPr>
            <w:tcW w:w="877" w:type="dxa"/>
            <w:vMerge/>
            <w:shd w:val="clear" w:color="auto" w:fill="auto"/>
            <w:vAlign w:val="center"/>
          </w:tcPr>
          <w:p w14:paraId="46374EE9"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52DB2546" w14:textId="77777777" w:rsidR="00873474" w:rsidRPr="00863287" w:rsidRDefault="00873474" w:rsidP="00ED6EB7">
            <w:pPr>
              <w:ind w:left="144"/>
              <w:rPr>
                <w:rFonts w:cs="Calibri"/>
              </w:rPr>
            </w:pPr>
            <w:r w:rsidRPr="00863287">
              <w:rPr>
                <w:rFonts w:cs="Calibri"/>
              </w:rPr>
              <w:t xml:space="preserve">B.  American Indian or </w:t>
            </w:r>
            <w:smartTag w:uri="urn:schemas-microsoft-com:office:smarttags" w:element="State">
              <w:smartTag w:uri="urn:schemas-microsoft-com:office:smarttags" w:element="place">
                <w:r w:rsidRPr="00863287">
                  <w:rPr>
                    <w:rFonts w:cs="Calibri"/>
                  </w:rPr>
                  <w:t>Alaska</w:t>
                </w:r>
              </w:smartTag>
            </w:smartTag>
            <w:r w:rsidRPr="00863287">
              <w:rPr>
                <w:rFonts w:cs="Calibri"/>
              </w:rPr>
              <w:t xml:space="preserve"> Native</w:t>
            </w:r>
          </w:p>
        </w:tc>
        <w:tc>
          <w:tcPr>
            <w:tcW w:w="876" w:type="dxa"/>
            <w:shd w:val="clear" w:color="auto" w:fill="auto"/>
            <w:vAlign w:val="bottom"/>
          </w:tcPr>
          <w:p w14:paraId="3C31C619" w14:textId="30ABEB67" w:rsidR="00873474" w:rsidRPr="00863287" w:rsidRDefault="00844F51" w:rsidP="00ED6EB7">
            <w:pPr>
              <w:rPr>
                <w:rFonts w:cs="Calibri"/>
              </w:rPr>
            </w:pPr>
            <w:r>
              <w:rPr>
                <w:rFonts w:cs="Calibri"/>
              </w:rPr>
              <w:t>0</w:t>
            </w:r>
          </w:p>
        </w:tc>
        <w:tc>
          <w:tcPr>
            <w:tcW w:w="3640" w:type="dxa"/>
            <w:vAlign w:val="bottom"/>
          </w:tcPr>
          <w:p w14:paraId="5C89747D" w14:textId="251AF5D8" w:rsidR="00873474" w:rsidRPr="00863287" w:rsidRDefault="008F4308" w:rsidP="00ED6EB7">
            <w:pPr>
              <w:rPr>
                <w:rFonts w:cs="Calibri"/>
              </w:rPr>
            </w:pPr>
            <w:r>
              <w:rPr>
                <w:rFonts w:cs="Calibri"/>
              </w:rPr>
              <w:t>0</w:t>
            </w:r>
            <w:r w:rsidR="00161927">
              <w:rPr>
                <w:rFonts w:cs="Calibri"/>
              </w:rPr>
              <w:t>%</w:t>
            </w:r>
          </w:p>
        </w:tc>
      </w:tr>
      <w:tr w:rsidR="00873474" w:rsidRPr="0070451B" w14:paraId="558C4F4C" w14:textId="77777777" w:rsidTr="00F4703F">
        <w:trPr>
          <w:trHeight w:val="432"/>
        </w:trPr>
        <w:tc>
          <w:tcPr>
            <w:tcW w:w="877" w:type="dxa"/>
            <w:vMerge/>
            <w:shd w:val="clear" w:color="auto" w:fill="auto"/>
            <w:vAlign w:val="center"/>
          </w:tcPr>
          <w:p w14:paraId="54D5F711"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2F742C55" w14:textId="77777777" w:rsidR="00873474" w:rsidRPr="00863287" w:rsidRDefault="00873474" w:rsidP="00ED6EB7">
            <w:pPr>
              <w:ind w:left="144"/>
              <w:rPr>
                <w:rFonts w:cs="Calibri"/>
              </w:rPr>
            </w:pPr>
            <w:r w:rsidRPr="00863287">
              <w:rPr>
                <w:rFonts w:cs="Calibri"/>
              </w:rPr>
              <w:t>C.  Asian/Pacific Islander</w:t>
            </w:r>
          </w:p>
        </w:tc>
        <w:tc>
          <w:tcPr>
            <w:tcW w:w="876" w:type="dxa"/>
            <w:shd w:val="clear" w:color="auto" w:fill="auto"/>
            <w:vAlign w:val="bottom"/>
          </w:tcPr>
          <w:p w14:paraId="16D57499" w14:textId="1C5F07EB" w:rsidR="00873474" w:rsidRPr="00863287" w:rsidRDefault="00844F51" w:rsidP="00ED6EB7">
            <w:pPr>
              <w:rPr>
                <w:rFonts w:cs="Calibri"/>
              </w:rPr>
            </w:pPr>
            <w:r>
              <w:rPr>
                <w:rFonts w:cs="Calibri"/>
              </w:rPr>
              <w:t>8</w:t>
            </w:r>
          </w:p>
        </w:tc>
        <w:tc>
          <w:tcPr>
            <w:tcW w:w="3640" w:type="dxa"/>
            <w:vAlign w:val="bottom"/>
          </w:tcPr>
          <w:p w14:paraId="15E6E282" w14:textId="01A5829F" w:rsidR="00873474" w:rsidRPr="00863287" w:rsidRDefault="008F4308" w:rsidP="00ED6EB7">
            <w:pPr>
              <w:rPr>
                <w:rFonts w:cs="Calibri"/>
              </w:rPr>
            </w:pPr>
            <w:r>
              <w:rPr>
                <w:rFonts w:cs="Calibri"/>
              </w:rPr>
              <w:t>5</w:t>
            </w:r>
            <w:r w:rsidR="00161927">
              <w:rPr>
                <w:rFonts w:cs="Calibri"/>
              </w:rPr>
              <w:t>%</w:t>
            </w:r>
          </w:p>
        </w:tc>
      </w:tr>
      <w:tr w:rsidR="00873474" w:rsidRPr="0070451B" w14:paraId="1A90EBB6" w14:textId="77777777" w:rsidTr="00F4703F">
        <w:trPr>
          <w:trHeight w:val="432"/>
        </w:trPr>
        <w:tc>
          <w:tcPr>
            <w:tcW w:w="877" w:type="dxa"/>
            <w:vMerge/>
            <w:shd w:val="clear" w:color="auto" w:fill="auto"/>
            <w:vAlign w:val="center"/>
          </w:tcPr>
          <w:p w14:paraId="02CAE7B0"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3D26EC95" w14:textId="77777777" w:rsidR="00873474" w:rsidRPr="00863287" w:rsidRDefault="00873474" w:rsidP="00ED6EB7">
            <w:pPr>
              <w:ind w:left="144"/>
              <w:rPr>
                <w:rFonts w:cs="Calibri"/>
              </w:rPr>
            </w:pPr>
            <w:r w:rsidRPr="00863287">
              <w:rPr>
                <w:rFonts w:cs="Calibri"/>
              </w:rPr>
              <w:t>D.  Black or African American</w:t>
            </w:r>
          </w:p>
        </w:tc>
        <w:tc>
          <w:tcPr>
            <w:tcW w:w="876" w:type="dxa"/>
            <w:shd w:val="clear" w:color="auto" w:fill="auto"/>
            <w:vAlign w:val="bottom"/>
          </w:tcPr>
          <w:p w14:paraId="194ED8F7" w14:textId="4F0BA044" w:rsidR="00873474" w:rsidRPr="00863287" w:rsidRDefault="00F4703F" w:rsidP="00ED6EB7">
            <w:pPr>
              <w:rPr>
                <w:rFonts w:cs="Calibri"/>
              </w:rPr>
            </w:pPr>
            <w:r>
              <w:rPr>
                <w:rFonts w:cs="Calibri"/>
              </w:rPr>
              <w:t>1</w:t>
            </w:r>
            <w:r w:rsidR="00844F51">
              <w:rPr>
                <w:rFonts w:cs="Calibri"/>
              </w:rPr>
              <w:t>30</w:t>
            </w:r>
          </w:p>
        </w:tc>
        <w:tc>
          <w:tcPr>
            <w:tcW w:w="3640" w:type="dxa"/>
            <w:vAlign w:val="bottom"/>
          </w:tcPr>
          <w:p w14:paraId="00E63521" w14:textId="202BA735" w:rsidR="00873474" w:rsidRPr="00863287" w:rsidRDefault="008F4308" w:rsidP="00ED6EB7">
            <w:pPr>
              <w:rPr>
                <w:rFonts w:cs="Calibri"/>
              </w:rPr>
            </w:pPr>
            <w:r>
              <w:rPr>
                <w:rFonts w:cs="Calibri"/>
              </w:rPr>
              <w:t>85</w:t>
            </w:r>
            <w:r w:rsidR="00161927">
              <w:rPr>
                <w:rFonts w:cs="Calibri"/>
              </w:rPr>
              <w:t>%</w:t>
            </w:r>
          </w:p>
        </w:tc>
      </w:tr>
      <w:tr w:rsidR="00873474" w:rsidRPr="0070451B" w14:paraId="77FE4CC4" w14:textId="77777777" w:rsidTr="00F4703F">
        <w:trPr>
          <w:trHeight w:val="432"/>
        </w:trPr>
        <w:tc>
          <w:tcPr>
            <w:tcW w:w="877" w:type="dxa"/>
            <w:vMerge/>
            <w:shd w:val="clear" w:color="auto" w:fill="auto"/>
            <w:vAlign w:val="center"/>
          </w:tcPr>
          <w:p w14:paraId="44AF6BDA"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18C95B28" w14:textId="77777777" w:rsidR="00873474" w:rsidRPr="00863287" w:rsidRDefault="00873474" w:rsidP="00ED6EB7">
            <w:pPr>
              <w:ind w:left="144"/>
              <w:rPr>
                <w:rFonts w:cs="Calibri"/>
              </w:rPr>
            </w:pPr>
            <w:r w:rsidRPr="00863287">
              <w:rPr>
                <w:rFonts w:cs="Calibri"/>
              </w:rPr>
              <w:t xml:space="preserve">E. </w:t>
            </w:r>
            <w:r>
              <w:rPr>
                <w:rFonts w:cs="Calibri"/>
              </w:rPr>
              <w:t xml:space="preserve"> </w:t>
            </w:r>
            <w:r w:rsidRPr="00863287">
              <w:rPr>
                <w:rFonts w:cs="Calibri"/>
              </w:rPr>
              <w:t>White</w:t>
            </w:r>
          </w:p>
        </w:tc>
        <w:tc>
          <w:tcPr>
            <w:tcW w:w="876" w:type="dxa"/>
            <w:shd w:val="clear" w:color="auto" w:fill="auto"/>
            <w:vAlign w:val="bottom"/>
          </w:tcPr>
          <w:p w14:paraId="7FBADE4D" w14:textId="658FED65" w:rsidR="00873474" w:rsidRPr="00863287" w:rsidRDefault="00844F51" w:rsidP="00ED6EB7">
            <w:pPr>
              <w:rPr>
                <w:rFonts w:cs="Calibri"/>
              </w:rPr>
            </w:pPr>
            <w:r>
              <w:rPr>
                <w:rFonts w:cs="Calibri"/>
              </w:rPr>
              <w:t>5</w:t>
            </w:r>
          </w:p>
        </w:tc>
        <w:tc>
          <w:tcPr>
            <w:tcW w:w="3640" w:type="dxa"/>
            <w:vAlign w:val="bottom"/>
          </w:tcPr>
          <w:p w14:paraId="3EEF28D5" w14:textId="1B48FFCD" w:rsidR="00873474" w:rsidRPr="00863287" w:rsidRDefault="008F4308" w:rsidP="00ED6EB7">
            <w:pPr>
              <w:rPr>
                <w:rFonts w:cs="Calibri"/>
              </w:rPr>
            </w:pPr>
            <w:r>
              <w:rPr>
                <w:rFonts w:cs="Calibri"/>
              </w:rPr>
              <w:t>3</w:t>
            </w:r>
            <w:r w:rsidR="00161927">
              <w:rPr>
                <w:rFonts w:cs="Calibri"/>
              </w:rPr>
              <w:t>%</w:t>
            </w:r>
          </w:p>
        </w:tc>
      </w:tr>
      <w:tr w:rsidR="00873474" w:rsidRPr="0070451B" w14:paraId="246F6A4D" w14:textId="77777777" w:rsidTr="00F4703F">
        <w:trPr>
          <w:trHeight w:val="432"/>
        </w:trPr>
        <w:tc>
          <w:tcPr>
            <w:tcW w:w="877" w:type="dxa"/>
            <w:vMerge/>
            <w:shd w:val="clear" w:color="auto" w:fill="auto"/>
            <w:vAlign w:val="center"/>
          </w:tcPr>
          <w:p w14:paraId="71D3EFCA"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6AA30A7F" w14:textId="77777777" w:rsidR="00873474" w:rsidRPr="00863287" w:rsidRDefault="00873474" w:rsidP="00ED6EB7">
            <w:pPr>
              <w:ind w:left="144"/>
              <w:rPr>
                <w:rFonts w:cs="Calibri"/>
              </w:rPr>
            </w:pPr>
            <w:r>
              <w:rPr>
                <w:rFonts w:cs="Calibri"/>
              </w:rPr>
              <w:t>F.  Multiracial</w:t>
            </w:r>
          </w:p>
        </w:tc>
        <w:tc>
          <w:tcPr>
            <w:tcW w:w="876" w:type="dxa"/>
            <w:shd w:val="clear" w:color="auto" w:fill="auto"/>
            <w:vAlign w:val="bottom"/>
          </w:tcPr>
          <w:p w14:paraId="0BD69C8E" w14:textId="75931C8F" w:rsidR="00873474" w:rsidRPr="00863287" w:rsidRDefault="00844F51" w:rsidP="00ED6EB7">
            <w:pPr>
              <w:rPr>
                <w:rFonts w:cs="Calibri"/>
              </w:rPr>
            </w:pPr>
            <w:r>
              <w:rPr>
                <w:rFonts w:cs="Calibri"/>
              </w:rPr>
              <w:t>9</w:t>
            </w:r>
          </w:p>
        </w:tc>
        <w:tc>
          <w:tcPr>
            <w:tcW w:w="3640" w:type="dxa"/>
            <w:vAlign w:val="bottom"/>
          </w:tcPr>
          <w:p w14:paraId="4340B513" w14:textId="7FE7955D" w:rsidR="00873474" w:rsidRPr="00863287" w:rsidRDefault="008F4308" w:rsidP="00ED6EB7">
            <w:pPr>
              <w:rPr>
                <w:rFonts w:cs="Calibri"/>
              </w:rPr>
            </w:pPr>
            <w:r>
              <w:rPr>
                <w:rFonts w:cs="Calibri"/>
              </w:rPr>
              <w:t>5</w:t>
            </w:r>
            <w:r w:rsidR="00161927">
              <w:rPr>
                <w:rFonts w:cs="Calibri"/>
              </w:rPr>
              <w:t>%</w:t>
            </w:r>
          </w:p>
        </w:tc>
      </w:tr>
      <w:tr w:rsidR="00873474" w:rsidRPr="0070451B" w14:paraId="3858B5B1" w14:textId="77777777" w:rsidTr="00F4703F">
        <w:trPr>
          <w:trHeight w:val="432"/>
        </w:trPr>
        <w:tc>
          <w:tcPr>
            <w:tcW w:w="877" w:type="dxa"/>
            <w:vMerge/>
            <w:shd w:val="clear" w:color="auto" w:fill="auto"/>
            <w:vAlign w:val="center"/>
          </w:tcPr>
          <w:p w14:paraId="614DE1FD"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03E394D5" w14:textId="77777777" w:rsidR="00873474" w:rsidRPr="00863287" w:rsidRDefault="00873474" w:rsidP="00ED6EB7">
            <w:pPr>
              <w:ind w:left="144"/>
              <w:rPr>
                <w:rFonts w:cs="Calibri"/>
              </w:rPr>
            </w:pPr>
            <w:r>
              <w:rPr>
                <w:rFonts w:cs="Calibri"/>
              </w:rPr>
              <w:t>G. Not Disclosed</w:t>
            </w:r>
          </w:p>
        </w:tc>
        <w:tc>
          <w:tcPr>
            <w:tcW w:w="876" w:type="dxa"/>
            <w:shd w:val="clear" w:color="auto" w:fill="auto"/>
            <w:vAlign w:val="bottom"/>
          </w:tcPr>
          <w:p w14:paraId="4CD174C3" w14:textId="6B21168A" w:rsidR="00873474" w:rsidRPr="00863287" w:rsidRDefault="00844F51" w:rsidP="00ED6EB7">
            <w:pPr>
              <w:rPr>
                <w:rFonts w:cs="Calibri"/>
              </w:rPr>
            </w:pPr>
            <w:r>
              <w:rPr>
                <w:rFonts w:cs="Calibri"/>
              </w:rPr>
              <w:t>0</w:t>
            </w:r>
          </w:p>
        </w:tc>
        <w:tc>
          <w:tcPr>
            <w:tcW w:w="3640" w:type="dxa"/>
            <w:vAlign w:val="bottom"/>
          </w:tcPr>
          <w:p w14:paraId="1A793E53" w14:textId="69C6F7F8" w:rsidR="00873474" w:rsidRPr="00863287" w:rsidRDefault="00844F51" w:rsidP="00ED6EB7">
            <w:pPr>
              <w:rPr>
                <w:rFonts w:cs="Calibri"/>
              </w:rPr>
            </w:pPr>
            <w:r>
              <w:rPr>
                <w:rFonts w:cs="Calibri"/>
              </w:rPr>
              <w:t>0</w:t>
            </w:r>
            <w:r w:rsidR="00161927">
              <w:rPr>
                <w:rFonts w:cs="Calibri"/>
              </w:rPr>
              <w:t>%</w:t>
            </w:r>
          </w:p>
        </w:tc>
      </w:tr>
      <w:tr w:rsidR="00873474" w:rsidRPr="0070451B" w14:paraId="58C14EFE" w14:textId="77777777" w:rsidTr="00F4703F">
        <w:trPr>
          <w:trHeight w:val="432"/>
        </w:trPr>
        <w:tc>
          <w:tcPr>
            <w:tcW w:w="877" w:type="dxa"/>
            <w:vMerge w:val="restart"/>
            <w:shd w:val="clear" w:color="auto" w:fill="auto"/>
            <w:textDirection w:val="btLr"/>
            <w:vAlign w:val="center"/>
          </w:tcPr>
          <w:p w14:paraId="3E3F2257" w14:textId="77777777" w:rsidR="00873474" w:rsidRPr="00863287" w:rsidRDefault="00873474" w:rsidP="00ED6EB7">
            <w:pPr>
              <w:ind w:left="113" w:right="113"/>
              <w:jc w:val="center"/>
              <w:rPr>
                <w:rFonts w:cs="Calibri"/>
                <w:b/>
                <w:sz w:val="18"/>
                <w:szCs w:val="18"/>
              </w:rPr>
            </w:pPr>
            <w:r w:rsidRPr="00863287">
              <w:rPr>
                <w:rFonts w:cs="Calibri"/>
                <w:b/>
                <w:sz w:val="18"/>
                <w:szCs w:val="18"/>
              </w:rPr>
              <w:t>Education Level</w:t>
            </w:r>
          </w:p>
        </w:tc>
        <w:tc>
          <w:tcPr>
            <w:tcW w:w="4314" w:type="dxa"/>
            <w:shd w:val="clear" w:color="auto" w:fill="auto"/>
            <w:vAlign w:val="center"/>
          </w:tcPr>
          <w:p w14:paraId="171531AF" w14:textId="77777777" w:rsidR="00873474" w:rsidRPr="00863287" w:rsidRDefault="00873474" w:rsidP="00ED6EB7">
            <w:pPr>
              <w:ind w:left="144"/>
              <w:rPr>
                <w:rFonts w:cs="Calibri"/>
              </w:rPr>
            </w:pPr>
            <w:r w:rsidRPr="00863287">
              <w:rPr>
                <w:rFonts w:cs="Calibri"/>
              </w:rPr>
              <w:t xml:space="preserve">A. </w:t>
            </w:r>
            <w:r>
              <w:rPr>
                <w:rFonts w:cs="Calibri"/>
              </w:rPr>
              <w:t xml:space="preserve">0 </w:t>
            </w:r>
            <w:r w:rsidRPr="00863287">
              <w:rPr>
                <w:rFonts w:cs="Calibri"/>
              </w:rPr>
              <w:t>– 12</w:t>
            </w:r>
            <w:r w:rsidRPr="00863287">
              <w:rPr>
                <w:rFonts w:cs="Calibri"/>
                <w:vertAlign w:val="superscript"/>
              </w:rPr>
              <w:t>th</w:t>
            </w:r>
            <w:r w:rsidRPr="00863287">
              <w:rPr>
                <w:rFonts w:cs="Calibri"/>
              </w:rPr>
              <w:t xml:space="preserve"> Grade</w:t>
            </w:r>
          </w:p>
        </w:tc>
        <w:tc>
          <w:tcPr>
            <w:tcW w:w="876" w:type="dxa"/>
            <w:shd w:val="clear" w:color="auto" w:fill="auto"/>
            <w:vAlign w:val="bottom"/>
          </w:tcPr>
          <w:p w14:paraId="231FC464" w14:textId="480B63AC" w:rsidR="00873474" w:rsidRPr="00863287" w:rsidRDefault="00844F51" w:rsidP="00ED6EB7">
            <w:pPr>
              <w:rPr>
                <w:rFonts w:cs="Calibri"/>
              </w:rPr>
            </w:pPr>
            <w:r>
              <w:rPr>
                <w:rFonts w:cs="Calibri"/>
              </w:rPr>
              <w:t>147</w:t>
            </w:r>
          </w:p>
        </w:tc>
        <w:tc>
          <w:tcPr>
            <w:tcW w:w="3640" w:type="dxa"/>
            <w:vAlign w:val="bottom"/>
          </w:tcPr>
          <w:p w14:paraId="14BE048D" w14:textId="4D7BDA8E" w:rsidR="00873474" w:rsidRPr="00863287" w:rsidRDefault="008F4308" w:rsidP="00ED6EB7">
            <w:pPr>
              <w:rPr>
                <w:rFonts w:cs="Calibri"/>
              </w:rPr>
            </w:pPr>
            <w:r>
              <w:rPr>
                <w:rFonts w:cs="Calibri"/>
              </w:rPr>
              <w:t>96</w:t>
            </w:r>
            <w:r w:rsidR="00161927">
              <w:rPr>
                <w:rFonts w:cs="Calibri"/>
              </w:rPr>
              <w:t>%</w:t>
            </w:r>
          </w:p>
        </w:tc>
      </w:tr>
      <w:tr w:rsidR="00873474" w:rsidRPr="0070451B" w14:paraId="17E7AAF0" w14:textId="77777777" w:rsidTr="00F4703F">
        <w:trPr>
          <w:trHeight w:val="432"/>
        </w:trPr>
        <w:tc>
          <w:tcPr>
            <w:tcW w:w="877" w:type="dxa"/>
            <w:vMerge/>
            <w:shd w:val="clear" w:color="auto" w:fill="auto"/>
            <w:vAlign w:val="center"/>
          </w:tcPr>
          <w:p w14:paraId="0B0041D7" w14:textId="77777777" w:rsidR="00873474" w:rsidRPr="00863287" w:rsidRDefault="00873474" w:rsidP="00ED6EB7">
            <w:pPr>
              <w:jc w:val="center"/>
              <w:rPr>
                <w:rFonts w:cs="Calibri"/>
                <w:sz w:val="18"/>
                <w:szCs w:val="18"/>
              </w:rPr>
            </w:pPr>
          </w:p>
        </w:tc>
        <w:tc>
          <w:tcPr>
            <w:tcW w:w="4314" w:type="dxa"/>
            <w:shd w:val="clear" w:color="auto" w:fill="auto"/>
            <w:vAlign w:val="center"/>
          </w:tcPr>
          <w:p w14:paraId="23EA873C" w14:textId="77777777" w:rsidR="00873474" w:rsidRPr="00863287" w:rsidRDefault="00873474" w:rsidP="00ED6EB7">
            <w:pPr>
              <w:ind w:left="144"/>
              <w:rPr>
                <w:rFonts w:cs="Calibri"/>
              </w:rPr>
            </w:pPr>
            <w:r w:rsidRPr="00863287">
              <w:rPr>
                <w:rFonts w:cs="Calibri"/>
              </w:rPr>
              <w:t>C.  High School graduate or equivalent</w:t>
            </w:r>
          </w:p>
        </w:tc>
        <w:tc>
          <w:tcPr>
            <w:tcW w:w="876" w:type="dxa"/>
            <w:shd w:val="clear" w:color="auto" w:fill="auto"/>
            <w:vAlign w:val="bottom"/>
          </w:tcPr>
          <w:p w14:paraId="7752D020" w14:textId="0CC8FBB8" w:rsidR="00873474" w:rsidRPr="00863287" w:rsidRDefault="00844F51" w:rsidP="00ED6EB7">
            <w:pPr>
              <w:rPr>
                <w:rFonts w:cs="Calibri"/>
              </w:rPr>
            </w:pPr>
            <w:r>
              <w:rPr>
                <w:rFonts w:cs="Calibri"/>
              </w:rPr>
              <w:t>4</w:t>
            </w:r>
          </w:p>
        </w:tc>
        <w:tc>
          <w:tcPr>
            <w:tcW w:w="3640" w:type="dxa"/>
            <w:vAlign w:val="bottom"/>
          </w:tcPr>
          <w:p w14:paraId="3F0758D5" w14:textId="7722C587" w:rsidR="00873474" w:rsidRPr="00863287" w:rsidRDefault="008F4308" w:rsidP="00ED6EB7">
            <w:pPr>
              <w:rPr>
                <w:rFonts w:cs="Calibri"/>
              </w:rPr>
            </w:pPr>
            <w:r>
              <w:rPr>
                <w:rFonts w:cs="Calibri"/>
              </w:rPr>
              <w:t>3</w:t>
            </w:r>
            <w:r w:rsidR="00161927">
              <w:rPr>
                <w:rFonts w:cs="Calibri"/>
              </w:rPr>
              <w:t>%</w:t>
            </w:r>
          </w:p>
        </w:tc>
      </w:tr>
      <w:tr w:rsidR="00873474" w:rsidRPr="0070451B" w14:paraId="00737CAE" w14:textId="77777777" w:rsidTr="00F4703F">
        <w:trPr>
          <w:trHeight w:val="432"/>
        </w:trPr>
        <w:tc>
          <w:tcPr>
            <w:tcW w:w="877" w:type="dxa"/>
            <w:vMerge/>
            <w:shd w:val="clear" w:color="auto" w:fill="auto"/>
            <w:vAlign w:val="center"/>
          </w:tcPr>
          <w:p w14:paraId="2D957E93" w14:textId="77777777" w:rsidR="00873474" w:rsidRPr="00863287" w:rsidRDefault="00873474" w:rsidP="00ED6EB7">
            <w:pPr>
              <w:jc w:val="center"/>
              <w:rPr>
                <w:rFonts w:cs="Calibri"/>
                <w:sz w:val="18"/>
                <w:szCs w:val="18"/>
              </w:rPr>
            </w:pPr>
          </w:p>
        </w:tc>
        <w:tc>
          <w:tcPr>
            <w:tcW w:w="4314" w:type="dxa"/>
            <w:shd w:val="clear" w:color="auto" w:fill="auto"/>
            <w:vAlign w:val="center"/>
          </w:tcPr>
          <w:p w14:paraId="5B258885" w14:textId="77777777" w:rsidR="00873474" w:rsidRPr="00863287" w:rsidRDefault="00873474" w:rsidP="00ED6EB7">
            <w:pPr>
              <w:ind w:left="144"/>
              <w:rPr>
                <w:rFonts w:cs="Calibri"/>
              </w:rPr>
            </w:pPr>
            <w:r w:rsidRPr="00863287">
              <w:rPr>
                <w:rFonts w:cs="Calibri"/>
              </w:rPr>
              <w:t>D.  Post-Secondary Education</w:t>
            </w:r>
          </w:p>
        </w:tc>
        <w:tc>
          <w:tcPr>
            <w:tcW w:w="876" w:type="dxa"/>
            <w:shd w:val="clear" w:color="auto" w:fill="auto"/>
            <w:vAlign w:val="bottom"/>
          </w:tcPr>
          <w:p w14:paraId="49F33C38" w14:textId="260EFBDF" w:rsidR="00873474" w:rsidRPr="00863287" w:rsidRDefault="00844F51" w:rsidP="00ED6EB7">
            <w:pPr>
              <w:rPr>
                <w:rFonts w:cs="Calibri"/>
              </w:rPr>
            </w:pPr>
            <w:r>
              <w:rPr>
                <w:rFonts w:cs="Calibri"/>
              </w:rPr>
              <w:t>2</w:t>
            </w:r>
          </w:p>
        </w:tc>
        <w:tc>
          <w:tcPr>
            <w:tcW w:w="3640" w:type="dxa"/>
            <w:vAlign w:val="bottom"/>
          </w:tcPr>
          <w:p w14:paraId="135A0B62" w14:textId="1685B49A" w:rsidR="00873474" w:rsidRPr="00863287" w:rsidRDefault="008F4308" w:rsidP="00ED6EB7">
            <w:pPr>
              <w:rPr>
                <w:rFonts w:cs="Calibri"/>
              </w:rPr>
            </w:pPr>
            <w:r>
              <w:rPr>
                <w:rFonts w:cs="Calibri"/>
              </w:rPr>
              <w:t>1</w:t>
            </w:r>
            <w:r w:rsidR="00161927">
              <w:rPr>
                <w:rFonts w:cs="Calibri"/>
              </w:rPr>
              <w:t>%</w:t>
            </w:r>
          </w:p>
        </w:tc>
      </w:tr>
      <w:tr w:rsidR="00873474" w:rsidRPr="0070451B" w14:paraId="0FB08295" w14:textId="77777777" w:rsidTr="00F4703F">
        <w:trPr>
          <w:trHeight w:val="432"/>
        </w:trPr>
        <w:tc>
          <w:tcPr>
            <w:tcW w:w="877" w:type="dxa"/>
            <w:vMerge/>
            <w:shd w:val="clear" w:color="auto" w:fill="auto"/>
            <w:vAlign w:val="center"/>
          </w:tcPr>
          <w:p w14:paraId="6982DD06" w14:textId="77777777" w:rsidR="00873474" w:rsidRPr="00863287" w:rsidRDefault="00873474" w:rsidP="00ED6EB7">
            <w:pPr>
              <w:jc w:val="center"/>
              <w:rPr>
                <w:rFonts w:cs="Calibri"/>
                <w:sz w:val="18"/>
                <w:szCs w:val="18"/>
              </w:rPr>
            </w:pPr>
          </w:p>
        </w:tc>
        <w:tc>
          <w:tcPr>
            <w:tcW w:w="4314" w:type="dxa"/>
            <w:shd w:val="clear" w:color="auto" w:fill="auto"/>
            <w:vAlign w:val="center"/>
          </w:tcPr>
          <w:p w14:paraId="5C6629C3" w14:textId="77777777" w:rsidR="00873474" w:rsidRPr="00863287" w:rsidRDefault="00873474" w:rsidP="00ED6EB7">
            <w:pPr>
              <w:ind w:left="144"/>
              <w:rPr>
                <w:rFonts w:cs="Calibri"/>
              </w:rPr>
            </w:pPr>
            <w:r>
              <w:rPr>
                <w:rFonts w:cs="Calibri"/>
              </w:rPr>
              <w:t>E. Not Employed at Program Enrollment</w:t>
            </w:r>
          </w:p>
        </w:tc>
        <w:tc>
          <w:tcPr>
            <w:tcW w:w="876" w:type="dxa"/>
            <w:shd w:val="clear" w:color="auto" w:fill="auto"/>
            <w:vAlign w:val="bottom"/>
          </w:tcPr>
          <w:p w14:paraId="565D0970" w14:textId="118D53C2" w:rsidR="00873474" w:rsidRPr="00863287" w:rsidRDefault="00844F51" w:rsidP="00ED6EB7">
            <w:pPr>
              <w:rPr>
                <w:rFonts w:cs="Calibri"/>
              </w:rPr>
            </w:pPr>
            <w:r>
              <w:rPr>
                <w:rFonts w:cs="Calibri"/>
              </w:rPr>
              <w:t>52</w:t>
            </w:r>
          </w:p>
        </w:tc>
        <w:tc>
          <w:tcPr>
            <w:tcW w:w="3640" w:type="dxa"/>
            <w:vAlign w:val="bottom"/>
          </w:tcPr>
          <w:p w14:paraId="4A3FE13B" w14:textId="28AB6F20" w:rsidR="00873474" w:rsidRPr="00863287" w:rsidRDefault="008F4308" w:rsidP="00ED6EB7">
            <w:pPr>
              <w:rPr>
                <w:rFonts w:cs="Calibri"/>
              </w:rPr>
            </w:pPr>
            <w:r>
              <w:rPr>
                <w:rFonts w:cs="Calibri"/>
              </w:rPr>
              <w:t>34</w:t>
            </w:r>
            <w:r w:rsidR="00161927">
              <w:rPr>
                <w:rFonts w:cs="Calibri"/>
              </w:rPr>
              <w:t>%</w:t>
            </w:r>
          </w:p>
        </w:tc>
      </w:tr>
      <w:tr w:rsidR="00873474" w:rsidRPr="0070451B" w14:paraId="543A13AB" w14:textId="77777777" w:rsidTr="00F4703F">
        <w:trPr>
          <w:trHeight w:val="432"/>
        </w:trPr>
        <w:tc>
          <w:tcPr>
            <w:tcW w:w="877" w:type="dxa"/>
            <w:vMerge w:val="restart"/>
            <w:shd w:val="clear" w:color="auto" w:fill="auto"/>
            <w:textDirection w:val="btLr"/>
            <w:vAlign w:val="center"/>
          </w:tcPr>
          <w:p w14:paraId="018E420F" w14:textId="77777777" w:rsidR="00873474" w:rsidRPr="00863287" w:rsidRDefault="00873474" w:rsidP="00ED6EB7">
            <w:pPr>
              <w:ind w:left="113" w:right="113"/>
              <w:jc w:val="center"/>
              <w:rPr>
                <w:rFonts w:cs="Calibri"/>
                <w:b/>
                <w:sz w:val="18"/>
                <w:szCs w:val="18"/>
              </w:rPr>
            </w:pPr>
            <w:r w:rsidRPr="00863287">
              <w:rPr>
                <w:rFonts w:cs="Calibri"/>
                <w:b/>
                <w:sz w:val="18"/>
                <w:szCs w:val="18"/>
              </w:rPr>
              <w:t>Other Demographics</w:t>
            </w:r>
          </w:p>
        </w:tc>
        <w:tc>
          <w:tcPr>
            <w:tcW w:w="4314" w:type="dxa"/>
            <w:vAlign w:val="center"/>
          </w:tcPr>
          <w:p w14:paraId="4988E834"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 xml:space="preserve">Basic Skills Deficient </w:t>
            </w:r>
          </w:p>
        </w:tc>
        <w:tc>
          <w:tcPr>
            <w:tcW w:w="876" w:type="dxa"/>
            <w:shd w:val="clear" w:color="auto" w:fill="auto"/>
            <w:vAlign w:val="bottom"/>
          </w:tcPr>
          <w:p w14:paraId="2440F9EC" w14:textId="46A3F6C6" w:rsidR="00873474" w:rsidRPr="00863287" w:rsidRDefault="00844F51" w:rsidP="00ED6EB7">
            <w:pPr>
              <w:rPr>
                <w:rFonts w:cs="Calibri"/>
              </w:rPr>
            </w:pPr>
            <w:r>
              <w:rPr>
                <w:rFonts w:cs="Calibri"/>
              </w:rPr>
              <w:t>101</w:t>
            </w:r>
          </w:p>
        </w:tc>
        <w:tc>
          <w:tcPr>
            <w:tcW w:w="3640" w:type="dxa"/>
            <w:vAlign w:val="bottom"/>
          </w:tcPr>
          <w:p w14:paraId="6BC0884E" w14:textId="49D8F80B" w:rsidR="00873474" w:rsidRPr="00863287" w:rsidRDefault="008F4308" w:rsidP="00ED6EB7">
            <w:pPr>
              <w:rPr>
                <w:rFonts w:cs="Calibri"/>
              </w:rPr>
            </w:pPr>
            <w:r>
              <w:rPr>
                <w:rFonts w:cs="Calibri"/>
              </w:rPr>
              <w:t>66</w:t>
            </w:r>
            <w:r w:rsidR="00161927">
              <w:rPr>
                <w:rFonts w:cs="Calibri"/>
              </w:rPr>
              <w:t>%</w:t>
            </w:r>
          </w:p>
        </w:tc>
      </w:tr>
      <w:tr w:rsidR="00873474" w:rsidRPr="0070451B" w14:paraId="6440B694" w14:textId="77777777" w:rsidTr="00F4703F">
        <w:trPr>
          <w:trHeight w:val="432"/>
        </w:trPr>
        <w:tc>
          <w:tcPr>
            <w:tcW w:w="877" w:type="dxa"/>
            <w:vMerge/>
            <w:shd w:val="clear" w:color="auto" w:fill="auto"/>
            <w:vAlign w:val="center"/>
          </w:tcPr>
          <w:p w14:paraId="5311605C" w14:textId="77777777" w:rsidR="00873474" w:rsidRPr="00863287" w:rsidRDefault="00873474" w:rsidP="00ED6EB7">
            <w:pPr>
              <w:rPr>
                <w:rFonts w:cs="Calibri"/>
                <w:sz w:val="18"/>
                <w:szCs w:val="18"/>
              </w:rPr>
            </w:pPr>
          </w:p>
        </w:tc>
        <w:tc>
          <w:tcPr>
            <w:tcW w:w="4314" w:type="dxa"/>
            <w:vAlign w:val="center"/>
          </w:tcPr>
          <w:p w14:paraId="5CAA9012" w14:textId="1C1D69BB" w:rsidR="00873474" w:rsidRPr="008A7204" w:rsidRDefault="00F4703F" w:rsidP="00873474">
            <w:pPr>
              <w:pStyle w:val="ListParagraph"/>
              <w:numPr>
                <w:ilvl w:val="0"/>
                <w:numId w:val="31"/>
              </w:numPr>
              <w:spacing w:before="0" w:after="0" w:line="240" w:lineRule="auto"/>
              <w:rPr>
                <w:rFonts w:cs="Calibri"/>
              </w:rPr>
            </w:pPr>
            <w:r w:rsidRPr="008A7204">
              <w:rPr>
                <w:rFonts w:cs="Calibri"/>
                <w:color w:val="000000"/>
              </w:rPr>
              <w:t xml:space="preserve">Dropout or </w:t>
            </w:r>
            <w:r w:rsidR="00873474" w:rsidRPr="008A7204">
              <w:rPr>
                <w:rFonts w:cs="Calibri"/>
                <w:color w:val="000000"/>
              </w:rPr>
              <w:t>Potential Dropout</w:t>
            </w:r>
          </w:p>
        </w:tc>
        <w:tc>
          <w:tcPr>
            <w:tcW w:w="876" w:type="dxa"/>
            <w:shd w:val="clear" w:color="auto" w:fill="auto"/>
            <w:vAlign w:val="bottom"/>
          </w:tcPr>
          <w:p w14:paraId="1665FCE6" w14:textId="577B2550" w:rsidR="00873474" w:rsidRPr="00863287" w:rsidRDefault="00844F51" w:rsidP="00ED6EB7">
            <w:pPr>
              <w:rPr>
                <w:rFonts w:cs="Calibri"/>
              </w:rPr>
            </w:pPr>
            <w:r>
              <w:rPr>
                <w:rFonts w:cs="Calibri"/>
              </w:rPr>
              <w:t>8</w:t>
            </w:r>
          </w:p>
        </w:tc>
        <w:tc>
          <w:tcPr>
            <w:tcW w:w="3640" w:type="dxa"/>
            <w:vAlign w:val="bottom"/>
          </w:tcPr>
          <w:p w14:paraId="61A3CEC8" w14:textId="4A6FCAE3" w:rsidR="00873474" w:rsidRPr="00863287" w:rsidRDefault="008F4308" w:rsidP="00ED6EB7">
            <w:pPr>
              <w:rPr>
                <w:rFonts w:cs="Calibri"/>
              </w:rPr>
            </w:pPr>
            <w:r>
              <w:rPr>
                <w:rFonts w:cs="Calibri"/>
              </w:rPr>
              <w:t>5</w:t>
            </w:r>
            <w:r w:rsidR="00161927">
              <w:rPr>
                <w:rFonts w:cs="Calibri"/>
              </w:rPr>
              <w:t>%</w:t>
            </w:r>
          </w:p>
        </w:tc>
      </w:tr>
      <w:tr w:rsidR="00873474" w:rsidRPr="0070451B" w14:paraId="196058FE" w14:textId="77777777" w:rsidTr="00F4703F">
        <w:trPr>
          <w:trHeight w:val="432"/>
        </w:trPr>
        <w:tc>
          <w:tcPr>
            <w:tcW w:w="877" w:type="dxa"/>
            <w:vMerge/>
            <w:shd w:val="clear" w:color="auto" w:fill="auto"/>
            <w:vAlign w:val="center"/>
          </w:tcPr>
          <w:p w14:paraId="21A9497F" w14:textId="77777777" w:rsidR="00873474" w:rsidRPr="00863287" w:rsidRDefault="00873474" w:rsidP="00ED6EB7">
            <w:pPr>
              <w:rPr>
                <w:rFonts w:cs="Calibri"/>
                <w:sz w:val="18"/>
                <w:szCs w:val="18"/>
              </w:rPr>
            </w:pPr>
          </w:p>
        </w:tc>
        <w:tc>
          <w:tcPr>
            <w:tcW w:w="4314" w:type="dxa"/>
            <w:vAlign w:val="center"/>
          </w:tcPr>
          <w:p w14:paraId="76755F08"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Economically Disadvantaged</w:t>
            </w:r>
          </w:p>
        </w:tc>
        <w:tc>
          <w:tcPr>
            <w:tcW w:w="876" w:type="dxa"/>
            <w:shd w:val="clear" w:color="auto" w:fill="auto"/>
            <w:vAlign w:val="bottom"/>
          </w:tcPr>
          <w:p w14:paraId="0FCBA434" w14:textId="1E4F86EE" w:rsidR="00873474" w:rsidRPr="00863287" w:rsidRDefault="00F4703F" w:rsidP="00ED6EB7">
            <w:pPr>
              <w:rPr>
                <w:rFonts w:cs="Calibri"/>
              </w:rPr>
            </w:pPr>
            <w:r>
              <w:rPr>
                <w:rFonts w:cs="Calibri"/>
              </w:rPr>
              <w:t>1</w:t>
            </w:r>
            <w:r w:rsidR="00844F51">
              <w:rPr>
                <w:rFonts w:cs="Calibri"/>
              </w:rPr>
              <w:t>10</w:t>
            </w:r>
          </w:p>
        </w:tc>
        <w:tc>
          <w:tcPr>
            <w:tcW w:w="3640" w:type="dxa"/>
            <w:vAlign w:val="bottom"/>
          </w:tcPr>
          <w:p w14:paraId="126720C1" w14:textId="26DB1378" w:rsidR="00873474" w:rsidRPr="00863287" w:rsidRDefault="008F4308" w:rsidP="00ED6EB7">
            <w:pPr>
              <w:rPr>
                <w:rFonts w:cs="Calibri"/>
              </w:rPr>
            </w:pPr>
            <w:r>
              <w:rPr>
                <w:rFonts w:cs="Calibri"/>
              </w:rPr>
              <w:t>72</w:t>
            </w:r>
            <w:r w:rsidR="00161927">
              <w:rPr>
                <w:rFonts w:cs="Calibri"/>
              </w:rPr>
              <w:t>%</w:t>
            </w:r>
          </w:p>
        </w:tc>
      </w:tr>
      <w:tr w:rsidR="00873474" w:rsidRPr="0070451B" w14:paraId="79365114" w14:textId="77777777" w:rsidTr="00F4703F">
        <w:trPr>
          <w:trHeight w:val="432"/>
        </w:trPr>
        <w:tc>
          <w:tcPr>
            <w:tcW w:w="877" w:type="dxa"/>
            <w:vMerge/>
            <w:shd w:val="clear" w:color="auto" w:fill="auto"/>
            <w:vAlign w:val="center"/>
          </w:tcPr>
          <w:p w14:paraId="2042C9B0" w14:textId="77777777" w:rsidR="00873474" w:rsidRPr="00863287" w:rsidRDefault="00873474" w:rsidP="00ED6EB7">
            <w:pPr>
              <w:rPr>
                <w:rFonts w:cs="Calibri"/>
                <w:sz w:val="18"/>
                <w:szCs w:val="18"/>
              </w:rPr>
            </w:pPr>
          </w:p>
        </w:tc>
        <w:tc>
          <w:tcPr>
            <w:tcW w:w="4314" w:type="dxa"/>
            <w:vAlign w:val="center"/>
          </w:tcPr>
          <w:p w14:paraId="3D402E5E"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Youth with a Disability</w:t>
            </w:r>
          </w:p>
        </w:tc>
        <w:tc>
          <w:tcPr>
            <w:tcW w:w="876" w:type="dxa"/>
            <w:shd w:val="clear" w:color="auto" w:fill="auto"/>
            <w:vAlign w:val="bottom"/>
          </w:tcPr>
          <w:p w14:paraId="623FA649" w14:textId="291C4343" w:rsidR="00873474" w:rsidRPr="00863287" w:rsidRDefault="00844F51" w:rsidP="00ED6EB7">
            <w:pPr>
              <w:rPr>
                <w:rFonts w:cs="Calibri"/>
              </w:rPr>
            </w:pPr>
            <w:r>
              <w:rPr>
                <w:rFonts w:cs="Calibri"/>
              </w:rPr>
              <w:t>7</w:t>
            </w:r>
          </w:p>
        </w:tc>
        <w:tc>
          <w:tcPr>
            <w:tcW w:w="3640" w:type="dxa"/>
            <w:vAlign w:val="bottom"/>
          </w:tcPr>
          <w:p w14:paraId="3EDB2C11" w14:textId="72685D7B" w:rsidR="00873474" w:rsidRPr="00863287" w:rsidRDefault="008F4308" w:rsidP="00ED6EB7">
            <w:pPr>
              <w:rPr>
                <w:rFonts w:cs="Calibri"/>
              </w:rPr>
            </w:pPr>
            <w:r>
              <w:rPr>
                <w:rFonts w:cs="Calibri"/>
              </w:rPr>
              <w:t>4</w:t>
            </w:r>
            <w:r w:rsidR="00161927">
              <w:rPr>
                <w:rFonts w:cs="Calibri"/>
              </w:rPr>
              <w:t>%</w:t>
            </w:r>
          </w:p>
        </w:tc>
      </w:tr>
      <w:tr w:rsidR="00873474" w:rsidRPr="0070451B" w14:paraId="3D20A8DB" w14:textId="77777777" w:rsidTr="00F4703F">
        <w:trPr>
          <w:trHeight w:val="432"/>
        </w:trPr>
        <w:tc>
          <w:tcPr>
            <w:tcW w:w="877" w:type="dxa"/>
            <w:vMerge/>
            <w:shd w:val="clear" w:color="auto" w:fill="auto"/>
            <w:vAlign w:val="center"/>
          </w:tcPr>
          <w:p w14:paraId="33D1625B" w14:textId="77777777" w:rsidR="00873474" w:rsidRPr="00863287" w:rsidRDefault="00873474" w:rsidP="00ED6EB7">
            <w:pPr>
              <w:rPr>
                <w:rFonts w:cs="Calibri"/>
                <w:sz w:val="18"/>
                <w:szCs w:val="18"/>
              </w:rPr>
            </w:pPr>
          </w:p>
        </w:tc>
        <w:tc>
          <w:tcPr>
            <w:tcW w:w="4314" w:type="dxa"/>
            <w:vAlign w:val="center"/>
          </w:tcPr>
          <w:p w14:paraId="02B6FABB"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Limited English Proficient</w:t>
            </w:r>
          </w:p>
        </w:tc>
        <w:tc>
          <w:tcPr>
            <w:tcW w:w="876" w:type="dxa"/>
            <w:shd w:val="clear" w:color="auto" w:fill="auto"/>
            <w:vAlign w:val="bottom"/>
          </w:tcPr>
          <w:p w14:paraId="40BD77DA" w14:textId="7788808A" w:rsidR="00873474" w:rsidRPr="00863287" w:rsidRDefault="00844F51" w:rsidP="00ED6EB7">
            <w:pPr>
              <w:rPr>
                <w:rFonts w:cs="Calibri"/>
              </w:rPr>
            </w:pPr>
            <w:r>
              <w:rPr>
                <w:rFonts w:cs="Calibri"/>
              </w:rPr>
              <w:t>3</w:t>
            </w:r>
          </w:p>
        </w:tc>
        <w:tc>
          <w:tcPr>
            <w:tcW w:w="3640" w:type="dxa"/>
            <w:vAlign w:val="bottom"/>
          </w:tcPr>
          <w:p w14:paraId="3FABCE93" w14:textId="608B339C" w:rsidR="00873474" w:rsidRPr="00863287" w:rsidRDefault="008F4308" w:rsidP="00ED6EB7">
            <w:pPr>
              <w:rPr>
                <w:rFonts w:cs="Calibri"/>
              </w:rPr>
            </w:pPr>
            <w:r>
              <w:rPr>
                <w:rFonts w:cs="Calibri"/>
              </w:rPr>
              <w:t>2</w:t>
            </w:r>
            <w:r w:rsidR="00161927">
              <w:rPr>
                <w:rFonts w:cs="Calibri"/>
              </w:rPr>
              <w:t>%</w:t>
            </w:r>
          </w:p>
        </w:tc>
      </w:tr>
      <w:tr w:rsidR="00873474" w:rsidRPr="0070451B" w14:paraId="78A8F35D" w14:textId="77777777" w:rsidTr="00F4703F">
        <w:trPr>
          <w:trHeight w:val="432"/>
        </w:trPr>
        <w:tc>
          <w:tcPr>
            <w:tcW w:w="877" w:type="dxa"/>
            <w:vMerge/>
            <w:shd w:val="clear" w:color="auto" w:fill="auto"/>
            <w:vAlign w:val="center"/>
          </w:tcPr>
          <w:p w14:paraId="28FAB007" w14:textId="77777777" w:rsidR="00873474" w:rsidRPr="00863287" w:rsidRDefault="00873474" w:rsidP="00ED6EB7">
            <w:pPr>
              <w:rPr>
                <w:rFonts w:cs="Calibri"/>
                <w:sz w:val="18"/>
                <w:szCs w:val="18"/>
              </w:rPr>
            </w:pPr>
          </w:p>
        </w:tc>
        <w:tc>
          <w:tcPr>
            <w:tcW w:w="4314" w:type="dxa"/>
            <w:vAlign w:val="center"/>
          </w:tcPr>
          <w:p w14:paraId="343FC78C"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Pregnant or Parenting</w:t>
            </w:r>
          </w:p>
        </w:tc>
        <w:tc>
          <w:tcPr>
            <w:tcW w:w="876" w:type="dxa"/>
            <w:shd w:val="clear" w:color="auto" w:fill="auto"/>
            <w:vAlign w:val="bottom"/>
          </w:tcPr>
          <w:p w14:paraId="0DD718E2" w14:textId="143B88FF" w:rsidR="00873474" w:rsidRPr="00863287" w:rsidRDefault="00844F51" w:rsidP="00ED6EB7">
            <w:pPr>
              <w:rPr>
                <w:rFonts w:cs="Calibri"/>
              </w:rPr>
            </w:pPr>
            <w:r>
              <w:rPr>
                <w:rFonts w:cs="Calibri"/>
              </w:rPr>
              <w:t>0</w:t>
            </w:r>
          </w:p>
        </w:tc>
        <w:tc>
          <w:tcPr>
            <w:tcW w:w="3640" w:type="dxa"/>
            <w:vAlign w:val="bottom"/>
          </w:tcPr>
          <w:p w14:paraId="0FE25379" w14:textId="5747DE0F" w:rsidR="00873474" w:rsidRPr="00863287" w:rsidRDefault="00161927" w:rsidP="00ED6EB7">
            <w:pPr>
              <w:rPr>
                <w:rFonts w:cs="Calibri"/>
              </w:rPr>
            </w:pPr>
            <w:r>
              <w:rPr>
                <w:rFonts w:cs="Calibri"/>
              </w:rPr>
              <w:t>%</w:t>
            </w:r>
          </w:p>
        </w:tc>
      </w:tr>
      <w:tr w:rsidR="00873474" w:rsidRPr="0070451B" w14:paraId="3897DC5E" w14:textId="77777777" w:rsidTr="00F4703F">
        <w:trPr>
          <w:trHeight w:val="432"/>
        </w:trPr>
        <w:tc>
          <w:tcPr>
            <w:tcW w:w="877" w:type="dxa"/>
            <w:vMerge/>
            <w:shd w:val="clear" w:color="auto" w:fill="auto"/>
            <w:vAlign w:val="center"/>
          </w:tcPr>
          <w:p w14:paraId="048D2FA6" w14:textId="77777777" w:rsidR="00873474" w:rsidRPr="00863287" w:rsidRDefault="00873474" w:rsidP="00ED6EB7">
            <w:pPr>
              <w:rPr>
                <w:rFonts w:cs="Calibri"/>
                <w:sz w:val="18"/>
                <w:szCs w:val="18"/>
              </w:rPr>
            </w:pPr>
          </w:p>
        </w:tc>
        <w:tc>
          <w:tcPr>
            <w:tcW w:w="4314" w:type="dxa"/>
            <w:vAlign w:val="center"/>
          </w:tcPr>
          <w:p w14:paraId="3769A655"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Offender</w:t>
            </w:r>
          </w:p>
        </w:tc>
        <w:tc>
          <w:tcPr>
            <w:tcW w:w="876" w:type="dxa"/>
            <w:shd w:val="clear" w:color="auto" w:fill="auto"/>
            <w:vAlign w:val="bottom"/>
          </w:tcPr>
          <w:p w14:paraId="6B1ED91A" w14:textId="429FDF81" w:rsidR="00873474" w:rsidRPr="00863287" w:rsidRDefault="00844F51" w:rsidP="00ED6EB7">
            <w:pPr>
              <w:rPr>
                <w:rFonts w:cs="Calibri"/>
              </w:rPr>
            </w:pPr>
            <w:r>
              <w:rPr>
                <w:rFonts w:cs="Calibri"/>
              </w:rPr>
              <w:t>4</w:t>
            </w:r>
          </w:p>
        </w:tc>
        <w:tc>
          <w:tcPr>
            <w:tcW w:w="3640" w:type="dxa"/>
            <w:vAlign w:val="bottom"/>
          </w:tcPr>
          <w:p w14:paraId="197BAC90" w14:textId="254EB891" w:rsidR="00873474" w:rsidRPr="00863287" w:rsidRDefault="008F4308" w:rsidP="00ED6EB7">
            <w:pPr>
              <w:rPr>
                <w:rFonts w:cs="Calibri"/>
              </w:rPr>
            </w:pPr>
            <w:r>
              <w:rPr>
                <w:rFonts w:cs="Calibri"/>
              </w:rPr>
              <w:t>2</w:t>
            </w:r>
            <w:r w:rsidR="00161927">
              <w:rPr>
                <w:rFonts w:cs="Calibri"/>
              </w:rPr>
              <w:t>%</w:t>
            </w:r>
          </w:p>
        </w:tc>
      </w:tr>
      <w:tr w:rsidR="00873474" w:rsidRPr="0070451B" w14:paraId="55F64853" w14:textId="77777777" w:rsidTr="00F4703F">
        <w:trPr>
          <w:trHeight w:val="432"/>
        </w:trPr>
        <w:tc>
          <w:tcPr>
            <w:tcW w:w="877" w:type="dxa"/>
            <w:vMerge/>
            <w:shd w:val="clear" w:color="auto" w:fill="auto"/>
            <w:vAlign w:val="center"/>
          </w:tcPr>
          <w:p w14:paraId="34EDC3A3" w14:textId="77777777" w:rsidR="00873474" w:rsidRPr="00863287" w:rsidRDefault="00873474" w:rsidP="00ED6EB7">
            <w:pPr>
              <w:rPr>
                <w:rFonts w:cs="Calibri"/>
                <w:sz w:val="18"/>
                <w:szCs w:val="18"/>
              </w:rPr>
            </w:pPr>
          </w:p>
        </w:tc>
        <w:tc>
          <w:tcPr>
            <w:tcW w:w="4314" w:type="dxa"/>
            <w:vAlign w:val="center"/>
          </w:tcPr>
          <w:p w14:paraId="2077149D"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 xml:space="preserve">Homeless or Runaway Youth </w:t>
            </w:r>
          </w:p>
        </w:tc>
        <w:tc>
          <w:tcPr>
            <w:tcW w:w="876" w:type="dxa"/>
            <w:shd w:val="clear" w:color="auto" w:fill="auto"/>
            <w:vAlign w:val="bottom"/>
          </w:tcPr>
          <w:p w14:paraId="135EA10E" w14:textId="75BB8DB7" w:rsidR="00873474" w:rsidRPr="00863287" w:rsidRDefault="00844F51" w:rsidP="00ED6EB7">
            <w:pPr>
              <w:rPr>
                <w:rFonts w:cs="Calibri"/>
              </w:rPr>
            </w:pPr>
            <w:r>
              <w:rPr>
                <w:rFonts w:cs="Calibri"/>
              </w:rPr>
              <w:t>1</w:t>
            </w:r>
          </w:p>
        </w:tc>
        <w:tc>
          <w:tcPr>
            <w:tcW w:w="3640" w:type="dxa"/>
            <w:vAlign w:val="bottom"/>
          </w:tcPr>
          <w:p w14:paraId="30555DA5" w14:textId="43AEB66B" w:rsidR="00873474" w:rsidRPr="00863287" w:rsidRDefault="008F4308" w:rsidP="00ED6EB7">
            <w:pPr>
              <w:rPr>
                <w:rFonts w:cs="Calibri"/>
              </w:rPr>
            </w:pPr>
            <w:r>
              <w:rPr>
                <w:rFonts w:cs="Calibri"/>
              </w:rPr>
              <w:t>0</w:t>
            </w:r>
            <w:r w:rsidR="00161927">
              <w:rPr>
                <w:rFonts w:cs="Calibri"/>
              </w:rPr>
              <w:t>%</w:t>
            </w:r>
          </w:p>
        </w:tc>
      </w:tr>
      <w:tr w:rsidR="00873474" w:rsidRPr="00773A67" w14:paraId="017560B5" w14:textId="77777777" w:rsidTr="00F4703F">
        <w:trPr>
          <w:trHeight w:val="432"/>
        </w:trPr>
        <w:tc>
          <w:tcPr>
            <w:tcW w:w="877" w:type="dxa"/>
            <w:vMerge/>
            <w:shd w:val="clear" w:color="auto" w:fill="auto"/>
            <w:vAlign w:val="center"/>
          </w:tcPr>
          <w:p w14:paraId="644179A2" w14:textId="77777777" w:rsidR="00873474" w:rsidRPr="00863287" w:rsidRDefault="00873474" w:rsidP="00ED6EB7">
            <w:pPr>
              <w:rPr>
                <w:rFonts w:cs="Calibri"/>
                <w:sz w:val="18"/>
                <w:szCs w:val="18"/>
              </w:rPr>
            </w:pPr>
          </w:p>
        </w:tc>
        <w:tc>
          <w:tcPr>
            <w:tcW w:w="4314" w:type="dxa"/>
            <w:vAlign w:val="center"/>
          </w:tcPr>
          <w:p w14:paraId="3EE421C1"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 xml:space="preserve">Foster Youth (or aged out of foster care) </w:t>
            </w:r>
          </w:p>
        </w:tc>
        <w:tc>
          <w:tcPr>
            <w:tcW w:w="876" w:type="dxa"/>
            <w:tcBorders>
              <w:bottom w:val="single" w:sz="4" w:space="0" w:color="auto"/>
            </w:tcBorders>
            <w:shd w:val="clear" w:color="auto" w:fill="auto"/>
            <w:vAlign w:val="bottom"/>
          </w:tcPr>
          <w:p w14:paraId="50EFC427" w14:textId="0FBDE46A" w:rsidR="00873474" w:rsidRPr="00773A67" w:rsidRDefault="00844F51" w:rsidP="00ED6EB7">
            <w:pPr>
              <w:rPr>
                <w:rFonts w:cs="Calibri"/>
              </w:rPr>
            </w:pPr>
            <w:r>
              <w:rPr>
                <w:rFonts w:cs="Calibri"/>
              </w:rPr>
              <w:t>0</w:t>
            </w:r>
          </w:p>
        </w:tc>
        <w:tc>
          <w:tcPr>
            <w:tcW w:w="3640" w:type="dxa"/>
            <w:tcBorders>
              <w:bottom w:val="single" w:sz="4" w:space="0" w:color="auto"/>
            </w:tcBorders>
            <w:vAlign w:val="bottom"/>
          </w:tcPr>
          <w:p w14:paraId="1944DA3F" w14:textId="4CF89FA2" w:rsidR="00873474" w:rsidRPr="00773A67" w:rsidRDefault="00161927" w:rsidP="00ED6EB7">
            <w:pPr>
              <w:rPr>
                <w:rFonts w:cs="Calibri"/>
              </w:rPr>
            </w:pPr>
            <w:r>
              <w:rPr>
                <w:rFonts w:cs="Calibri"/>
              </w:rPr>
              <w:t>2%</w:t>
            </w:r>
          </w:p>
        </w:tc>
      </w:tr>
      <w:tr w:rsidR="00873474" w:rsidRPr="00773A67" w14:paraId="58F65479" w14:textId="77777777" w:rsidTr="00F4703F">
        <w:trPr>
          <w:trHeight w:val="432"/>
        </w:trPr>
        <w:tc>
          <w:tcPr>
            <w:tcW w:w="877" w:type="dxa"/>
            <w:vMerge/>
            <w:shd w:val="clear" w:color="auto" w:fill="auto"/>
            <w:vAlign w:val="center"/>
          </w:tcPr>
          <w:p w14:paraId="0F0BAD9D" w14:textId="77777777" w:rsidR="00873474" w:rsidRPr="00863287" w:rsidRDefault="00873474" w:rsidP="00ED6EB7">
            <w:pPr>
              <w:rPr>
                <w:rFonts w:cs="Calibri"/>
                <w:sz w:val="18"/>
                <w:szCs w:val="18"/>
              </w:rPr>
            </w:pPr>
          </w:p>
        </w:tc>
        <w:tc>
          <w:tcPr>
            <w:tcW w:w="4314" w:type="dxa"/>
            <w:vAlign w:val="center"/>
          </w:tcPr>
          <w:p w14:paraId="4E1019CE" w14:textId="77777777" w:rsidR="00873474" w:rsidRPr="008A7204" w:rsidRDefault="00873474" w:rsidP="00873474">
            <w:pPr>
              <w:pStyle w:val="ListParagraph"/>
              <w:numPr>
                <w:ilvl w:val="0"/>
                <w:numId w:val="31"/>
              </w:numPr>
              <w:spacing w:before="0" w:after="0" w:line="240" w:lineRule="auto"/>
              <w:rPr>
                <w:rFonts w:cs="Calibri"/>
              </w:rPr>
            </w:pPr>
            <w:r w:rsidRPr="008A7204">
              <w:rPr>
                <w:rFonts w:cs="Calibri"/>
                <w:color w:val="000000"/>
              </w:rPr>
              <w:t>Youth from Families Receiving Public Assistance</w:t>
            </w:r>
          </w:p>
        </w:tc>
        <w:tc>
          <w:tcPr>
            <w:tcW w:w="876" w:type="dxa"/>
            <w:tcBorders>
              <w:bottom w:val="single" w:sz="4" w:space="0" w:color="auto"/>
            </w:tcBorders>
            <w:shd w:val="clear" w:color="auto" w:fill="auto"/>
            <w:vAlign w:val="bottom"/>
          </w:tcPr>
          <w:p w14:paraId="5ABADAE6" w14:textId="5ED37B0D" w:rsidR="00873474" w:rsidRPr="00773A67" w:rsidRDefault="00F4703F" w:rsidP="00ED6EB7">
            <w:pPr>
              <w:rPr>
                <w:rFonts w:cs="Calibri"/>
              </w:rPr>
            </w:pPr>
            <w:r>
              <w:rPr>
                <w:rFonts w:cs="Calibri"/>
              </w:rPr>
              <w:t>1</w:t>
            </w:r>
            <w:r w:rsidR="00844F51">
              <w:rPr>
                <w:rFonts w:cs="Calibri"/>
              </w:rPr>
              <w:t>1</w:t>
            </w:r>
            <w:r>
              <w:rPr>
                <w:rFonts w:cs="Calibri"/>
              </w:rPr>
              <w:t>0</w:t>
            </w:r>
          </w:p>
        </w:tc>
        <w:tc>
          <w:tcPr>
            <w:tcW w:w="3640" w:type="dxa"/>
            <w:tcBorders>
              <w:bottom w:val="single" w:sz="4" w:space="0" w:color="auto"/>
            </w:tcBorders>
            <w:vAlign w:val="bottom"/>
          </w:tcPr>
          <w:p w14:paraId="4D6C90A8" w14:textId="59376B14" w:rsidR="00873474" w:rsidRPr="00773A67" w:rsidRDefault="008F4308" w:rsidP="00ED6EB7">
            <w:pPr>
              <w:rPr>
                <w:rFonts w:cs="Calibri"/>
              </w:rPr>
            </w:pPr>
            <w:r>
              <w:rPr>
                <w:rFonts w:cs="Calibri"/>
              </w:rPr>
              <w:t>72</w:t>
            </w:r>
            <w:r w:rsidR="00161927">
              <w:rPr>
                <w:rFonts w:cs="Calibri"/>
              </w:rPr>
              <w:t>%</w:t>
            </w:r>
          </w:p>
        </w:tc>
      </w:tr>
      <w:tr w:rsidR="00161927" w:rsidRPr="00503C05" w14:paraId="2B1E1F8B" w14:textId="77777777" w:rsidTr="00805D76">
        <w:trPr>
          <w:trHeight w:val="432"/>
        </w:trPr>
        <w:tc>
          <w:tcPr>
            <w:tcW w:w="9707" w:type="dxa"/>
            <w:gridSpan w:val="4"/>
            <w:shd w:val="clear" w:color="auto" w:fill="E6E6E6"/>
            <w:vAlign w:val="center"/>
          </w:tcPr>
          <w:p w14:paraId="6FF52876" w14:textId="547B89E4" w:rsidR="00161927" w:rsidRPr="00863287" w:rsidRDefault="00161927" w:rsidP="00ED6EB7">
            <w:pPr>
              <w:rPr>
                <w:rFonts w:cs="Calibri"/>
              </w:rPr>
            </w:pPr>
            <w:r w:rsidRPr="00863287">
              <w:rPr>
                <w:rFonts w:cs="Calibri"/>
              </w:rPr>
              <w:br w:type="page"/>
            </w:r>
            <w:r w:rsidRPr="00863287">
              <w:rPr>
                <w:rFonts w:cs="Calibri"/>
                <w:b/>
              </w:rPr>
              <w:t xml:space="preserve">PROGRAM SERVICES, ACTIVITIES, AND OTHER RELATED ASSISTANCE FOR INDIVIDUAL SERVICES - </w:t>
            </w:r>
            <w:r w:rsidRPr="00863287">
              <w:rPr>
                <w:rFonts w:cs="Calibri"/>
              </w:rPr>
              <w:t>(Cumulative for the SFY)</w:t>
            </w:r>
          </w:p>
        </w:tc>
      </w:tr>
      <w:tr w:rsidR="00873474" w:rsidRPr="0070451B" w14:paraId="796BA8BA" w14:textId="77777777" w:rsidTr="00F4703F">
        <w:trPr>
          <w:trHeight w:val="432"/>
        </w:trPr>
        <w:tc>
          <w:tcPr>
            <w:tcW w:w="5191" w:type="dxa"/>
            <w:gridSpan w:val="2"/>
            <w:shd w:val="clear" w:color="auto" w:fill="auto"/>
            <w:vAlign w:val="center"/>
          </w:tcPr>
          <w:p w14:paraId="3DACE7E5" w14:textId="77777777" w:rsidR="00873474" w:rsidRPr="00863287" w:rsidRDefault="00873474" w:rsidP="00873474">
            <w:pPr>
              <w:numPr>
                <w:ilvl w:val="0"/>
                <w:numId w:val="28"/>
              </w:numPr>
              <w:spacing w:before="0" w:after="0" w:line="240" w:lineRule="auto"/>
              <w:rPr>
                <w:rFonts w:cs="Calibri"/>
              </w:rPr>
            </w:pPr>
            <w:r w:rsidRPr="00863287">
              <w:rPr>
                <w:rFonts w:cs="Calibri"/>
              </w:rPr>
              <w:t xml:space="preserve">Received Education, Employment Preparation, or Work Readiness/Job Training Activities (Includes Training in ABE/Remedial, Basic Skills, Classroom, Labor Market Info, Life Skills, and Occupational Skills) </w:t>
            </w:r>
          </w:p>
        </w:tc>
        <w:tc>
          <w:tcPr>
            <w:tcW w:w="876" w:type="dxa"/>
            <w:shd w:val="clear" w:color="auto" w:fill="auto"/>
            <w:vAlign w:val="bottom"/>
          </w:tcPr>
          <w:p w14:paraId="2D491236" w14:textId="7E661532" w:rsidR="0053078F" w:rsidRPr="00863287" w:rsidRDefault="00844F51" w:rsidP="00ED6EB7">
            <w:pPr>
              <w:rPr>
                <w:rFonts w:cs="Calibri"/>
              </w:rPr>
            </w:pPr>
            <w:r>
              <w:rPr>
                <w:rFonts w:cs="Calibri"/>
              </w:rPr>
              <w:t>45</w:t>
            </w:r>
          </w:p>
        </w:tc>
        <w:tc>
          <w:tcPr>
            <w:tcW w:w="3640" w:type="dxa"/>
            <w:vAlign w:val="bottom"/>
          </w:tcPr>
          <w:p w14:paraId="674C692C" w14:textId="37A586F3" w:rsidR="00873474" w:rsidRPr="00863287" w:rsidRDefault="008F4308" w:rsidP="00ED6EB7">
            <w:pPr>
              <w:rPr>
                <w:rFonts w:cs="Calibri"/>
              </w:rPr>
            </w:pPr>
            <w:r>
              <w:rPr>
                <w:rFonts w:cs="Calibri"/>
              </w:rPr>
              <w:t>29</w:t>
            </w:r>
            <w:r w:rsidR="00161927">
              <w:rPr>
                <w:rFonts w:cs="Calibri"/>
              </w:rPr>
              <w:t>%</w:t>
            </w:r>
          </w:p>
        </w:tc>
      </w:tr>
      <w:tr w:rsidR="00873474" w:rsidRPr="0070451B" w14:paraId="3528D10B" w14:textId="77777777" w:rsidTr="00F4703F">
        <w:trPr>
          <w:trHeight w:val="432"/>
        </w:trPr>
        <w:tc>
          <w:tcPr>
            <w:tcW w:w="5191" w:type="dxa"/>
            <w:gridSpan w:val="2"/>
            <w:shd w:val="clear" w:color="auto" w:fill="auto"/>
            <w:vAlign w:val="center"/>
          </w:tcPr>
          <w:p w14:paraId="3234EF6B" w14:textId="77777777" w:rsidR="00873474" w:rsidRPr="00863287" w:rsidRDefault="00873474" w:rsidP="00873474">
            <w:pPr>
              <w:numPr>
                <w:ilvl w:val="0"/>
                <w:numId w:val="28"/>
              </w:numPr>
              <w:spacing w:before="0" w:after="0" w:line="240" w:lineRule="auto"/>
              <w:rPr>
                <w:rFonts w:cs="Calibri"/>
              </w:rPr>
            </w:pPr>
            <w:r w:rsidRPr="00863287">
              <w:rPr>
                <w:rFonts w:cs="Calibri"/>
              </w:rPr>
              <w:t>Received Work Experience, Internship, or Apprenticeship Activities</w:t>
            </w:r>
          </w:p>
        </w:tc>
        <w:tc>
          <w:tcPr>
            <w:tcW w:w="876" w:type="dxa"/>
            <w:shd w:val="clear" w:color="auto" w:fill="auto"/>
            <w:vAlign w:val="bottom"/>
          </w:tcPr>
          <w:p w14:paraId="33D19B7C" w14:textId="790E8A86" w:rsidR="00873474" w:rsidRPr="00863287" w:rsidRDefault="00844F51" w:rsidP="00ED6EB7">
            <w:pPr>
              <w:rPr>
                <w:rFonts w:cs="Calibri"/>
              </w:rPr>
            </w:pPr>
            <w:r>
              <w:rPr>
                <w:rFonts w:cs="Calibri"/>
              </w:rPr>
              <w:t>55</w:t>
            </w:r>
          </w:p>
        </w:tc>
        <w:tc>
          <w:tcPr>
            <w:tcW w:w="3640" w:type="dxa"/>
            <w:vAlign w:val="bottom"/>
          </w:tcPr>
          <w:p w14:paraId="0B46C60E" w14:textId="1CC32D73" w:rsidR="00873474" w:rsidRPr="00863287" w:rsidRDefault="008F4308" w:rsidP="00ED6EB7">
            <w:pPr>
              <w:rPr>
                <w:rFonts w:cs="Calibri"/>
              </w:rPr>
            </w:pPr>
            <w:r>
              <w:rPr>
                <w:rFonts w:cs="Calibri"/>
              </w:rPr>
              <w:t>36</w:t>
            </w:r>
            <w:r w:rsidR="00161927">
              <w:rPr>
                <w:rFonts w:cs="Calibri"/>
              </w:rPr>
              <w:t>%</w:t>
            </w:r>
          </w:p>
        </w:tc>
      </w:tr>
      <w:tr w:rsidR="00873474" w:rsidRPr="0070451B" w14:paraId="4823D0D4" w14:textId="77777777" w:rsidTr="00F4703F">
        <w:trPr>
          <w:trHeight w:val="432"/>
        </w:trPr>
        <w:tc>
          <w:tcPr>
            <w:tcW w:w="5191" w:type="dxa"/>
            <w:gridSpan w:val="2"/>
            <w:shd w:val="clear" w:color="auto" w:fill="auto"/>
            <w:vAlign w:val="center"/>
          </w:tcPr>
          <w:p w14:paraId="79E8512F" w14:textId="77777777" w:rsidR="00873474" w:rsidRPr="00863287" w:rsidRDefault="00873474" w:rsidP="00873474">
            <w:pPr>
              <w:numPr>
                <w:ilvl w:val="0"/>
                <w:numId w:val="28"/>
              </w:numPr>
              <w:spacing w:before="0" w:after="0" w:line="240" w:lineRule="auto"/>
              <w:rPr>
                <w:rFonts w:cs="Calibri"/>
              </w:rPr>
            </w:pPr>
            <w:r w:rsidRPr="00863287">
              <w:rPr>
                <w:rFonts w:cs="Calibri"/>
              </w:rPr>
              <w:t>Received Community Involvement and Leadership Development Activities</w:t>
            </w:r>
          </w:p>
        </w:tc>
        <w:tc>
          <w:tcPr>
            <w:tcW w:w="876" w:type="dxa"/>
            <w:shd w:val="clear" w:color="auto" w:fill="auto"/>
            <w:vAlign w:val="bottom"/>
          </w:tcPr>
          <w:p w14:paraId="607F6F22" w14:textId="3030A681" w:rsidR="00873474" w:rsidRPr="00863287" w:rsidRDefault="00844F51" w:rsidP="00ED6EB7">
            <w:pPr>
              <w:rPr>
                <w:rFonts w:cs="Calibri"/>
              </w:rPr>
            </w:pPr>
            <w:r>
              <w:rPr>
                <w:rFonts w:cs="Calibri"/>
              </w:rPr>
              <w:t>65</w:t>
            </w:r>
          </w:p>
        </w:tc>
        <w:tc>
          <w:tcPr>
            <w:tcW w:w="3640" w:type="dxa"/>
            <w:vAlign w:val="bottom"/>
          </w:tcPr>
          <w:p w14:paraId="13D75D52" w14:textId="1EB0E340" w:rsidR="00873474" w:rsidRPr="00863287" w:rsidRDefault="008F4308" w:rsidP="00ED6EB7">
            <w:pPr>
              <w:rPr>
                <w:rFonts w:cs="Calibri"/>
              </w:rPr>
            </w:pPr>
            <w:r>
              <w:rPr>
                <w:rFonts w:cs="Calibri"/>
              </w:rPr>
              <w:t>42</w:t>
            </w:r>
            <w:r w:rsidR="00161927">
              <w:rPr>
                <w:rFonts w:cs="Calibri"/>
              </w:rPr>
              <w:t>%</w:t>
            </w:r>
          </w:p>
        </w:tc>
      </w:tr>
      <w:tr w:rsidR="00873474" w:rsidRPr="0070451B" w14:paraId="5B65273E" w14:textId="77777777" w:rsidTr="00F4703F">
        <w:trPr>
          <w:trHeight w:val="432"/>
        </w:trPr>
        <w:tc>
          <w:tcPr>
            <w:tcW w:w="5191" w:type="dxa"/>
            <w:gridSpan w:val="2"/>
            <w:shd w:val="clear" w:color="auto" w:fill="auto"/>
            <w:vAlign w:val="center"/>
          </w:tcPr>
          <w:p w14:paraId="210F3E24" w14:textId="77777777" w:rsidR="00873474" w:rsidRPr="00863287" w:rsidRDefault="00873474" w:rsidP="00873474">
            <w:pPr>
              <w:numPr>
                <w:ilvl w:val="0"/>
                <w:numId w:val="28"/>
              </w:numPr>
              <w:spacing w:before="0" w:after="0" w:line="240" w:lineRule="auto"/>
              <w:rPr>
                <w:rFonts w:cs="Calibri"/>
              </w:rPr>
            </w:pPr>
            <w:r w:rsidRPr="00863287">
              <w:rPr>
                <w:rFonts w:cs="Calibri"/>
              </w:rPr>
              <w:t>Received Post-Secondary Exploration, Career Guidance and Planning Activities</w:t>
            </w:r>
          </w:p>
        </w:tc>
        <w:tc>
          <w:tcPr>
            <w:tcW w:w="876" w:type="dxa"/>
            <w:shd w:val="clear" w:color="auto" w:fill="auto"/>
            <w:vAlign w:val="bottom"/>
          </w:tcPr>
          <w:p w14:paraId="60CFBED9" w14:textId="5EA1A156" w:rsidR="00873474" w:rsidRPr="00863287" w:rsidRDefault="00844F51" w:rsidP="00ED6EB7">
            <w:pPr>
              <w:rPr>
                <w:rFonts w:cs="Calibri"/>
              </w:rPr>
            </w:pPr>
            <w:r>
              <w:rPr>
                <w:rFonts w:cs="Calibri"/>
              </w:rPr>
              <w:t>65</w:t>
            </w:r>
          </w:p>
        </w:tc>
        <w:tc>
          <w:tcPr>
            <w:tcW w:w="3640" w:type="dxa"/>
            <w:vAlign w:val="bottom"/>
          </w:tcPr>
          <w:p w14:paraId="1CD96785" w14:textId="3DD08DFC" w:rsidR="00873474" w:rsidRPr="00863287" w:rsidRDefault="008F4308" w:rsidP="00ED6EB7">
            <w:pPr>
              <w:rPr>
                <w:rFonts w:cs="Calibri"/>
              </w:rPr>
            </w:pPr>
            <w:r>
              <w:rPr>
                <w:rFonts w:cs="Calibri"/>
              </w:rPr>
              <w:t>42</w:t>
            </w:r>
            <w:r w:rsidR="00161927">
              <w:rPr>
                <w:rFonts w:cs="Calibri"/>
              </w:rPr>
              <w:t>%</w:t>
            </w:r>
          </w:p>
        </w:tc>
      </w:tr>
      <w:tr w:rsidR="00873474" w:rsidRPr="0070451B" w14:paraId="10A266B0" w14:textId="77777777" w:rsidTr="00F4703F">
        <w:trPr>
          <w:trHeight w:val="432"/>
        </w:trPr>
        <w:tc>
          <w:tcPr>
            <w:tcW w:w="5191" w:type="dxa"/>
            <w:gridSpan w:val="2"/>
            <w:shd w:val="clear" w:color="auto" w:fill="auto"/>
            <w:vAlign w:val="center"/>
          </w:tcPr>
          <w:p w14:paraId="529F4BC4" w14:textId="77777777" w:rsidR="00873474" w:rsidRPr="00863287" w:rsidRDefault="00873474" w:rsidP="00873474">
            <w:pPr>
              <w:numPr>
                <w:ilvl w:val="0"/>
                <w:numId w:val="28"/>
              </w:numPr>
              <w:spacing w:before="0" w:after="0" w:line="240" w:lineRule="auto"/>
              <w:rPr>
                <w:rFonts w:cs="Calibri"/>
              </w:rPr>
            </w:pPr>
            <w:r w:rsidRPr="00863287">
              <w:rPr>
                <w:rFonts w:cs="Calibri"/>
              </w:rPr>
              <w:t>Received Mentoring Activities</w:t>
            </w:r>
          </w:p>
        </w:tc>
        <w:tc>
          <w:tcPr>
            <w:tcW w:w="876" w:type="dxa"/>
            <w:shd w:val="clear" w:color="auto" w:fill="auto"/>
            <w:vAlign w:val="bottom"/>
          </w:tcPr>
          <w:p w14:paraId="442A7AAA" w14:textId="5BD9B86B" w:rsidR="00873474" w:rsidRPr="00863287" w:rsidRDefault="00844F51" w:rsidP="00ED6EB7">
            <w:pPr>
              <w:rPr>
                <w:rFonts w:cs="Calibri"/>
              </w:rPr>
            </w:pPr>
            <w:r>
              <w:rPr>
                <w:rFonts w:cs="Calibri"/>
              </w:rPr>
              <w:t>67</w:t>
            </w:r>
          </w:p>
        </w:tc>
        <w:tc>
          <w:tcPr>
            <w:tcW w:w="3640" w:type="dxa"/>
            <w:vAlign w:val="bottom"/>
          </w:tcPr>
          <w:p w14:paraId="2CB0AB25" w14:textId="3177E313" w:rsidR="00873474" w:rsidRPr="00863287" w:rsidRDefault="008F4308" w:rsidP="00ED6EB7">
            <w:pPr>
              <w:rPr>
                <w:rFonts w:cs="Calibri"/>
              </w:rPr>
            </w:pPr>
            <w:r>
              <w:rPr>
                <w:rFonts w:cs="Calibri"/>
              </w:rPr>
              <w:t>44</w:t>
            </w:r>
            <w:r w:rsidR="00161927">
              <w:rPr>
                <w:rFonts w:cs="Calibri"/>
              </w:rPr>
              <w:t>%</w:t>
            </w:r>
          </w:p>
        </w:tc>
      </w:tr>
      <w:tr w:rsidR="00873474" w:rsidRPr="0070451B" w14:paraId="4B0EF6BA" w14:textId="77777777" w:rsidTr="00F4703F">
        <w:trPr>
          <w:trHeight w:val="432"/>
        </w:trPr>
        <w:tc>
          <w:tcPr>
            <w:tcW w:w="5191" w:type="dxa"/>
            <w:gridSpan w:val="2"/>
            <w:tcBorders>
              <w:bottom w:val="single" w:sz="4" w:space="0" w:color="auto"/>
            </w:tcBorders>
            <w:shd w:val="clear" w:color="auto" w:fill="auto"/>
            <w:vAlign w:val="center"/>
          </w:tcPr>
          <w:p w14:paraId="414A22E9" w14:textId="77777777" w:rsidR="00873474" w:rsidRPr="00863287" w:rsidRDefault="00873474" w:rsidP="00873474">
            <w:pPr>
              <w:numPr>
                <w:ilvl w:val="0"/>
                <w:numId w:val="28"/>
              </w:numPr>
              <w:spacing w:before="0" w:after="0" w:line="240" w:lineRule="auto"/>
              <w:rPr>
                <w:rFonts w:cs="Calibri"/>
              </w:rPr>
            </w:pPr>
            <w:r w:rsidRPr="00863287">
              <w:rPr>
                <w:rFonts w:cs="Calibri"/>
              </w:rPr>
              <w:t>Received Support Services</w:t>
            </w:r>
          </w:p>
        </w:tc>
        <w:tc>
          <w:tcPr>
            <w:tcW w:w="876" w:type="dxa"/>
            <w:tcBorders>
              <w:bottom w:val="single" w:sz="4" w:space="0" w:color="auto"/>
            </w:tcBorders>
            <w:shd w:val="clear" w:color="auto" w:fill="auto"/>
            <w:vAlign w:val="bottom"/>
          </w:tcPr>
          <w:p w14:paraId="542A2E98" w14:textId="57884D1A" w:rsidR="00873474" w:rsidRPr="00863287" w:rsidRDefault="00844F51" w:rsidP="00ED6EB7">
            <w:pPr>
              <w:rPr>
                <w:rFonts w:cs="Calibri"/>
              </w:rPr>
            </w:pPr>
            <w:r>
              <w:rPr>
                <w:rFonts w:cs="Calibri"/>
              </w:rPr>
              <w:t>92</w:t>
            </w:r>
          </w:p>
        </w:tc>
        <w:tc>
          <w:tcPr>
            <w:tcW w:w="3640" w:type="dxa"/>
            <w:vAlign w:val="bottom"/>
          </w:tcPr>
          <w:p w14:paraId="714A50E9" w14:textId="08A6E00F" w:rsidR="00873474" w:rsidRPr="00863287" w:rsidRDefault="008F4308" w:rsidP="00ED6EB7">
            <w:pPr>
              <w:rPr>
                <w:rFonts w:cs="Calibri"/>
              </w:rPr>
            </w:pPr>
            <w:r>
              <w:rPr>
                <w:rFonts w:cs="Calibri"/>
              </w:rPr>
              <w:t>60</w:t>
            </w:r>
            <w:r w:rsidR="00F6416E">
              <w:rPr>
                <w:rFonts w:cs="Calibri"/>
              </w:rPr>
              <w:t>%</w:t>
            </w:r>
          </w:p>
        </w:tc>
      </w:tr>
      <w:tr w:rsidR="0053078F" w:rsidRPr="0070451B" w14:paraId="0041FDB1" w14:textId="77777777" w:rsidTr="00F4703F">
        <w:trPr>
          <w:trHeight w:val="432"/>
        </w:trPr>
        <w:tc>
          <w:tcPr>
            <w:tcW w:w="5191" w:type="dxa"/>
            <w:gridSpan w:val="2"/>
            <w:tcBorders>
              <w:bottom w:val="single" w:sz="4" w:space="0" w:color="auto"/>
            </w:tcBorders>
            <w:shd w:val="clear" w:color="auto" w:fill="auto"/>
            <w:vAlign w:val="center"/>
          </w:tcPr>
          <w:p w14:paraId="1006B5C3" w14:textId="53E70336" w:rsidR="0053078F" w:rsidRPr="00863287" w:rsidRDefault="0053078F" w:rsidP="00873474">
            <w:pPr>
              <w:numPr>
                <w:ilvl w:val="0"/>
                <w:numId w:val="28"/>
              </w:numPr>
              <w:spacing w:before="0" w:after="0" w:line="240" w:lineRule="auto"/>
              <w:rPr>
                <w:rFonts w:cs="Calibri"/>
              </w:rPr>
            </w:pPr>
            <w:r>
              <w:rPr>
                <w:rFonts w:cs="Calibri"/>
              </w:rPr>
              <w:t>Received Financial Literacy Education</w:t>
            </w:r>
          </w:p>
        </w:tc>
        <w:tc>
          <w:tcPr>
            <w:tcW w:w="876" w:type="dxa"/>
            <w:tcBorders>
              <w:bottom w:val="single" w:sz="4" w:space="0" w:color="auto"/>
            </w:tcBorders>
            <w:shd w:val="clear" w:color="auto" w:fill="auto"/>
            <w:vAlign w:val="bottom"/>
          </w:tcPr>
          <w:p w14:paraId="6C77A9CB" w14:textId="71A8B05D" w:rsidR="0053078F" w:rsidRDefault="00844F51" w:rsidP="00ED6EB7">
            <w:pPr>
              <w:rPr>
                <w:rFonts w:cs="Calibri"/>
              </w:rPr>
            </w:pPr>
            <w:r>
              <w:rPr>
                <w:rFonts w:cs="Calibri"/>
              </w:rPr>
              <w:t>62</w:t>
            </w:r>
          </w:p>
        </w:tc>
        <w:tc>
          <w:tcPr>
            <w:tcW w:w="3640" w:type="dxa"/>
            <w:vAlign w:val="bottom"/>
          </w:tcPr>
          <w:p w14:paraId="45B9B42D" w14:textId="3D28FC92" w:rsidR="0053078F" w:rsidRPr="00863287" w:rsidRDefault="008F4308" w:rsidP="00ED6EB7">
            <w:pPr>
              <w:rPr>
                <w:rFonts w:cs="Calibri"/>
              </w:rPr>
            </w:pPr>
            <w:r>
              <w:rPr>
                <w:rFonts w:cs="Calibri"/>
              </w:rPr>
              <w:t>41</w:t>
            </w:r>
            <w:r w:rsidR="00F6416E">
              <w:rPr>
                <w:rFonts w:cs="Calibri"/>
              </w:rPr>
              <w:t>%</w:t>
            </w:r>
          </w:p>
        </w:tc>
      </w:tr>
      <w:tr w:rsidR="00161927" w:rsidRPr="00503C05" w14:paraId="218E2391" w14:textId="77777777" w:rsidTr="0045044C">
        <w:trPr>
          <w:trHeight w:val="432"/>
        </w:trPr>
        <w:tc>
          <w:tcPr>
            <w:tcW w:w="9707" w:type="dxa"/>
            <w:gridSpan w:val="4"/>
            <w:shd w:val="clear" w:color="auto" w:fill="E6E6E6"/>
            <w:vAlign w:val="center"/>
          </w:tcPr>
          <w:p w14:paraId="38E76EB0" w14:textId="6B3DA670" w:rsidR="00161927" w:rsidRPr="00863287" w:rsidRDefault="00161927" w:rsidP="00ED6EB7">
            <w:pPr>
              <w:rPr>
                <w:rFonts w:cs="Calibri"/>
                <w:b/>
              </w:rPr>
            </w:pPr>
            <w:r w:rsidRPr="00863287">
              <w:rPr>
                <w:rFonts w:cs="Calibri"/>
                <w:b/>
              </w:rPr>
              <w:t xml:space="preserve">INDICATORS OF PERFORMANCE FOR INDIVIDUAL SERVICES - </w:t>
            </w:r>
            <w:r w:rsidRPr="00863287">
              <w:rPr>
                <w:rFonts w:cs="Calibri"/>
              </w:rPr>
              <w:t>(Cumulative for the SFY)</w:t>
            </w:r>
          </w:p>
        </w:tc>
      </w:tr>
      <w:tr w:rsidR="00873474" w:rsidRPr="0070451B" w14:paraId="06994018" w14:textId="77777777" w:rsidTr="00F4703F">
        <w:trPr>
          <w:trHeight w:val="432"/>
        </w:trPr>
        <w:tc>
          <w:tcPr>
            <w:tcW w:w="5191" w:type="dxa"/>
            <w:gridSpan w:val="2"/>
            <w:shd w:val="clear" w:color="auto" w:fill="auto"/>
            <w:vAlign w:val="center"/>
          </w:tcPr>
          <w:p w14:paraId="64F72C0B" w14:textId="21EDF0F3" w:rsidR="00873474" w:rsidRPr="00863287" w:rsidRDefault="00873474" w:rsidP="00873474">
            <w:pPr>
              <w:numPr>
                <w:ilvl w:val="0"/>
                <w:numId w:val="29"/>
              </w:numPr>
              <w:spacing w:before="0" w:after="0" w:line="240" w:lineRule="auto"/>
              <w:rPr>
                <w:rFonts w:cs="Calibri"/>
              </w:rPr>
            </w:pPr>
            <w:r w:rsidRPr="00863287">
              <w:rPr>
                <w:rFonts w:cs="Calibri"/>
              </w:rPr>
              <w:t>Attained Work Readiness Goals</w:t>
            </w:r>
            <w:r w:rsidR="008A7204">
              <w:rPr>
                <w:rStyle w:val="FootnoteReference"/>
                <w:rFonts w:cs="Calibri"/>
              </w:rPr>
              <w:footnoteReference w:id="2"/>
            </w:r>
          </w:p>
        </w:tc>
        <w:tc>
          <w:tcPr>
            <w:tcW w:w="876" w:type="dxa"/>
            <w:vAlign w:val="bottom"/>
          </w:tcPr>
          <w:p w14:paraId="79618EF0" w14:textId="1DA3B595" w:rsidR="00873474" w:rsidRPr="00863287" w:rsidRDefault="00844F51" w:rsidP="00ED6EB7">
            <w:pPr>
              <w:rPr>
                <w:rFonts w:cs="Calibri"/>
              </w:rPr>
            </w:pPr>
            <w:r>
              <w:rPr>
                <w:rFonts w:cs="Calibri"/>
              </w:rPr>
              <w:t>45</w:t>
            </w:r>
          </w:p>
        </w:tc>
        <w:tc>
          <w:tcPr>
            <w:tcW w:w="3640" w:type="dxa"/>
            <w:vAlign w:val="bottom"/>
          </w:tcPr>
          <w:p w14:paraId="2EB59170" w14:textId="437246A5" w:rsidR="00873474" w:rsidRPr="00863287" w:rsidRDefault="008F4308" w:rsidP="00ED6EB7">
            <w:pPr>
              <w:rPr>
                <w:rFonts w:cs="Calibri"/>
              </w:rPr>
            </w:pPr>
            <w:r>
              <w:rPr>
                <w:rFonts w:cs="Calibri"/>
              </w:rPr>
              <w:t>29</w:t>
            </w:r>
            <w:r w:rsidR="00F6416E">
              <w:rPr>
                <w:rFonts w:cs="Calibri"/>
              </w:rPr>
              <w:t>%</w:t>
            </w:r>
          </w:p>
        </w:tc>
      </w:tr>
      <w:tr w:rsidR="0053078F" w:rsidRPr="0070451B" w14:paraId="131BDFAB" w14:textId="77777777" w:rsidTr="00F4703F">
        <w:trPr>
          <w:trHeight w:val="432"/>
        </w:trPr>
        <w:tc>
          <w:tcPr>
            <w:tcW w:w="5191" w:type="dxa"/>
            <w:gridSpan w:val="2"/>
            <w:shd w:val="clear" w:color="auto" w:fill="auto"/>
            <w:vAlign w:val="center"/>
          </w:tcPr>
          <w:p w14:paraId="73986DB9" w14:textId="50B5500A" w:rsidR="0053078F" w:rsidRPr="00863287" w:rsidRDefault="0053078F" w:rsidP="00873474">
            <w:pPr>
              <w:numPr>
                <w:ilvl w:val="0"/>
                <w:numId w:val="29"/>
              </w:numPr>
              <w:spacing w:before="0" w:after="0" w:line="240" w:lineRule="auto"/>
              <w:rPr>
                <w:rFonts w:cs="Calibri"/>
              </w:rPr>
            </w:pPr>
            <w:r>
              <w:rPr>
                <w:rFonts w:cs="Calibri"/>
              </w:rPr>
              <w:t>Attained Education Goals</w:t>
            </w:r>
          </w:p>
        </w:tc>
        <w:tc>
          <w:tcPr>
            <w:tcW w:w="876" w:type="dxa"/>
            <w:vAlign w:val="bottom"/>
          </w:tcPr>
          <w:p w14:paraId="39B64FF0" w14:textId="55D6A2D9" w:rsidR="0053078F" w:rsidRPr="00863287" w:rsidRDefault="00844F51" w:rsidP="00ED6EB7">
            <w:pPr>
              <w:rPr>
                <w:rFonts w:cs="Calibri"/>
              </w:rPr>
            </w:pPr>
            <w:r>
              <w:rPr>
                <w:rFonts w:cs="Calibri"/>
              </w:rPr>
              <w:t>40</w:t>
            </w:r>
          </w:p>
        </w:tc>
        <w:tc>
          <w:tcPr>
            <w:tcW w:w="3640" w:type="dxa"/>
            <w:vAlign w:val="bottom"/>
          </w:tcPr>
          <w:p w14:paraId="22257C3C" w14:textId="764CE0DB" w:rsidR="0053078F" w:rsidRPr="00863287" w:rsidRDefault="008F4308" w:rsidP="00ED6EB7">
            <w:pPr>
              <w:rPr>
                <w:rFonts w:cs="Calibri"/>
              </w:rPr>
            </w:pPr>
            <w:r>
              <w:rPr>
                <w:rFonts w:cs="Calibri"/>
              </w:rPr>
              <w:t>26</w:t>
            </w:r>
            <w:r w:rsidR="00F6416E">
              <w:rPr>
                <w:rFonts w:cs="Calibri"/>
              </w:rPr>
              <w:t>%</w:t>
            </w:r>
          </w:p>
        </w:tc>
      </w:tr>
      <w:tr w:rsidR="00873474" w:rsidRPr="0070451B" w14:paraId="39703F0D" w14:textId="77777777" w:rsidTr="00F4703F">
        <w:trPr>
          <w:trHeight w:val="432"/>
        </w:trPr>
        <w:tc>
          <w:tcPr>
            <w:tcW w:w="5191" w:type="dxa"/>
            <w:gridSpan w:val="2"/>
            <w:shd w:val="clear" w:color="auto" w:fill="auto"/>
            <w:vAlign w:val="center"/>
          </w:tcPr>
          <w:p w14:paraId="403C9A5B" w14:textId="521A2934" w:rsidR="00873474" w:rsidRPr="00863287" w:rsidRDefault="00873474" w:rsidP="00873474">
            <w:pPr>
              <w:numPr>
                <w:ilvl w:val="0"/>
                <w:numId w:val="29"/>
              </w:numPr>
              <w:spacing w:before="0" w:after="0" w:line="240" w:lineRule="auto"/>
              <w:rPr>
                <w:rFonts w:cs="Calibri"/>
              </w:rPr>
            </w:pPr>
            <w:r w:rsidRPr="00863287">
              <w:rPr>
                <w:rFonts w:cs="Calibri"/>
              </w:rPr>
              <w:lastRenderedPageBreak/>
              <w:t>Received Academic Credit or Service</w:t>
            </w:r>
            <w:r w:rsidR="00F6416E">
              <w:rPr>
                <w:rFonts w:cs="Calibri"/>
              </w:rPr>
              <w:t>-</w:t>
            </w:r>
            <w:r w:rsidRPr="00863287">
              <w:rPr>
                <w:rFonts w:cs="Calibri"/>
              </w:rPr>
              <w:t>Learning Credit</w:t>
            </w:r>
          </w:p>
        </w:tc>
        <w:tc>
          <w:tcPr>
            <w:tcW w:w="876" w:type="dxa"/>
            <w:vAlign w:val="bottom"/>
          </w:tcPr>
          <w:p w14:paraId="6FFA7364" w14:textId="7313495B" w:rsidR="00873474" w:rsidRPr="00863287" w:rsidRDefault="00844F51" w:rsidP="00ED6EB7">
            <w:pPr>
              <w:rPr>
                <w:rFonts w:cs="Calibri"/>
              </w:rPr>
            </w:pPr>
            <w:r>
              <w:rPr>
                <w:rFonts w:cs="Calibri"/>
              </w:rPr>
              <w:t>5</w:t>
            </w:r>
          </w:p>
        </w:tc>
        <w:tc>
          <w:tcPr>
            <w:tcW w:w="3640" w:type="dxa"/>
            <w:vAlign w:val="bottom"/>
          </w:tcPr>
          <w:p w14:paraId="7629B777" w14:textId="0774C6EC" w:rsidR="00873474" w:rsidRPr="00863287" w:rsidRDefault="008F4308" w:rsidP="00ED6EB7">
            <w:pPr>
              <w:rPr>
                <w:rFonts w:cs="Calibri"/>
              </w:rPr>
            </w:pPr>
            <w:r>
              <w:rPr>
                <w:rFonts w:cs="Calibri"/>
              </w:rPr>
              <w:t>3</w:t>
            </w:r>
            <w:r w:rsidR="00F6416E">
              <w:rPr>
                <w:rFonts w:cs="Calibri"/>
              </w:rPr>
              <w:t>%</w:t>
            </w:r>
          </w:p>
        </w:tc>
      </w:tr>
      <w:tr w:rsidR="00873474" w:rsidRPr="0070451B" w14:paraId="644BC4EA" w14:textId="77777777" w:rsidTr="00F4703F">
        <w:trPr>
          <w:trHeight w:val="432"/>
        </w:trPr>
        <w:tc>
          <w:tcPr>
            <w:tcW w:w="5191" w:type="dxa"/>
            <w:gridSpan w:val="2"/>
            <w:shd w:val="clear" w:color="auto" w:fill="auto"/>
            <w:vAlign w:val="center"/>
          </w:tcPr>
          <w:p w14:paraId="222FA214" w14:textId="77777777" w:rsidR="00873474" w:rsidRPr="00863287" w:rsidRDefault="00873474" w:rsidP="00873474">
            <w:pPr>
              <w:numPr>
                <w:ilvl w:val="0"/>
                <w:numId w:val="29"/>
              </w:numPr>
              <w:spacing w:before="0" w:after="0" w:line="240" w:lineRule="auto"/>
              <w:rPr>
                <w:rFonts w:cs="Calibri"/>
              </w:rPr>
            </w:pPr>
            <w:r w:rsidRPr="00863287">
              <w:rPr>
                <w:rFonts w:cs="Calibri"/>
              </w:rPr>
              <w:t>Obtained High School Diploma, GED, Remained in School, Obtained a Certificate or Degree, or Dropout - Returned to School</w:t>
            </w:r>
          </w:p>
        </w:tc>
        <w:tc>
          <w:tcPr>
            <w:tcW w:w="876" w:type="dxa"/>
            <w:vAlign w:val="bottom"/>
          </w:tcPr>
          <w:p w14:paraId="18699044" w14:textId="75BFCF94" w:rsidR="00873474" w:rsidRPr="00863287" w:rsidRDefault="00844F51" w:rsidP="00ED6EB7">
            <w:pPr>
              <w:rPr>
                <w:rFonts w:cs="Calibri"/>
              </w:rPr>
            </w:pPr>
            <w:r>
              <w:rPr>
                <w:rFonts w:cs="Calibri"/>
              </w:rPr>
              <w:t>32</w:t>
            </w:r>
          </w:p>
        </w:tc>
        <w:tc>
          <w:tcPr>
            <w:tcW w:w="3640" w:type="dxa"/>
            <w:vAlign w:val="bottom"/>
          </w:tcPr>
          <w:p w14:paraId="24D0409E" w14:textId="2D97BA6C" w:rsidR="00873474" w:rsidRPr="00863287" w:rsidRDefault="008F4308" w:rsidP="00ED6EB7">
            <w:pPr>
              <w:rPr>
                <w:rFonts w:cs="Calibri"/>
              </w:rPr>
            </w:pPr>
            <w:r>
              <w:rPr>
                <w:rFonts w:cs="Calibri"/>
              </w:rPr>
              <w:t>21</w:t>
            </w:r>
            <w:r w:rsidR="00F6416E">
              <w:rPr>
                <w:rFonts w:cs="Calibri"/>
              </w:rPr>
              <w:t>%</w:t>
            </w:r>
          </w:p>
        </w:tc>
      </w:tr>
      <w:tr w:rsidR="00873474" w:rsidRPr="0070451B" w14:paraId="70016E0F" w14:textId="77777777" w:rsidTr="00F4703F">
        <w:trPr>
          <w:trHeight w:val="432"/>
        </w:trPr>
        <w:tc>
          <w:tcPr>
            <w:tcW w:w="5191" w:type="dxa"/>
            <w:gridSpan w:val="2"/>
            <w:shd w:val="clear" w:color="auto" w:fill="auto"/>
            <w:vAlign w:val="center"/>
          </w:tcPr>
          <w:p w14:paraId="49CE24D7" w14:textId="77777777" w:rsidR="00873474" w:rsidRPr="00863287" w:rsidRDefault="00873474" w:rsidP="00873474">
            <w:pPr>
              <w:numPr>
                <w:ilvl w:val="0"/>
                <w:numId w:val="29"/>
              </w:numPr>
              <w:spacing w:before="0" w:after="0" w:line="240" w:lineRule="auto"/>
              <w:rPr>
                <w:rFonts w:cs="Calibri"/>
              </w:rPr>
            </w:pPr>
            <w:r w:rsidRPr="00863287">
              <w:rPr>
                <w:rFonts w:cs="Calibri"/>
              </w:rPr>
              <w:t>Entered Post Secondary Education, Vocational/Occupational Skills Training, Apprenticeship, or Military</w:t>
            </w:r>
          </w:p>
        </w:tc>
        <w:tc>
          <w:tcPr>
            <w:tcW w:w="876" w:type="dxa"/>
            <w:vAlign w:val="bottom"/>
          </w:tcPr>
          <w:p w14:paraId="04683229" w14:textId="308116ED" w:rsidR="00873474" w:rsidRPr="00863287" w:rsidRDefault="00844F51" w:rsidP="00ED6EB7">
            <w:pPr>
              <w:rPr>
                <w:rFonts w:cs="Calibri"/>
              </w:rPr>
            </w:pPr>
            <w:r>
              <w:rPr>
                <w:rFonts w:cs="Calibri"/>
              </w:rPr>
              <w:t>5</w:t>
            </w:r>
          </w:p>
        </w:tc>
        <w:tc>
          <w:tcPr>
            <w:tcW w:w="3640" w:type="dxa"/>
            <w:vAlign w:val="bottom"/>
          </w:tcPr>
          <w:p w14:paraId="2C591182" w14:textId="599EA27F" w:rsidR="00873474" w:rsidRPr="00863287" w:rsidRDefault="008F4308" w:rsidP="00ED6EB7">
            <w:pPr>
              <w:rPr>
                <w:rFonts w:cs="Calibri"/>
              </w:rPr>
            </w:pPr>
            <w:r>
              <w:rPr>
                <w:rFonts w:cs="Calibri"/>
              </w:rPr>
              <w:t>3</w:t>
            </w:r>
            <w:r w:rsidR="00F6416E">
              <w:rPr>
                <w:rFonts w:cs="Calibri"/>
              </w:rPr>
              <w:t>%</w:t>
            </w:r>
          </w:p>
        </w:tc>
      </w:tr>
      <w:tr w:rsidR="00873474" w:rsidRPr="0070451B" w14:paraId="140A36F4" w14:textId="77777777" w:rsidTr="00F4703F">
        <w:trPr>
          <w:trHeight w:val="432"/>
        </w:trPr>
        <w:tc>
          <w:tcPr>
            <w:tcW w:w="5191" w:type="dxa"/>
            <w:gridSpan w:val="2"/>
            <w:shd w:val="clear" w:color="auto" w:fill="auto"/>
            <w:vAlign w:val="center"/>
          </w:tcPr>
          <w:p w14:paraId="01E81A62" w14:textId="77777777" w:rsidR="00873474" w:rsidRPr="00863287" w:rsidRDefault="00873474" w:rsidP="00873474">
            <w:pPr>
              <w:numPr>
                <w:ilvl w:val="0"/>
                <w:numId w:val="29"/>
              </w:numPr>
              <w:spacing w:before="0" w:after="0" w:line="240" w:lineRule="auto"/>
              <w:rPr>
                <w:rFonts w:cs="Calibri"/>
              </w:rPr>
            </w:pPr>
            <w:r w:rsidRPr="00863287">
              <w:rPr>
                <w:rFonts w:cs="Calibri"/>
              </w:rPr>
              <w:t>Entered employment</w:t>
            </w:r>
          </w:p>
        </w:tc>
        <w:tc>
          <w:tcPr>
            <w:tcW w:w="876" w:type="dxa"/>
            <w:vAlign w:val="bottom"/>
          </w:tcPr>
          <w:p w14:paraId="4048C87D" w14:textId="7A4E8963" w:rsidR="00873474" w:rsidRPr="00863287" w:rsidRDefault="00844F51" w:rsidP="00ED6EB7">
            <w:pPr>
              <w:rPr>
                <w:rFonts w:cs="Calibri"/>
              </w:rPr>
            </w:pPr>
            <w:r>
              <w:rPr>
                <w:rFonts w:cs="Calibri"/>
              </w:rPr>
              <w:t>8</w:t>
            </w:r>
          </w:p>
        </w:tc>
        <w:tc>
          <w:tcPr>
            <w:tcW w:w="3640" w:type="dxa"/>
            <w:vAlign w:val="bottom"/>
          </w:tcPr>
          <w:p w14:paraId="434047AB" w14:textId="2A4481C0" w:rsidR="00873474" w:rsidRPr="00863287" w:rsidRDefault="008F4308" w:rsidP="00ED6EB7">
            <w:pPr>
              <w:rPr>
                <w:rFonts w:cs="Calibri"/>
              </w:rPr>
            </w:pPr>
            <w:r>
              <w:rPr>
                <w:rFonts w:cs="Calibri"/>
              </w:rPr>
              <w:t>5</w:t>
            </w:r>
            <w:r w:rsidR="00F6416E">
              <w:rPr>
                <w:rFonts w:cs="Calibri"/>
              </w:rPr>
              <w:t>%</w:t>
            </w:r>
          </w:p>
        </w:tc>
      </w:tr>
      <w:tr w:rsidR="00873474" w:rsidRPr="00503C05" w14:paraId="70B84387" w14:textId="77777777" w:rsidTr="00F4703F">
        <w:trPr>
          <w:trHeight w:val="432"/>
        </w:trPr>
        <w:tc>
          <w:tcPr>
            <w:tcW w:w="5191" w:type="dxa"/>
            <w:gridSpan w:val="2"/>
            <w:shd w:val="clear" w:color="auto" w:fill="auto"/>
            <w:vAlign w:val="center"/>
          </w:tcPr>
          <w:p w14:paraId="66EADB39" w14:textId="77777777" w:rsidR="00873474" w:rsidRPr="00863287" w:rsidRDefault="00873474" w:rsidP="00873474">
            <w:pPr>
              <w:numPr>
                <w:ilvl w:val="0"/>
                <w:numId w:val="29"/>
              </w:numPr>
              <w:spacing w:before="0" w:after="0" w:line="240" w:lineRule="auto"/>
              <w:rPr>
                <w:rFonts w:cs="Calibri"/>
              </w:rPr>
            </w:pPr>
            <w:r w:rsidRPr="00863287">
              <w:rPr>
                <w:rFonts w:cs="Calibri"/>
              </w:rPr>
              <w:t>Retained employment, increased wages or advanced career</w:t>
            </w:r>
          </w:p>
        </w:tc>
        <w:tc>
          <w:tcPr>
            <w:tcW w:w="876" w:type="dxa"/>
            <w:vAlign w:val="bottom"/>
          </w:tcPr>
          <w:p w14:paraId="5AE8F678" w14:textId="4E49E827" w:rsidR="00873474" w:rsidRPr="00863287" w:rsidRDefault="0053078F" w:rsidP="00ED6EB7">
            <w:pPr>
              <w:rPr>
                <w:rFonts w:cs="Calibri"/>
              </w:rPr>
            </w:pPr>
            <w:r>
              <w:rPr>
                <w:rFonts w:cs="Calibri"/>
              </w:rPr>
              <w:t>29</w:t>
            </w:r>
          </w:p>
        </w:tc>
        <w:tc>
          <w:tcPr>
            <w:tcW w:w="3640" w:type="dxa"/>
            <w:vAlign w:val="bottom"/>
          </w:tcPr>
          <w:p w14:paraId="36442E7D" w14:textId="24B5F135" w:rsidR="00873474" w:rsidRPr="00863287" w:rsidRDefault="008F4308" w:rsidP="00ED6EB7">
            <w:pPr>
              <w:rPr>
                <w:rFonts w:cs="Calibri"/>
              </w:rPr>
            </w:pPr>
            <w:r>
              <w:rPr>
                <w:rFonts w:cs="Calibri"/>
              </w:rPr>
              <w:t>19</w:t>
            </w:r>
            <w:r w:rsidR="00F6416E">
              <w:rPr>
                <w:rFonts w:cs="Calibri"/>
              </w:rPr>
              <w:t>%</w:t>
            </w:r>
          </w:p>
        </w:tc>
      </w:tr>
      <w:tr w:rsidR="00873474" w:rsidRPr="00503C05" w14:paraId="18A040FC" w14:textId="77777777" w:rsidTr="00F4703F">
        <w:trPr>
          <w:trHeight w:val="432"/>
        </w:trPr>
        <w:tc>
          <w:tcPr>
            <w:tcW w:w="5191" w:type="dxa"/>
            <w:gridSpan w:val="2"/>
            <w:shd w:val="clear" w:color="auto" w:fill="auto"/>
            <w:vAlign w:val="center"/>
          </w:tcPr>
          <w:p w14:paraId="6803953E" w14:textId="77777777" w:rsidR="00873474" w:rsidRPr="00863287" w:rsidRDefault="00873474" w:rsidP="00873474">
            <w:pPr>
              <w:numPr>
                <w:ilvl w:val="0"/>
                <w:numId w:val="29"/>
              </w:numPr>
              <w:spacing w:before="0" w:after="0" w:line="240" w:lineRule="auto"/>
              <w:rPr>
                <w:rFonts w:cs="Calibri"/>
              </w:rPr>
            </w:pPr>
            <w:r w:rsidRPr="00863287">
              <w:rPr>
                <w:rFonts w:cs="Calibri"/>
              </w:rPr>
              <w:t>Completed Program Objective</w:t>
            </w:r>
          </w:p>
        </w:tc>
        <w:tc>
          <w:tcPr>
            <w:tcW w:w="876" w:type="dxa"/>
            <w:vAlign w:val="bottom"/>
          </w:tcPr>
          <w:p w14:paraId="6C814775" w14:textId="3DF32CA6" w:rsidR="00873474" w:rsidRPr="00863287" w:rsidRDefault="00844F51" w:rsidP="00ED6EB7">
            <w:pPr>
              <w:rPr>
                <w:rFonts w:cs="Calibri"/>
              </w:rPr>
            </w:pPr>
            <w:r>
              <w:rPr>
                <w:rFonts w:cs="Calibri"/>
              </w:rPr>
              <w:t>46</w:t>
            </w:r>
          </w:p>
        </w:tc>
        <w:tc>
          <w:tcPr>
            <w:tcW w:w="3640" w:type="dxa"/>
            <w:vAlign w:val="bottom"/>
          </w:tcPr>
          <w:p w14:paraId="369F4ED6" w14:textId="36489103" w:rsidR="00873474" w:rsidRPr="00863287" w:rsidRDefault="008F4308" w:rsidP="00ED6EB7">
            <w:pPr>
              <w:rPr>
                <w:rFonts w:cs="Calibri"/>
              </w:rPr>
            </w:pPr>
            <w:r>
              <w:rPr>
                <w:rFonts w:cs="Calibri"/>
              </w:rPr>
              <w:t>30</w:t>
            </w:r>
            <w:r w:rsidR="00F6416E">
              <w:rPr>
                <w:rFonts w:cs="Calibri"/>
              </w:rPr>
              <w:t>%</w:t>
            </w:r>
          </w:p>
        </w:tc>
      </w:tr>
      <w:tr w:rsidR="00161927" w:rsidRPr="00503C05" w14:paraId="42E7E75F" w14:textId="77777777" w:rsidTr="00D72A58">
        <w:trPr>
          <w:trHeight w:val="432"/>
        </w:trPr>
        <w:tc>
          <w:tcPr>
            <w:tcW w:w="9707" w:type="dxa"/>
            <w:gridSpan w:val="4"/>
            <w:shd w:val="clear" w:color="auto" w:fill="auto"/>
            <w:vAlign w:val="center"/>
          </w:tcPr>
          <w:p w14:paraId="1CC1690D" w14:textId="12A8B8CF" w:rsidR="00161927" w:rsidRPr="00863287" w:rsidRDefault="00161927" w:rsidP="00161927">
            <w:pPr>
              <w:rPr>
                <w:rFonts w:cs="Calibri"/>
              </w:rPr>
            </w:pPr>
            <w:r>
              <w:rPr>
                <w:rFonts w:cs="Calibri"/>
                <w:b/>
              </w:rPr>
              <w:t>CUSTOMER SATISFACTION FOR</w:t>
            </w:r>
            <w:r w:rsidRPr="00863287">
              <w:rPr>
                <w:rFonts w:cs="Calibri"/>
                <w:b/>
              </w:rPr>
              <w:t xml:space="preserve"> PERFORMANCE FOR INDIVIDUAL SERVICES - </w:t>
            </w:r>
            <w:r w:rsidRPr="00863287">
              <w:rPr>
                <w:rFonts w:cs="Calibri"/>
              </w:rPr>
              <w:t>(Cumulative for the SFY)</w:t>
            </w:r>
          </w:p>
        </w:tc>
      </w:tr>
      <w:tr w:rsidR="00161927" w:rsidRPr="00503C05" w14:paraId="5074FAB7" w14:textId="77777777" w:rsidTr="00E94EA7">
        <w:trPr>
          <w:trHeight w:val="432"/>
        </w:trPr>
        <w:tc>
          <w:tcPr>
            <w:tcW w:w="5191" w:type="dxa"/>
            <w:gridSpan w:val="2"/>
            <w:shd w:val="clear" w:color="auto" w:fill="auto"/>
          </w:tcPr>
          <w:p w14:paraId="066F0B15" w14:textId="5B181787" w:rsidR="00161927" w:rsidRPr="00863287" w:rsidRDefault="00161927" w:rsidP="00161927">
            <w:pPr>
              <w:numPr>
                <w:ilvl w:val="0"/>
                <w:numId w:val="33"/>
              </w:numPr>
              <w:spacing w:before="0" w:after="0" w:line="240" w:lineRule="auto"/>
              <w:rPr>
                <w:rFonts w:cs="Calibri"/>
              </w:rPr>
            </w:pPr>
            <w:r w:rsidRPr="00DD6B2B">
              <w:rPr>
                <w:sz w:val="24"/>
                <w:szCs w:val="24"/>
              </w:rPr>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4"/>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pacing w:val="-2"/>
                <w:sz w:val="24"/>
                <w:szCs w:val="24"/>
              </w:rPr>
              <w:t>“Excellent”</w:t>
            </w:r>
          </w:p>
        </w:tc>
        <w:tc>
          <w:tcPr>
            <w:tcW w:w="876" w:type="dxa"/>
          </w:tcPr>
          <w:p w14:paraId="6D08CC1D" w14:textId="0D95DFC2" w:rsidR="00161927" w:rsidRDefault="00844F51" w:rsidP="00161927">
            <w:pPr>
              <w:rPr>
                <w:rFonts w:cs="Calibri"/>
              </w:rPr>
            </w:pPr>
            <w:r>
              <w:rPr>
                <w:rFonts w:cs="Calibri"/>
              </w:rPr>
              <w:t>33</w:t>
            </w:r>
          </w:p>
        </w:tc>
        <w:tc>
          <w:tcPr>
            <w:tcW w:w="3640" w:type="dxa"/>
            <w:vAlign w:val="bottom"/>
          </w:tcPr>
          <w:p w14:paraId="058B6A2D" w14:textId="603F06F6" w:rsidR="00161927" w:rsidRPr="00863287" w:rsidRDefault="008F4308" w:rsidP="00161927">
            <w:pPr>
              <w:rPr>
                <w:rFonts w:cs="Calibri"/>
              </w:rPr>
            </w:pPr>
            <w:r>
              <w:rPr>
                <w:rFonts w:cs="Calibri"/>
              </w:rPr>
              <w:t>22</w:t>
            </w:r>
            <w:r w:rsidR="00F6416E">
              <w:rPr>
                <w:rFonts w:cs="Calibri"/>
              </w:rPr>
              <w:t>%</w:t>
            </w:r>
          </w:p>
        </w:tc>
      </w:tr>
      <w:tr w:rsidR="00161927" w:rsidRPr="00503C05" w14:paraId="6C09CB8A" w14:textId="77777777" w:rsidTr="00E94EA7">
        <w:trPr>
          <w:trHeight w:val="432"/>
        </w:trPr>
        <w:tc>
          <w:tcPr>
            <w:tcW w:w="5191" w:type="dxa"/>
            <w:gridSpan w:val="2"/>
            <w:shd w:val="clear" w:color="auto" w:fill="auto"/>
          </w:tcPr>
          <w:p w14:paraId="0611C7A2" w14:textId="4B811B3E" w:rsidR="00161927" w:rsidRPr="00863287" w:rsidRDefault="00161927" w:rsidP="00161927">
            <w:pPr>
              <w:numPr>
                <w:ilvl w:val="0"/>
                <w:numId w:val="33"/>
              </w:numPr>
              <w:spacing w:before="0" w:after="0" w:line="240" w:lineRule="auto"/>
              <w:rPr>
                <w:rFonts w:cs="Calibri"/>
              </w:rPr>
            </w:pPr>
            <w:r w:rsidRPr="00DD6B2B">
              <w:rPr>
                <w:sz w:val="24"/>
                <w:szCs w:val="24"/>
              </w:rPr>
              <w:t>Number</w:t>
            </w:r>
            <w:r w:rsidRPr="00DD6B2B">
              <w:rPr>
                <w:spacing w:val="-7"/>
                <w:sz w:val="24"/>
                <w:szCs w:val="24"/>
              </w:rPr>
              <w:t xml:space="preserve"> </w:t>
            </w:r>
            <w:r w:rsidRPr="00DD6B2B">
              <w:rPr>
                <w:sz w:val="24"/>
                <w:szCs w:val="24"/>
              </w:rPr>
              <w:t>of</w:t>
            </w:r>
            <w:r w:rsidRPr="00DD6B2B">
              <w:rPr>
                <w:spacing w:val="-6"/>
                <w:sz w:val="24"/>
                <w:szCs w:val="24"/>
              </w:rPr>
              <w:t xml:space="preserve"> </w:t>
            </w:r>
            <w:r w:rsidRPr="00DD6B2B">
              <w:rPr>
                <w:sz w:val="24"/>
                <w:szCs w:val="24"/>
              </w:rPr>
              <w:t>participants</w:t>
            </w:r>
            <w:r w:rsidRPr="00DD6B2B">
              <w:rPr>
                <w:spacing w:val="-6"/>
                <w:sz w:val="24"/>
                <w:szCs w:val="24"/>
              </w:rPr>
              <w:t xml:space="preserve"> </w:t>
            </w:r>
            <w:r w:rsidRPr="00DD6B2B">
              <w:rPr>
                <w:sz w:val="24"/>
                <w:szCs w:val="24"/>
              </w:rPr>
              <w:t>rating</w:t>
            </w:r>
            <w:r w:rsidRPr="00DD6B2B">
              <w:rPr>
                <w:spacing w:val="-6"/>
                <w:sz w:val="24"/>
                <w:szCs w:val="24"/>
              </w:rPr>
              <w:t xml:space="preserve"> </w:t>
            </w:r>
            <w:r w:rsidRPr="00DD6B2B">
              <w:rPr>
                <w:sz w:val="24"/>
                <w:szCs w:val="24"/>
              </w:rPr>
              <w:t>experience</w:t>
            </w:r>
            <w:r w:rsidRPr="00DD6B2B">
              <w:rPr>
                <w:spacing w:val="-6"/>
                <w:sz w:val="24"/>
                <w:szCs w:val="24"/>
              </w:rPr>
              <w:t xml:space="preserve"> </w:t>
            </w:r>
            <w:r w:rsidRPr="00DD6B2B">
              <w:rPr>
                <w:sz w:val="24"/>
                <w:szCs w:val="24"/>
              </w:rPr>
              <w:t>as</w:t>
            </w:r>
            <w:r w:rsidRPr="00DD6B2B">
              <w:rPr>
                <w:spacing w:val="-6"/>
                <w:sz w:val="24"/>
                <w:szCs w:val="24"/>
              </w:rPr>
              <w:t xml:space="preserve"> </w:t>
            </w:r>
            <w:r w:rsidRPr="00DD6B2B">
              <w:rPr>
                <w:sz w:val="24"/>
                <w:szCs w:val="24"/>
              </w:rPr>
              <w:t>“Very</w:t>
            </w:r>
            <w:r w:rsidRPr="00DD6B2B">
              <w:rPr>
                <w:spacing w:val="-6"/>
                <w:sz w:val="24"/>
                <w:szCs w:val="24"/>
              </w:rPr>
              <w:t xml:space="preserve"> </w:t>
            </w:r>
            <w:r w:rsidRPr="00DD6B2B">
              <w:rPr>
                <w:spacing w:val="-2"/>
                <w:sz w:val="24"/>
                <w:szCs w:val="24"/>
              </w:rPr>
              <w:t>Good”</w:t>
            </w:r>
          </w:p>
        </w:tc>
        <w:tc>
          <w:tcPr>
            <w:tcW w:w="876" w:type="dxa"/>
          </w:tcPr>
          <w:p w14:paraId="73244433" w14:textId="3BD9A657" w:rsidR="00161927" w:rsidRDefault="00844F51" w:rsidP="00161927">
            <w:pPr>
              <w:rPr>
                <w:rFonts w:cs="Calibri"/>
              </w:rPr>
            </w:pPr>
            <w:r>
              <w:rPr>
                <w:rFonts w:cs="Calibri"/>
              </w:rPr>
              <w:t>25</w:t>
            </w:r>
          </w:p>
        </w:tc>
        <w:tc>
          <w:tcPr>
            <w:tcW w:w="3640" w:type="dxa"/>
            <w:vAlign w:val="bottom"/>
          </w:tcPr>
          <w:p w14:paraId="51595B20" w14:textId="1AA09FF6" w:rsidR="00161927" w:rsidRPr="00863287" w:rsidRDefault="008F4308" w:rsidP="00161927">
            <w:pPr>
              <w:rPr>
                <w:rFonts w:cs="Calibri"/>
              </w:rPr>
            </w:pPr>
            <w:r>
              <w:rPr>
                <w:rFonts w:cs="Calibri"/>
              </w:rPr>
              <w:t>16</w:t>
            </w:r>
            <w:r w:rsidR="00F6416E">
              <w:rPr>
                <w:rFonts w:cs="Calibri"/>
              </w:rPr>
              <w:t>%</w:t>
            </w:r>
          </w:p>
        </w:tc>
      </w:tr>
      <w:tr w:rsidR="00161927" w:rsidRPr="00503C05" w14:paraId="54B96CA0" w14:textId="77777777" w:rsidTr="00E94EA7">
        <w:trPr>
          <w:trHeight w:val="432"/>
        </w:trPr>
        <w:tc>
          <w:tcPr>
            <w:tcW w:w="5191" w:type="dxa"/>
            <w:gridSpan w:val="2"/>
            <w:shd w:val="clear" w:color="auto" w:fill="auto"/>
          </w:tcPr>
          <w:p w14:paraId="09BD2939" w14:textId="0EADB0F4" w:rsidR="00161927" w:rsidRPr="00863287" w:rsidRDefault="00161927" w:rsidP="00161927">
            <w:pPr>
              <w:numPr>
                <w:ilvl w:val="0"/>
                <w:numId w:val="33"/>
              </w:numPr>
              <w:spacing w:before="0" w:after="0" w:line="240" w:lineRule="auto"/>
              <w:rPr>
                <w:rFonts w:cs="Calibri"/>
              </w:rPr>
            </w:pPr>
            <w:r w:rsidRPr="00DD6B2B">
              <w:rPr>
                <w:sz w:val="24"/>
                <w:szCs w:val="24"/>
              </w:rPr>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5"/>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4"/>
                <w:sz w:val="24"/>
                <w:szCs w:val="24"/>
              </w:rPr>
              <w:t xml:space="preserve"> </w:t>
            </w:r>
            <w:r w:rsidRPr="00DD6B2B">
              <w:rPr>
                <w:spacing w:val="-2"/>
                <w:sz w:val="24"/>
                <w:szCs w:val="24"/>
              </w:rPr>
              <w:t>“Average”</w:t>
            </w:r>
          </w:p>
        </w:tc>
        <w:tc>
          <w:tcPr>
            <w:tcW w:w="876" w:type="dxa"/>
          </w:tcPr>
          <w:p w14:paraId="38E31386" w14:textId="19CE6688" w:rsidR="00161927" w:rsidRDefault="00844F51" w:rsidP="00161927">
            <w:pPr>
              <w:rPr>
                <w:rFonts w:cs="Calibri"/>
              </w:rPr>
            </w:pPr>
            <w:r>
              <w:rPr>
                <w:rFonts w:cs="Calibri"/>
              </w:rPr>
              <w:t>6</w:t>
            </w:r>
          </w:p>
        </w:tc>
        <w:tc>
          <w:tcPr>
            <w:tcW w:w="3640" w:type="dxa"/>
            <w:vAlign w:val="bottom"/>
          </w:tcPr>
          <w:p w14:paraId="7A70CEC6" w14:textId="78E2B68C" w:rsidR="00161927" w:rsidRPr="00863287" w:rsidRDefault="008F4308" w:rsidP="00161927">
            <w:pPr>
              <w:rPr>
                <w:rFonts w:cs="Calibri"/>
              </w:rPr>
            </w:pPr>
            <w:r>
              <w:rPr>
                <w:rFonts w:cs="Calibri"/>
              </w:rPr>
              <w:t>4</w:t>
            </w:r>
            <w:r w:rsidR="00F6416E">
              <w:rPr>
                <w:rFonts w:cs="Calibri"/>
              </w:rPr>
              <w:t>%</w:t>
            </w:r>
          </w:p>
        </w:tc>
      </w:tr>
      <w:tr w:rsidR="00161927" w:rsidRPr="00503C05" w14:paraId="44CA9FC4" w14:textId="77777777" w:rsidTr="00E94EA7">
        <w:trPr>
          <w:trHeight w:val="432"/>
        </w:trPr>
        <w:tc>
          <w:tcPr>
            <w:tcW w:w="5191" w:type="dxa"/>
            <w:gridSpan w:val="2"/>
            <w:shd w:val="clear" w:color="auto" w:fill="auto"/>
          </w:tcPr>
          <w:p w14:paraId="370D6C94" w14:textId="3F5D5C2E" w:rsidR="00161927" w:rsidRPr="00863287" w:rsidRDefault="00161927" w:rsidP="00161927">
            <w:pPr>
              <w:numPr>
                <w:ilvl w:val="0"/>
                <w:numId w:val="33"/>
              </w:numPr>
              <w:spacing w:before="0" w:after="0" w:line="240" w:lineRule="auto"/>
              <w:rPr>
                <w:rFonts w:cs="Calibri"/>
              </w:rPr>
            </w:pPr>
            <w:r>
              <w:rPr>
                <w:sz w:val="24"/>
                <w:szCs w:val="24"/>
              </w:rPr>
              <w:t>N</w:t>
            </w:r>
            <w:r w:rsidRPr="00DD6B2B">
              <w:rPr>
                <w:sz w:val="24"/>
                <w:szCs w:val="24"/>
              </w:rPr>
              <w:t>umber</w:t>
            </w:r>
            <w:r w:rsidRPr="00DD6B2B">
              <w:rPr>
                <w:spacing w:val="-5"/>
                <w:sz w:val="24"/>
                <w:szCs w:val="24"/>
              </w:rPr>
              <w:t xml:space="preserve"> </w:t>
            </w:r>
            <w:r w:rsidRPr="00DD6B2B">
              <w:rPr>
                <w:sz w:val="24"/>
                <w:szCs w:val="24"/>
              </w:rPr>
              <w:t>of</w:t>
            </w:r>
            <w:r w:rsidRPr="00DD6B2B">
              <w:rPr>
                <w:spacing w:val="-6"/>
                <w:sz w:val="24"/>
                <w:szCs w:val="24"/>
              </w:rPr>
              <w:t xml:space="preserve"> </w:t>
            </w:r>
            <w:r w:rsidRPr="00DD6B2B">
              <w:rPr>
                <w:sz w:val="24"/>
                <w:szCs w:val="24"/>
              </w:rPr>
              <w:t>participants</w:t>
            </w:r>
            <w:r w:rsidRPr="00DD6B2B">
              <w:rPr>
                <w:spacing w:val="-5"/>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z w:val="24"/>
                <w:szCs w:val="24"/>
              </w:rPr>
              <w:t>“Below</w:t>
            </w:r>
            <w:r w:rsidRPr="00DD6B2B">
              <w:rPr>
                <w:spacing w:val="-15"/>
                <w:sz w:val="24"/>
                <w:szCs w:val="24"/>
              </w:rPr>
              <w:t xml:space="preserve"> </w:t>
            </w:r>
            <w:r w:rsidRPr="00DD6B2B">
              <w:rPr>
                <w:spacing w:val="-2"/>
                <w:sz w:val="24"/>
                <w:szCs w:val="24"/>
              </w:rPr>
              <w:t>Average”</w:t>
            </w:r>
          </w:p>
        </w:tc>
        <w:tc>
          <w:tcPr>
            <w:tcW w:w="876" w:type="dxa"/>
          </w:tcPr>
          <w:p w14:paraId="190B2F9A" w14:textId="201F0BE7" w:rsidR="00161927" w:rsidRDefault="00844F51" w:rsidP="00161927">
            <w:pPr>
              <w:rPr>
                <w:rFonts w:cs="Calibri"/>
              </w:rPr>
            </w:pPr>
            <w:r>
              <w:rPr>
                <w:rFonts w:cs="Calibri"/>
              </w:rPr>
              <w:t>1</w:t>
            </w:r>
          </w:p>
        </w:tc>
        <w:tc>
          <w:tcPr>
            <w:tcW w:w="3640" w:type="dxa"/>
            <w:vAlign w:val="bottom"/>
          </w:tcPr>
          <w:p w14:paraId="5D2DE582" w14:textId="158F91FE" w:rsidR="00161927" w:rsidRPr="00863287" w:rsidRDefault="008F4308" w:rsidP="00161927">
            <w:pPr>
              <w:rPr>
                <w:rFonts w:cs="Calibri"/>
              </w:rPr>
            </w:pPr>
            <w:r>
              <w:rPr>
                <w:rFonts w:cs="Calibri"/>
              </w:rPr>
              <w:t>0</w:t>
            </w:r>
            <w:r w:rsidR="00F6416E">
              <w:rPr>
                <w:rFonts w:cs="Calibri"/>
              </w:rPr>
              <w:t>%</w:t>
            </w:r>
          </w:p>
        </w:tc>
      </w:tr>
      <w:tr w:rsidR="00161927" w:rsidRPr="00503C05" w14:paraId="655C610F" w14:textId="77777777" w:rsidTr="00E94EA7">
        <w:trPr>
          <w:trHeight w:val="432"/>
        </w:trPr>
        <w:tc>
          <w:tcPr>
            <w:tcW w:w="5191" w:type="dxa"/>
            <w:gridSpan w:val="2"/>
            <w:shd w:val="clear" w:color="auto" w:fill="auto"/>
          </w:tcPr>
          <w:p w14:paraId="676F8256" w14:textId="386F55A4" w:rsidR="00161927" w:rsidRPr="00863287" w:rsidRDefault="00161927" w:rsidP="00161927">
            <w:pPr>
              <w:numPr>
                <w:ilvl w:val="0"/>
                <w:numId w:val="33"/>
              </w:numPr>
              <w:spacing w:before="0" w:after="0" w:line="240" w:lineRule="auto"/>
              <w:rPr>
                <w:rFonts w:cs="Calibri"/>
              </w:rPr>
            </w:pPr>
            <w:r w:rsidRPr="00DD6B2B">
              <w:rPr>
                <w:sz w:val="24"/>
                <w:szCs w:val="24"/>
              </w:rPr>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4"/>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pacing w:val="-2"/>
                <w:sz w:val="24"/>
                <w:szCs w:val="24"/>
              </w:rPr>
              <w:t>“Poor”</w:t>
            </w:r>
          </w:p>
        </w:tc>
        <w:tc>
          <w:tcPr>
            <w:tcW w:w="876" w:type="dxa"/>
          </w:tcPr>
          <w:p w14:paraId="3BE80FF5" w14:textId="5AD0D8DA" w:rsidR="00161927" w:rsidRDefault="00844F51" w:rsidP="00161927">
            <w:pPr>
              <w:rPr>
                <w:rFonts w:cs="Calibri"/>
              </w:rPr>
            </w:pPr>
            <w:r>
              <w:rPr>
                <w:rFonts w:cs="Calibri"/>
              </w:rPr>
              <w:t>1</w:t>
            </w:r>
          </w:p>
        </w:tc>
        <w:tc>
          <w:tcPr>
            <w:tcW w:w="3640" w:type="dxa"/>
            <w:vAlign w:val="bottom"/>
          </w:tcPr>
          <w:p w14:paraId="50B9075D" w14:textId="3BFF61FA" w:rsidR="00161927" w:rsidRPr="00863287" w:rsidRDefault="00F6416E" w:rsidP="00161927">
            <w:pPr>
              <w:rPr>
                <w:rFonts w:cs="Calibri"/>
              </w:rPr>
            </w:pPr>
            <w:r>
              <w:rPr>
                <w:rFonts w:cs="Calibri"/>
              </w:rPr>
              <w:t>0%</w:t>
            </w:r>
          </w:p>
        </w:tc>
      </w:tr>
      <w:tr w:rsidR="00161927" w:rsidRPr="00503C05" w14:paraId="017AC306" w14:textId="77777777" w:rsidTr="00E94EA7">
        <w:trPr>
          <w:trHeight w:val="432"/>
        </w:trPr>
        <w:tc>
          <w:tcPr>
            <w:tcW w:w="5191" w:type="dxa"/>
            <w:gridSpan w:val="2"/>
            <w:shd w:val="clear" w:color="auto" w:fill="auto"/>
          </w:tcPr>
          <w:p w14:paraId="490F9643" w14:textId="0C7F7792" w:rsidR="00161927" w:rsidRPr="00863287" w:rsidRDefault="00161927" w:rsidP="00161927">
            <w:pPr>
              <w:numPr>
                <w:ilvl w:val="0"/>
                <w:numId w:val="33"/>
              </w:numPr>
              <w:spacing w:before="0" w:after="0" w:line="240" w:lineRule="auto"/>
              <w:rPr>
                <w:rFonts w:cs="Calibri"/>
              </w:rPr>
            </w:pPr>
            <w:r w:rsidRPr="00DD6B2B">
              <w:rPr>
                <w:sz w:val="24"/>
                <w:szCs w:val="24"/>
              </w:rPr>
              <w:t>Total</w:t>
            </w:r>
            <w:r w:rsidRPr="00DD6B2B">
              <w:rPr>
                <w:spacing w:val="-10"/>
                <w:sz w:val="24"/>
                <w:szCs w:val="24"/>
              </w:rPr>
              <w:t xml:space="preserve"> </w:t>
            </w:r>
            <w:r w:rsidRPr="00DD6B2B">
              <w:rPr>
                <w:sz w:val="24"/>
                <w:szCs w:val="24"/>
              </w:rPr>
              <w:t>Number</w:t>
            </w:r>
            <w:r w:rsidRPr="00DD6B2B">
              <w:rPr>
                <w:spacing w:val="-10"/>
                <w:sz w:val="24"/>
                <w:szCs w:val="24"/>
              </w:rPr>
              <w:t xml:space="preserve"> </w:t>
            </w:r>
            <w:r w:rsidRPr="00DD6B2B">
              <w:rPr>
                <w:sz w:val="24"/>
                <w:szCs w:val="24"/>
              </w:rPr>
              <w:t>of</w:t>
            </w:r>
            <w:r w:rsidRPr="00DD6B2B">
              <w:rPr>
                <w:spacing w:val="-10"/>
                <w:sz w:val="24"/>
                <w:szCs w:val="24"/>
              </w:rPr>
              <w:t xml:space="preserve"> </w:t>
            </w:r>
            <w:r w:rsidRPr="00DD6B2B">
              <w:rPr>
                <w:sz w:val="24"/>
                <w:szCs w:val="24"/>
              </w:rPr>
              <w:t>Surveys</w:t>
            </w:r>
            <w:r w:rsidRPr="00DD6B2B">
              <w:rPr>
                <w:spacing w:val="-10"/>
                <w:sz w:val="24"/>
                <w:szCs w:val="24"/>
              </w:rPr>
              <w:t xml:space="preserve"> </w:t>
            </w:r>
            <w:r w:rsidRPr="00DD6B2B">
              <w:rPr>
                <w:spacing w:val="-2"/>
                <w:sz w:val="24"/>
                <w:szCs w:val="24"/>
              </w:rPr>
              <w:t>Completed</w:t>
            </w:r>
          </w:p>
        </w:tc>
        <w:tc>
          <w:tcPr>
            <w:tcW w:w="876" w:type="dxa"/>
          </w:tcPr>
          <w:p w14:paraId="7604665F" w14:textId="14C77817" w:rsidR="00161927" w:rsidRDefault="00161927" w:rsidP="00161927">
            <w:pPr>
              <w:rPr>
                <w:rFonts w:cs="Calibri"/>
              </w:rPr>
            </w:pPr>
            <w:r w:rsidRPr="00DD6B2B">
              <w:rPr>
                <w:spacing w:val="-5"/>
                <w:sz w:val="24"/>
                <w:szCs w:val="24"/>
              </w:rPr>
              <w:t>6</w:t>
            </w:r>
            <w:r w:rsidR="00844F51">
              <w:rPr>
                <w:spacing w:val="-5"/>
                <w:sz w:val="24"/>
                <w:szCs w:val="24"/>
              </w:rPr>
              <w:t>6</w:t>
            </w:r>
          </w:p>
        </w:tc>
        <w:tc>
          <w:tcPr>
            <w:tcW w:w="3640" w:type="dxa"/>
            <w:vAlign w:val="bottom"/>
          </w:tcPr>
          <w:p w14:paraId="21D84925" w14:textId="5AEEC61D" w:rsidR="00161927" w:rsidRPr="00863287" w:rsidRDefault="008F4308" w:rsidP="00161927">
            <w:pPr>
              <w:rPr>
                <w:rFonts w:cs="Calibri"/>
              </w:rPr>
            </w:pPr>
            <w:r>
              <w:rPr>
                <w:rFonts w:cs="Calibri"/>
              </w:rPr>
              <w:t>43</w:t>
            </w:r>
            <w:r w:rsidR="00F6416E">
              <w:rPr>
                <w:rFonts w:cs="Calibri"/>
              </w:rPr>
              <w:t>%</w:t>
            </w:r>
          </w:p>
        </w:tc>
      </w:tr>
    </w:tbl>
    <w:p w14:paraId="6ED2EC48" w14:textId="7027A1DC" w:rsidR="00873474" w:rsidRPr="00873474" w:rsidRDefault="00873474" w:rsidP="00873474"/>
    <w:sectPr w:rsidR="00873474" w:rsidRPr="00873474" w:rsidSect="00EB251D">
      <w:headerReference w:type="even" r:id="rId21"/>
      <w:headerReference w:type="default" r:id="rId22"/>
      <w:headerReference w:type="first" r:id="rId23"/>
      <w:pgSz w:w="12240" w:h="15840" w:code="1"/>
      <w:pgMar w:top="1728"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70500" w14:textId="77777777" w:rsidR="004D5320" w:rsidRDefault="004D5320" w:rsidP="00D247F6">
      <w:r>
        <w:separator/>
      </w:r>
    </w:p>
  </w:endnote>
  <w:endnote w:type="continuationSeparator" w:id="0">
    <w:p w14:paraId="677704BC" w14:textId="77777777" w:rsidR="004D5320" w:rsidRDefault="004D5320"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6F20" w14:textId="77777777" w:rsidR="00193300" w:rsidRDefault="0019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12AB" w14:textId="02517B09" w:rsidR="00324E7E" w:rsidRPr="00324E7E" w:rsidRDefault="00193300" w:rsidP="00324E7E">
    <w:pPr>
      <w:pStyle w:val="Footer"/>
      <w:jc w:val="right"/>
    </w:pPr>
    <w:r>
      <w:t>30,000 Feet Direct Appropriation Legislative Report</w:t>
    </w:r>
    <w:r w:rsidR="00324E7E" w:rsidRPr="00AF5107">
      <w:tab/>
    </w:r>
    <w:r w:rsidR="00324E7E" w:rsidRPr="00AF5107">
      <w:fldChar w:fldCharType="begin"/>
    </w:r>
    <w:r w:rsidR="00324E7E" w:rsidRPr="00AF5107">
      <w:instrText xml:space="preserve"> PAGE   \* MERGEFORMAT </w:instrText>
    </w:r>
    <w:r w:rsidR="00324E7E" w:rsidRPr="00AF5107">
      <w:fldChar w:fldCharType="separate"/>
    </w:r>
    <w:r w:rsidR="00100675">
      <w:rPr>
        <w:noProof/>
      </w:rPr>
      <w:t>4</w:t>
    </w:r>
    <w:r w:rsidR="00324E7E"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325D" w14:textId="77777777" w:rsidR="00193300" w:rsidRDefault="0019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4388" w14:textId="77777777" w:rsidR="004D5320" w:rsidRDefault="004D5320" w:rsidP="00D247F6">
      <w:r>
        <w:separator/>
      </w:r>
    </w:p>
  </w:footnote>
  <w:footnote w:type="continuationSeparator" w:id="0">
    <w:p w14:paraId="12714794" w14:textId="77777777" w:rsidR="004D5320" w:rsidRDefault="004D5320" w:rsidP="00D247F6">
      <w:r>
        <w:continuationSeparator/>
      </w:r>
    </w:p>
  </w:footnote>
  <w:footnote w:id="1">
    <w:p w14:paraId="03F69290" w14:textId="706C02D8" w:rsidR="00CB1603" w:rsidRDefault="00CB1603">
      <w:pPr>
        <w:pStyle w:val="FootnoteText"/>
      </w:pPr>
      <w:r>
        <w:rPr>
          <w:rStyle w:val="FootnoteReference"/>
        </w:rPr>
        <w:footnoteRef/>
      </w:r>
      <w:r>
        <w:t xml:space="preserve"> Note, DEED does not collect individual</w:t>
      </w:r>
      <w:r w:rsidR="00634E82">
        <w:t xml:space="preserve"> demographic</w:t>
      </w:r>
      <w:r>
        <w:t xml:space="preserve"> data on youth served in group services.</w:t>
      </w:r>
    </w:p>
  </w:footnote>
  <w:footnote w:id="2">
    <w:p w14:paraId="40416116" w14:textId="5827A2E6" w:rsidR="008A7204" w:rsidRDefault="008A7204">
      <w:pPr>
        <w:pStyle w:val="FootnoteText"/>
      </w:pPr>
      <w:r>
        <w:rPr>
          <w:rStyle w:val="FootnoteReference"/>
        </w:rPr>
        <w:footnoteRef/>
      </w:r>
      <w:r>
        <w:t xml:space="preserve"> Note that this excludes Kindergarten through 3</w:t>
      </w:r>
      <w:r w:rsidRPr="008A7204">
        <w:rPr>
          <w:vertAlign w:val="superscript"/>
        </w:rPr>
        <w:t>rd</w:t>
      </w:r>
      <w:r>
        <w:t xml:space="preserve"> grade youth served by 30K Feet.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8629" w14:textId="38E63D7E" w:rsidR="00193300" w:rsidRDefault="00193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1784" w14:textId="73D1DC84" w:rsidR="00193300" w:rsidRDefault="00193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E647" w14:textId="76DA89D2" w:rsidR="00193300" w:rsidRDefault="001933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1E7A" w14:textId="57D7491A" w:rsidR="00193300" w:rsidRDefault="001933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E180" w14:textId="791C4482" w:rsidR="00193300" w:rsidRDefault="001933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911B" w14:textId="5505BAAC" w:rsidR="00622BB5" w:rsidRPr="005666F2" w:rsidRDefault="00622BB5"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C54B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85pt;height:24.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D4857"/>
    <w:multiLevelType w:val="hybridMultilevel"/>
    <w:tmpl w:val="1B6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24BA4"/>
    <w:multiLevelType w:val="hybridMultilevel"/>
    <w:tmpl w:val="700CF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04F82"/>
    <w:multiLevelType w:val="hybridMultilevel"/>
    <w:tmpl w:val="700CF1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3A2051"/>
    <w:multiLevelType w:val="hybridMultilevel"/>
    <w:tmpl w:val="E9E6C3D8"/>
    <w:lvl w:ilvl="0" w:tplc="135E802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9A7567"/>
    <w:multiLevelType w:val="hybridMultilevel"/>
    <w:tmpl w:val="4B764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C179D"/>
    <w:multiLevelType w:val="hybridMultilevel"/>
    <w:tmpl w:val="9D741B30"/>
    <w:lvl w:ilvl="0" w:tplc="08FCE4EA">
      <w:start w:val="1"/>
      <w:numFmt w:val="upperLetter"/>
      <w:lvlText w:val="%1."/>
      <w:lvlJc w:val="left"/>
      <w:pPr>
        <w:ind w:left="504" w:hanging="360"/>
      </w:pPr>
      <w:rPr>
        <w:rFonts w:hint="default"/>
        <w:b/>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16cid:durableId="547961766">
    <w:abstractNumId w:val="3"/>
  </w:num>
  <w:num w:numId="2" w16cid:durableId="1312059139">
    <w:abstractNumId w:val="6"/>
  </w:num>
  <w:num w:numId="3" w16cid:durableId="1591815255">
    <w:abstractNumId w:val="24"/>
  </w:num>
  <w:num w:numId="4" w16cid:durableId="819882169">
    <w:abstractNumId w:val="22"/>
  </w:num>
  <w:num w:numId="5" w16cid:durableId="2021157416">
    <w:abstractNumId w:val="20"/>
  </w:num>
  <w:num w:numId="6" w16cid:durableId="333580436">
    <w:abstractNumId w:val="4"/>
  </w:num>
  <w:num w:numId="7" w16cid:durableId="373114442">
    <w:abstractNumId w:val="15"/>
  </w:num>
  <w:num w:numId="8" w16cid:durableId="1764648336">
    <w:abstractNumId w:val="8"/>
  </w:num>
  <w:num w:numId="9" w16cid:durableId="1061749424">
    <w:abstractNumId w:val="13"/>
  </w:num>
  <w:num w:numId="10" w16cid:durableId="4863181">
    <w:abstractNumId w:val="2"/>
  </w:num>
  <w:num w:numId="11" w16cid:durableId="110708309">
    <w:abstractNumId w:val="2"/>
  </w:num>
  <w:num w:numId="12" w16cid:durableId="1340619089">
    <w:abstractNumId w:val="25"/>
  </w:num>
  <w:num w:numId="13" w16cid:durableId="229310602">
    <w:abstractNumId w:val="27"/>
  </w:num>
  <w:num w:numId="14" w16cid:durableId="751271879">
    <w:abstractNumId w:val="18"/>
  </w:num>
  <w:num w:numId="15" w16cid:durableId="1790050891">
    <w:abstractNumId w:val="2"/>
  </w:num>
  <w:num w:numId="16" w16cid:durableId="1361859077">
    <w:abstractNumId w:val="27"/>
  </w:num>
  <w:num w:numId="17" w16cid:durableId="1921869675">
    <w:abstractNumId w:val="18"/>
  </w:num>
  <w:num w:numId="18" w16cid:durableId="1077748727">
    <w:abstractNumId w:val="10"/>
  </w:num>
  <w:num w:numId="19" w16cid:durableId="745491084">
    <w:abstractNumId w:val="5"/>
  </w:num>
  <w:num w:numId="20" w16cid:durableId="1147209592">
    <w:abstractNumId w:val="1"/>
  </w:num>
  <w:num w:numId="21" w16cid:durableId="1508715861">
    <w:abstractNumId w:val="0"/>
  </w:num>
  <w:num w:numId="22" w16cid:durableId="588932190">
    <w:abstractNumId w:val="9"/>
  </w:num>
  <w:num w:numId="23" w16cid:durableId="73861263">
    <w:abstractNumId w:val="21"/>
  </w:num>
  <w:num w:numId="24" w16cid:durableId="1299148794">
    <w:abstractNumId w:val="23"/>
  </w:num>
  <w:num w:numId="25" w16cid:durableId="1969430527">
    <w:abstractNumId w:val="11"/>
  </w:num>
  <w:num w:numId="26" w16cid:durableId="619608475">
    <w:abstractNumId w:val="7"/>
  </w:num>
  <w:num w:numId="27" w16cid:durableId="2031830608">
    <w:abstractNumId w:val="14"/>
  </w:num>
  <w:num w:numId="28" w16cid:durableId="869612207">
    <w:abstractNumId w:val="26"/>
  </w:num>
  <w:num w:numId="29" w16cid:durableId="1746957295">
    <w:abstractNumId w:val="16"/>
  </w:num>
  <w:num w:numId="30" w16cid:durableId="1505509025">
    <w:abstractNumId w:val="19"/>
  </w:num>
  <w:num w:numId="31" w16cid:durableId="1029792856">
    <w:abstractNumId w:val="28"/>
  </w:num>
  <w:num w:numId="32" w16cid:durableId="293758358">
    <w:abstractNumId w:val="12"/>
  </w:num>
  <w:num w:numId="33" w16cid:durableId="111544301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65AC"/>
    <w:rsid w:val="00006A0A"/>
    <w:rsid w:val="00014777"/>
    <w:rsid w:val="000158A7"/>
    <w:rsid w:val="000233BF"/>
    <w:rsid w:val="000261E8"/>
    <w:rsid w:val="00064B90"/>
    <w:rsid w:val="0007374A"/>
    <w:rsid w:val="00074A30"/>
    <w:rsid w:val="0007512E"/>
    <w:rsid w:val="00080404"/>
    <w:rsid w:val="00084742"/>
    <w:rsid w:val="000B2E68"/>
    <w:rsid w:val="000C3708"/>
    <w:rsid w:val="000C3761"/>
    <w:rsid w:val="000C7373"/>
    <w:rsid w:val="000E313B"/>
    <w:rsid w:val="000E3E9D"/>
    <w:rsid w:val="000F4BB1"/>
    <w:rsid w:val="00100675"/>
    <w:rsid w:val="00135082"/>
    <w:rsid w:val="00135DC7"/>
    <w:rsid w:val="00147ED1"/>
    <w:rsid w:val="001500D6"/>
    <w:rsid w:val="00157C41"/>
    <w:rsid w:val="00161927"/>
    <w:rsid w:val="001661D9"/>
    <w:rsid w:val="001708EC"/>
    <w:rsid w:val="00190FAC"/>
    <w:rsid w:val="001925A8"/>
    <w:rsid w:val="00193300"/>
    <w:rsid w:val="001961CB"/>
    <w:rsid w:val="0019673D"/>
    <w:rsid w:val="001A46BB"/>
    <w:rsid w:val="001B20E6"/>
    <w:rsid w:val="001C4B91"/>
    <w:rsid w:val="001C55E0"/>
    <w:rsid w:val="001E160D"/>
    <w:rsid w:val="001E5ECF"/>
    <w:rsid w:val="001F278F"/>
    <w:rsid w:val="00211CA3"/>
    <w:rsid w:val="00222A49"/>
    <w:rsid w:val="0022552E"/>
    <w:rsid w:val="00227D62"/>
    <w:rsid w:val="00261247"/>
    <w:rsid w:val="00264652"/>
    <w:rsid w:val="002667A9"/>
    <w:rsid w:val="0027051A"/>
    <w:rsid w:val="00274294"/>
    <w:rsid w:val="00277822"/>
    <w:rsid w:val="00282084"/>
    <w:rsid w:val="00287FA4"/>
    <w:rsid w:val="00291052"/>
    <w:rsid w:val="002B5E79"/>
    <w:rsid w:val="002C0859"/>
    <w:rsid w:val="002F1947"/>
    <w:rsid w:val="00301E8C"/>
    <w:rsid w:val="00306D94"/>
    <w:rsid w:val="003125DF"/>
    <w:rsid w:val="00324E7E"/>
    <w:rsid w:val="00335736"/>
    <w:rsid w:val="0034554C"/>
    <w:rsid w:val="0034728D"/>
    <w:rsid w:val="003563D2"/>
    <w:rsid w:val="00367E1E"/>
    <w:rsid w:val="00376FA5"/>
    <w:rsid w:val="00387693"/>
    <w:rsid w:val="00392B94"/>
    <w:rsid w:val="003A1479"/>
    <w:rsid w:val="003A1813"/>
    <w:rsid w:val="003B7D82"/>
    <w:rsid w:val="003C4644"/>
    <w:rsid w:val="003C5BE3"/>
    <w:rsid w:val="003C6315"/>
    <w:rsid w:val="003F61EE"/>
    <w:rsid w:val="00413A7C"/>
    <w:rsid w:val="004141DD"/>
    <w:rsid w:val="00447199"/>
    <w:rsid w:val="00461804"/>
    <w:rsid w:val="00463AD5"/>
    <w:rsid w:val="00466810"/>
    <w:rsid w:val="004816B5"/>
    <w:rsid w:val="00483DD2"/>
    <w:rsid w:val="00490BD7"/>
    <w:rsid w:val="00494E6F"/>
    <w:rsid w:val="004A1B4D"/>
    <w:rsid w:val="004A58DD"/>
    <w:rsid w:val="004A6119"/>
    <w:rsid w:val="004B47DC"/>
    <w:rsid w:val="004C04F1"/>
    <w:rsid w:val="004D5320"/>
    <w:rsid w:val="004E2555"/>
    <w:rsid w:val="004E75B3"/>
    <w:rsid w:val="004F04BA"/>
    <w:rsid w:val="004F0EFF"/>
    <w:rsid w:val="004F33A6"/>
    <w:rsid w:val="0050093F"/>
    <w:rsid w:val="005140EC"/>
    <w:rsid w:val="00514788"/>
    <w:rsid w:val="0053078F"/>
    <w:rsid w:val="0054371B"/>
    <w:rsid w:val="00555B93"/>
    <w:rsid w:val="0056615E"/>
    <w:rsid w:val="005666F2"/>
    <w:rsid w:val="00575EFD"/>
    <w:rsid w:val="005769A5"/>
    <w:rsid w:val="005A58F9"/>
    <w:rsid w:val="005A5A73"/>
    <w:rsid w:val="005B2DDF"/>
    <w:rsid w:val="005B4AE7"/>
    <w:rsid w:val="005B53B0"/>
    <w:rsid w:val="005C5FC6"/>
    <w:rsid w:val="005C672C"/>
    <w:rsid w:val="005D4207"/>
    <w:rsid w:val="005D45B3"/>
    <w:rsid w:val="005E2605"/>
    <w:rsid w:val="005F6005"/>
    <w:rsid w:val="006064AB"/>
    <w:rsid w:val="006229CF"/>
    <w:rsid w:val="00622BB5"/>
    <w:rsid w:val="00624CFF"/>
    <w:rsid w:val="00633855"/>
    <w:rsid w:val="00634E82"/>
    <w:rsid w:val="00655345"/>
    <w:rsid w:val="00672536"/>
    <w:rsid w:val="006755A2"/>
    <w:rsid w:val="00681EDC"/>
    <w:rsid w:val="0068649F"/>
    <w:rsid w:val="00687189"/>
    <w:rsid w:val="00697CCC"/>
    <w:rsid w:val="006B0D98"/>
    <w:rsid w:val="006B13B7"/>
    <w:rsid w:val="006B2942"/>
    <w:rsid w:val="006B3994"/>
    <w:rsid w:val="006C0E45"/>
    <w:rsid w:val="006D4829"/>
    <w:rsid w:val="006F3B38"/>
    <w:rsid w:val="007124DA"/>
    <w:rsid w:val="007137A4"/>
    <w:rsid w:val="0071469D"/>
    <w:rsid w:val="007225DF"/>
    <w:rsid w:val="007371AC"/>
    <w:rsid w:val="00745873"/>
    <w:rsid w:val="0074778B"/>
    <w:rsid w:val="007511B5"/>
    <w:rsid w:val="007655C9"/>
    <w:rsid w:val="007658D0"/>
    <w:rsid w:val="0077225E"/>
    <w:rsid w:val="0077552B"/>
    <w:rsid w:val="00781701"/>
    <w:rsid w:val="00793F48"/>
    <w:rsid w:val="007B038E"/>
    <w:rsid w:val="007B35B2"/>
    <w:rsid w:val="007C4A88"/>
    <w:rsid w:val="007D1FFF"/>
    <w:rsid w:val="007D42A0"/>
    <w:rsid w:val="007E0CAA"/>
    <w:rsid w:val="007E685C"/>
    <w:rsid w:val="007F6108"/>
    <w:rsid w:val="007F7097"/>
    <w:rsid w:val="008067A6"/>
    <w:rsid w:val="00814C62"/>
    <w:rsid w:val="008251B3"/>
    <w:rsid w:val="00844F1D"/>
    <w:rsid w:val="00844F51"/>
    <w:rsid w:val="0084749F"/>
    <w:rsid w:val="008533D4"/>
    <w:rsid w:val="00864202"/>
    <w:rsid w:val="00873474"/>
    <w:rsid w:val="008767E5"/>
    <w:rsid w:val="008A7204"/>
    <w:rsid w:val="008B2BFB"/>
    <w:rsid w:val="008B5443"/>
    <w:rsid w:val="008C7EEB"/>
    <w:rsid w:val="008D0DEF"/>
    <w:rsid w:val="008D2256"/>
    <w:rsid w:val="008D5E3D"/>
    <w:rsid w:val="008F4308"/>
    <w:rsid w:val="0090737A"/>
    <w:rsid w:val="00930899"/>
    <w:rsid w:val="009440E4"/>
    <w:rsid w:val="0096108C"/>
    <w:rsid w:val="00963BA0"/>
    <w:rsid w:val="00967764"/>
    <w:rsid w:val="009810EE"/>
    <w:rsid w:val="00984CC9"/>
    <w:rsid w:val="0099233F"/>
    <w:rsid w:val="009A66AE"/>
    <w:rsid w:val="009B4090"/>
    <w:rsid w:val="009B54A0"/>
    <w:rsid w:val="009C6405"/>
    <w:rsid w:val="009E4627"/>
    <w:rsid w:val="00A06A05"/>
    <w:rsid w:val="00A202DC"/>
    <w:rsid w:val="00A21C0E"/>
    <w:rsid w:val="00A25DD4"/>
    <w:rsid w:val="00A30799"/>
    <w:rsid w:val="00A57FE8"/>
    <w:rsid w:val="00A64ECE"/>
    <w:rsid w:val="00A660F1"/>
    <w:rsid w:val="00A66185"/>
    <w:rsid w:val="00A71CAD"/>
    <w:rsid w:val="00A731A2"/>
    <w:rsid w:val="00A827C1"/>
    <w:rsid w:val="00A82A78"/>
    <w:rsid w:val="00A93F40"/>
    <w:rsid w:val="00A96F93"/>
    <w:rsid w:val="00AD2CD6"/>
    <w:rsid w:val="00AE5772"/>
    <w:rsid w:val="00AF22AD"/>
    <w:rsid w:val="00AF5107"/>
    <w:rsid w:val="00B007FF"/>
    <w:rsid w:val="00B027A8"/>
    <w:rsid w:val="00B04998"/>
    <w:rsid w:val="00B06264"/>
    <w:rsid w:val="00B07C8F"/>
    <w:rsid w:val="00B275D4"/>
    <w:rsid w:val="00B31F41"/>
    <w:rsid w:val="00B545E5"/>
    <w:rsid w:val="00B75051"/>
    <w:rsid w:val="00B859DE"/>
    <w:rsid w:val="00BA23A4"/>
    <w:rsid w:val="00BA3445"/>
    <w:rsid w:val="00BA5500"/>
    <w:rsid w:val="00BD0E59"/>
    <w:rsid w:val="00C01703"/>
    <w:rsid w:val="00C12D2F"/>
    <w:rsid w:val="00C277A8"/>
    <w:rsid w:val="00C309AE"/>
    <w:rsid w:val="00C356DB"/>
    <w:rsid w:val="00C365CE"/>
    <w:rsid w:val="00C417EB"/>
    <w:rsid w:val="00C528AE"/>
    <w:rsid w:val="00C61688"/>
    <w:rsid w:val="00CB1603"/>
    <w:rsid w:val="00CC524E"/>
    <w:rsid w:val="00CE45B0"/>
    <w:rsid w:val="00CF625F"/>
    <w:rsid w:val="00D0014D"/>
    <w:rsid w:val="00D064DF"/>
    <w:rsid w:val="00D22819"/>
    <w:rsid w:val="00D22C71"/>
    <w:rsid w:val="00D247F6"/>
    <w:rsid w:val="00D511F0"/>
    <w:rsid w:val="00D54EE5"/>
    <w:rsid w:val="00D63F82"/>
    <w:rsid w:val="00D640FC"/>
    <w:rsid w:val="00D70F7D"/>
    <w:rsid w:val="00D80D0A"/>
    <w:rsid w:val="00D817C7"/>
    <w:rsid w:val="00D92929"/>
    <w:rsid w:val="00D93C2E"/>
    <w:rsid w:val="00D970A5"/>
    <w:rsid w:val="00DA212A"/>
    <w:rsid w:val="00DB0BE6"/>
    <w:rsid w:val="00DB4967"/>
    <w:rsid w:val="00DE50CB"/>
    <w:rsid w:val="00DF6662"/>
    <w:rsid w:val="00DF71E0"/>
    <w:rsid w:val="00E05639"/>
    <w:rsid w:val="00E206AE"/>
    <w:rsid w:val="00E23397"/>
    <w:rsid w:val="00E32CD7"/>
    <w:rsid w:val="00E41BD2"/>
    <w:rsid w:val="00E44EE1"/>
    <w:rsid w:val="00E5241D"/>
    <w:rsid w:val="00E5680C"/>
    <w:rsid w:val="00E61A16"/>
    <w:rsid w:val="00E76267"/>
    <w:rsid w:val="00EA0EB1"/>
    <w:rsid w:val="00EA535B"/>
    <w:rsid w:val="00EB251D"/>
    <w:rsid w:val="00EB2B13"/>
    <w:rsid w:val="00EC24AF"/>
    <w:rsid w:val="00EC579D"/>
    <w:rsid w:val="00ED5BDC"/>
    <w:rsid w:val="00ED60A8"/>
    <w:rsid w:val="00ED7DAC"/>
    <w:rsid w:val="00EF7D8D"/>
    <w:rsid w:val="00F067A6"/>
    <w:rsid w:val="00F164F6"/>
    <w:rsid w:val="00F20B25"/>
    <w:rsid w:val="00F4703F"/>
    <w:rsid w:val="00F6052E"/>
    <w:rsid w:val="00F6416E"/>
    <w:rsid w:val="00F70C03"/>
    <w:rsid w:val="00F9084A"/>
    <w:rsid w:val="00FB6E40"/>
    <w:rsid w:val="00FD1CCB"/>
    <w:rsid w:val="00FD7A7E"/>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5"/>
    <o:shapelayout v:ext="edit">
      <o:idmap v:ext="edit" data="1"/>
    </o:shapelayout>
  </w:shapeDefaults>
  <w:decimalSymbol w:val="."/>
  <w:listSeparator w:val=","/>
  <w14:docId w14:val="7FD0902D"/>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paragraph" w:styleId="TOC1">
    <w:name w:val="toc 1"/>
    <w:basedOn w:val="Normal"/>
    <w:next w:val="Normal"/>
    <w:autoRedefine/>
    <w:uiPriority w:val="39"/>
    <w:unhideWhenUsed/>
    <w:rsid w:val="005769A5"/>
    <w:pPr>
      <w:spacing w:after="100"/>
    </w:pPr>
  </w:style>
  <w:style w:type="paragraph" w:styleId="TOC2">
    <w:name w:val="toc 2"/>
    <w:basedOn w:val="Normal"/>
    <w:next w:val="Normal"/>
    <w:autoRedefine/>
    <w:uiPriority w:val="39"/>
    <w:unhideWhenUsed/>
    <w:rsid w:val="005769A5"/>
    <w:pPr>
      <w:spacing w:after="100"/>
      <w:ind w:left="220"/>
    </w:pPr>
  </w:style>
  <w:style w:type="paragraph" w:styleId="TOC3">
    <w:name w:val="toc 3"/>
    <w:basedOn w:val="Normal"/>
    <w:next w:val="Normal"/>
    <w:autoRedefine/>
    <w:uiPriority w:val="39"/>
    <w:unhideWhenUsed/>
    <w:rsid w:val="005769A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98882068">
      <w:bodyDiv w:val="1"/>
      <w:marLeft w:val="0"/>
      <w:marRight w:val="0"/>
      <w:marTop w:val="0"/>
      <w:marBottom w:val="0"/>
      <w:divBdr>
        <w:top w:val="none" w:sz="0" w:space="0" w:color="auto"/>
        <w:left w:val="none" w:sz="0" w:space="0" w:color="auto"/>
        <w:bottom w:val="none" w:sz="0" w:space="0" w:color="auto"/>
        <w:right w:val="none" w:sz="0" w:space="0" w:color="auto"/>
      </w:divBdr>
    </w:div>
    <w:div w:id="18596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Kay.Tracy@state.mn.u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evisor.mn.gov/laws/2021/1/Session+Law/Chapter/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mn.gov/deed/programs-services/office-youth-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1" ma:contentTypeDescription="Create a new document." ma:contentTypeScope="" ma:versionID="0ad00db4089fc3da0bfc3b1b1135b1e3">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c7c05b377c24bfae94c00f4c05122c6d"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9DD08-E4FA-4998-9731-036B770C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3.xml><?xml version="1.0" encoding="utf-8"?>
<ds:datastoreItem xmlns:ds="http://schemas.openxmlformats.org/officeDocument/2006/customXml" ds:itemID="{D944686A-1AC7-4B2E-B3B6-565E5C88AF43}">
  <ds:schemaRefs>
    <ds:schemaRef ds:uri="http://schemas.openxmlformats.org/officeDocument/2006/bibliography"/>
  </ds:schemaRefs>
</ds:datastoreItem>
</file>

<file path=customXml/itemProps4.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91a27f72-aaa3-479a-8056-4d1f482f6428"/>
    <ds:schemaRef ds:uri="11b35ced-cbbd-4bb6-a753-082a779fefc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1686</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Legislative Report Template</vt:lpstr>
    </vt:vector>
  </TitlesOfParts>
  <Manager/>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Report Template</dc:title>
  <dc:subject>template</dc:subject>
  <dc:creator>Heidi A Johnson</dc:creator>
  <cp:keywords>template, report</cp:keywords>
  <dc:description>Document template version 1.2, Released 4-2017</dc:description>
  <cp:lastModifiedBy>Schmid, Cory (DEED)</cp:lastModifiedBy>
  <cp:revision>2</cp:revision>
  <dcterms:created xsi:type="dcterms:W3CDTF">2023-12-28T16:23:00Z</dcterms:created>
  <dcterms:modified xsi:type="dcterms:W3CDTF">2023-12-28T16:23:00Z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