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7434" w14:textId="77777777" w:rsidR="001631FC" w:rsidRDefault="00D52CFB" w:rsidP="00AB6F70">
      <w:r>
        <w:br/>
      </w:r>
      <w:r w:rsidR="000055EB">
        <w:rPr>
          <w:noProof/>
        </w:rPr>
        <w:drawing>
          <wp:inline distT="0" distB="0" distL="0" distR="0" wp14:anchorId="6B4E940A" wp14:editId="409238F9">
            <wp:extent cx="6858000" cy="1292860"/>
            <wp:effectExtent l="0" t="0" r="0" b="2540"/>
            <wp:docPr id="3" name="Picture 3" descr="Banner with Minnesota Department of Employment and Economic Development logo  and title &quot;Survey of Minnesota Business Services Firms&quot;"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 Services New Header.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292860"/>
                    </a:xfrm>
                    <a:prstGeom prst="rect">
                      <a:avLst/>
                    </a:prstGeom>
                  </pic:spPr>
                </pic:pic>
              </a:graphicData>
            </a:graphic>
          </wp:inline>
        </w:drawing>
      </w:r>
    </w:p>
    <w:p w14:paraId="6896AFB4" w14:textId="32EF524E" w:rsidR="008B388C" w:rsidRPr="00543B8E" w:rsidRDefault="003A765D" w:rsidP="00E55E81">
      <w:pPr>
        <w:pStyle w:val="Heading1"/>
        <w:jc w:val="center"/>
        <w:rPr>
          <w:b/>
          <w:color w:val="auto"/>
          <w:sz w:val="28"/>
          <w:szCs w:val="28"/>
        </w:rPr>
        <w:sectPr w:rsidR="008B388C" w:rsidRPr="00543B8E" w:rsidSect="0070375F">
          <w:footerReference w:type="default" r:id="rId9"/>
          <w:pgSz w:w="12240" w:h="15840"/>
          <w:pgMar w:top="720" w:right="720" w:bottom="720" w:left="720" w:header="720" w:footer="720" w:gutter="0"/>
          <w:cols w:space="720"/>
          <w:docGrid w:linePitch="360"/>
        </w:sectPr>
      </w:pPr>
      <w:r w:rsidRPr="00543B8E">
        <w:rPr>
          <w:b/>
          <w:color w:val="auto"/>
          <w:sz w:val="28"/>
          <w:szCs w:val="28"/>
        </w:rPr>
        <w:t xml:space="preserve">Business Services Firms </w:t>
      </w:r>
      <w:r w:rsidR="00D00E73" w:rsidRPr="00543B8E">
        <w:rPr>
          <w:b/>
          <w:color w:val="auto"/>
          <w:sz w:val="28"/>
          <w:szCs w:val="28"/>
        </w:rPr>
        <w:t>A</w:t>
      </w:r>
      <w:r w:rsidR="003F46AE" w:rsidRPr="00543B8E">
        <w:rPr>
          <w:b/>
          <w:color w:val="auto"/>
          <w:sz w:val="28"/>
          <w:szCs w:val="28"/>
        </w:rPr>
        <w:t>re Cautiously Optimistic About The Coming Year</w:t>
      </w:r>
    </w:p>
    <w:p w14:paraId="77DF6ACC" w14:textId="4E137DE7" w:rsidR="00C067E2" w:rsidRPr="00EE7F5A" w:rsidRDefault="00C94B17" w:rsidP="00C067E2">
      <w:pPr>
        <w:spacing w:after="0" w:line="240" w:lineRule="auto"/>
      </w:pPr>
      <w:r w:rsidRPr="00EE7F5A">
        <w:t>Minnesota business service firms</w:t>
      </w:r>
      <w:r w:rsidR="00033FB0">
        <w:t xml:space="preserve"> are hopeful about the coming year</w:t>
      </w:r>
      <w:r w:rsidR="00B8301F">
        <w:t>, despite some concerns</w:t>
      </w:r>
      <w:r w:rsidR="00D00E73" w:rsidRPr="00EE7F5A">
        <w:t xml:space="preserve">. </w:t>
      </w:r>
      <w:r w:rsidR="00A80F35" w:rsidRPr="00EE7F5A">
        <w:t>Inflation remains high due to continued labor-market tightness and growing wage pressures, resulting in tighter</w:t>
      </w:r>
      <w:r w:rsidR="00FB1AE2" w:rsidRPr="00EE7F5A">
        <w:t xml:space="preserve"> credit</w:t>
      </w:r>
      <w:r w:rsidR="00A80F35" w:rsidRPr="00EE7F5A">
        <w:t xml:space="preserve"> policies</w:t>
      </w:r>
      <w:r w:rsidR="00D00E73" w:rsidRPr="00EE7F5A">
        <w:t xml:space="preserve">. </w:t>
      </w:r>
      <w:r w:rsidR="00930E4B" w:rsidRPr="00EE7F5A">
        <w:t>However, supply cha</w:t>
      </w:r>
      <w:r w:rsidR="00695A9E">
        <w:t>in d</w:t>
      </w:r>
      <w:r w:rsidR="00930E4B" w:rsidRPr="00EE7F5A">
        <w:t>isruptions are receding</w:t>
      </w:r>
      <w:r w:rsidR="00033FB0">
        <w:t xml:space="preserve">, </w:t>
      </w:r>
      <w:r w:rsidR="00930E4B" w:rsidRPr="00EE7F5A">
        <w:t>the search for workers is easing</w:t>
      </w:r>
      <w:r w:rsidR="00695A9E">
        <w:t xml:space="preserve">, </w:t>
      </w:r>
      <w:r w:rsidR="00033FB0">
        <w:t xml:space="preserve">and inflation is </w:t>
      </w:r>
      <w:r w:rsidR="00CA018D">
        <w:t>subsiding</w:t>
      </w:r>
      <w:r w:rsidR="00033FB0">
        <w:t>.</w:t>
      </w:r>
    </w:p>
    <w:p w14:paraId="6596EAEC" w14:textId="7EE2FBEA" w:rsidR="007E666B" w:rsidRPr="00EE7F5A" w:rsidRDefault="00C067E2" w:rsidP="003F62BE">
      <w:pPr>
        <w:spacing w:after="0" w:line="240" w:lineRule="auto"/>
      </w:pPr>
      <w:r w:rsidRPr="00EE7F5A">
        <w:br/>
      </w:r>
      <w:r w:rsidR="00BC5DD8" w:rsidRPr="00EE7F5A">
        <w:t>These results come from a random sample of Minnesota businesse</w:t>
      </w:r>
      <w:r w:rsidR="006B6F5E" w:rsidRPr="00EE7F5A">
        <w:t xml:space="preserve">s service firms conducted in </w:t>
      </w:r>
      <w:r w:rsidR="00396DC1" w:rsidRPr="00EE7F5A">
        <w:t>May and June 202</w:t>
      </w:r>
      <w:r w:rsidR="00562E29" w:rsidRPr="00EE7F5A">
        <w:t>3</w:t>
      </w:r>
      <w:r w:rsidR="00396DC1" w:rsidRPr="00EE7F5A">
        <w:t>,</w:t>
      </w:r>
      <w:r w:rsidR="00BC5DD8" w:rsidRPr="00EE7F5A">
        <w:t xml:space="preserve"> by the Minnesota Department of Employment and Economic </w:t>
      </w:r>
      <w:r w:rsidR="009B07B0" w:rsidRPr="00EE7F5A">
        <w:t>Development and the Federal Reserve Ban</w:t>
      </w:r>
      <w:r w:rsidR="006309E6" w:rsidRPr="00EE7F5A">
        <w:t xml:space="preserve">k </w:t>
      </w:r>
      <w:r w:rsidR="00254717">
        <w:t>of</w:t>
      </w:r>
      <w:r w:rsidR="006309E6" w:rsidRPr="00EE7F5A">
        <w:t xml:space="preserve"> Minne</w:t>
      </w:r>
      <w:r w:rsidR="00D53E18" w:rsidRPr="00EE7F5A">
        <w:t>apolis</w:t>
      </w:r>
      <w:r w:rsidR="00CA4F8E" w:rsidRPr="00EE7F5A">
        <w:t>.</w:t>
      </w:r>
      <w:r w:rsidR="00CA4F8E" w:rsidRPr="00EE7F5A">
        <w:br/>
      </w:r>
      <w:r w:rsidR="003F62BE">
        <w:br/>
      </w:r>
      <w:r w:rsidRPr="00D60273">
        <w:rPr>
          <w:rStyle w:val="Heading2Char"/>
          <w:b/>
        </w:rPr>
        <w:t>Business Services Firms</w:t>
      </w:r>
      <w:r w:rsidR="008D3F64">
        <w:rPr>
          <w:rStyle w:val="Heading2Char"/>
          <w:b/>
        </w:rPr>
        <w:t xml:space="preserve">: </w:t>
      </w:r>
      <w:r w:rsidR="003368D3" w:rsidRPr="00D60273">
        <w:rPr>
          <w:rStyle w:val="Heading2Char"/>
          <w:b/>
        </w:rPr>
        <w:t xml:space="preserve">Previous </w:t>
      </w:r>
      <w:r w:rsidR="001667E5">
        <w:rPr>
          <w:rStyle w:val="Heading2Char"/>
          <w:b/>
        </w:rPr>
        <w:t>Year</w:t>
      </w:r>
      <w:r w:rsidR="00855892" w:rsidRPr="003F62BE">
        <w:rPr>
          <w:rStyle w:val="Heading2Char"/>
        </w:rPr>
        <w:br/>
      </w:r>
      <w:r w:rsidR="001215A7" w:rsidRPr="00EE7F5A">
        <w:t>Mi</w:t>
      </w:r>
      <w:r w:rsidRPr="00EE7F5A">
        <w:t>nnesota business services firms</w:t>
      </w:r>
      <w:r w:rsidR="000715D1" w:rsidRPr="00EE7F5A">
        <w:t xml:space="preserve"> </w:t>
      </w:r>
      <w:r w:rsidR="001D53EC" w:rsidRPr="00EE7F5A">
        <w:t xml:space="preserve">experienced </w:t>
      </w:r>
      <w:r w:rsidR="00AD00D1">
        <w:t>mix</w:t>
      </w:r>
      <w:r w:rsidR="00B8301F">
        <w:t>ed</w:t>
      </w:r>
      <w:r w:rsidR="00AD00D1">
        <w:t xml:space="preserve"> </w:t>
      </w:r>
      <w:r w:rsidR="001D53EC" w:rsidRPr="00EE7F5A">
        <w:t>economic</w:t>
      </w:r>
      <w:r w:rsidR="00C174D5" w:rsidRPr="00EE7F5A">
        <w:t xml:space="preserve"> condition</w:t>
      </w:r>
      <w:r w:rsidR="00502AAA">
        <w:t>s</w:t>
      </w:r>
      <w:r w:rsidR="00254717">
        <w:t xml:space="preserve"> </w:t>
      </w:r>
      <w:r w:rsidR="009F691B">
        <w:t>in the past year</w:t>
      </w:r>
      <w:r w:rsidR="00695A9E">
        <w:t>. There was a m</w:t>
      </w:r>
      <w:r w:rsidR="00B8301F">
        <w:t>odest</w:t>
      </w:r>
      <w:r w:rsidR="00AD00D1">
        <w:t xml:space="preserve"> </w:t>
      </w:r>
      <w:r w:rsidR="00E92FD4">
        <w:t>growth</w:t>
      </w:r>
      <w:r w:rsidR="00AD00D1">
        <w:t xml:space="preserve"> in sales revenue</w:t>
      </w:r>
      <w:r w:rsidR="00B8301F">
        <w:t xml:space="preserve"> </w:t>
      </w:r>
      <w:r w:rsidR="00A15573">
        <w:t>(</w:t>
      </w:r>
      <w:r w:rsidR="00E92FD4">
        <w:t>diffusion index</w:t>
      </w:r>
      <w:r w:rsidR="00502AAA">
        <w:t xml:space="preserve"> </w:t>
      </w:r>
      <w:r w:rsidR="00E92FD4">
        <w:t>of 57,</w:t>
      </w:r>
      <w:r w:rsidR="00B8301F">
        <w:t xml:space="preserve"> indicating </w:t>
      </w:r>
      <w:r w:rsidR="00E92FD4">
        <w:t>expansion</w:t>
      </w:r>
      <w:r w:rsidR="00A15573">
        <w:t>)</w:t>
      </w:r>
      <w:r w:rsidR="00B8301F">
        <w:t xml:space="preserve"> </w:t>
      </w:r>
      <w:r w:rsidR="00AD00D1">
        <w:t>and</w:t>
      </w:r>
      <w:r w:rsidR="00106485">
        <w:t xml:space="preserve"> </w:t>
      </w:r>
      <w:r w:rsidR="00AD00D1">
        <w:t>productivity</w:t>
      </w:r>
      <w:r w:rsidR="00E92FD4">
        <w:t xml:space="preserve"> </w:t>
      </w:r>
      <w:r w:rsidR="00A15573">
        <w:t>(</w:t>
      </w:r>
      <w:r w:rsidR="00CC4432">
        <w:t>d</w:t>
      </w:r>
      <w:r w:rsidR="00502AAA">
        <w:t xml:space="preserve">iffusion index of </w:t>
      </w:r>
      <w:r w:rsidR="00E92FD4">
        <w:t>55</w:t>
      </w:r>
      <w:r w:rsidR="00D71F1A">
        <w:t>, also expansion</w:t>
      </w:r>
      <w:r w:rsidR="00A15573">
        <w:t>)</w:t>
      </w:r>
      <w:r w:rsidR="00502AAA">
        <w:t xml:space="preserve"> </w:t>
      </w:r>
      <w:r w:rsidR="00113DB1">
        <w:t>(s</w:t>
      </w:r>
      <w:r w:rsidR="00502AAA">
        <w:t>ee Chart 1</w:t>
      </w:r>
      <w:r w:rsidR="00113DB1">
        <w:t>)</w:t>
      </w:r>
      <w:r w:rsidR="00502AAA">
        <w:t xml:space="preserve">. </w:t>
      </w:r>
      <w:r w:rsidR="00AD00D1">
        <w:t>However, labor availability</w:t>
      </w:r>
      <w:r w:rsidR="003F4F11">
        <w:t xml:space="preserve"> </w:t>
      </w:r>
      <w:r w:rsidR="00405496">
        <w:t>faced</w:t>
      </w:r>
      <w:r w:rsidR="003F4F11">
        <w:t xml:space="preserve"> contraction</w:t>
      </w:r>
      <w:r w:rsidR="006D2EAD" w:rsidRPr="00EE7F5A">
        <w:t xml:space="preserve">: </w:t>
      </w:r>
      <w:r w:rsidR="001D53EC" w:rsidRPr="00EE7F5A">
        <w:t>5</w:t>
      </w:r>
      <w:r w:rsidR="009E27C5" w:rsidRPr="00EE7F5A">
        <w:t>3</w:t>
      </w:r>
      <w:r w:rsidR="00C174D5" w:rsidRPr="00EE7F5A">
        <w:t>%</w:t>
      </w:r>
      <w:r w:rsidR="00413D79" w:rsidRPr="00EE7F5A">
        <w:t xml:space="preserve"> </w:t>
      </w:r>
      <w:r w:rsidR="006B6F5E" w:rsidRPr="00EE7F5A">
        <w:t xml:space="preserve">of respondents </w:t>
      </w:r>
      <w:r w:rsidR="00413D79" w:rsidRPr="00EE7F5A">
        <w:t xml:space="preserve">indicated </w:t>
      </w:r>
      <w:r w:rsidR="00EA2806" w:rsidRPr="00EE7F5A">
        <w:t xml:space="preserve">unchanged </w:t>
      </w:r>
      <w:r w:rsidR="001D53EC" w:rsidRPr="00EE7F5A">
        <w:t xml:space="preserve">levels </w:t>
      </w:r>
      <w:r w:rsidR="00C834D1" w:rsidRPr="00EE7F5A">
        <w:t xml:space="preserve">while </w:t>
      </w:r>
      <w:r w:rsidR="001D53EC" w:rsidRPr="00EE7F5A">
        <w:t>42</w:t>
      </w:r>
      <w:r w:rsidR="00FB2467" w:rsidRPr="00EE7F5A">
        <w:t>%</w:t>
      </w:r>
      <w:r w:rsidR="00C834D1" w:rsidRPr="00EE7F5A">
        <w:t xml:space="preserve"> </w:t>
      </w:r>
      <w:r w:rsidR="007D253F">
        <w:t>specified a</w:t>
      </w:r>
      <w:r w:rsidR="00C834D1" w:rsidRPr="00EE7F5A">
        <w:t xml:space="preserve"> decrease</w:t>
      </w:r>
      <w:r w:rsidR="00B8301F">
        <w:t xml:space="preserve"> (see Table 1)</w:t>
      </w:r>
      <w:r w:rsidR="00E92FD4">
        <w:t xml:space="preserve">, </w:t>
      </w:r>
      <w:r w:rsidR="00C834D1" w:rsidRPr="00EE7F5A">
        <w:t>resulting in a diffusion index of 3</w:t>
      </w:r>
      <w:r w:rsidR="001D53EC" w:rsidRPr="00EE7F5A">
        <w:t>2</w:t>
      </w:r>
      <w:r w:rsidR="00E412C1">
        <w:t xml:space="preserve"> </w:t>
      </w:r>
      <w:r w:rsidR="00A15573">
        <w:t>(</w:t>
      </w:r>
      <w:r w:rsidR="00E412C1">
        <w:t>contraction</w:t>
      </w:r>
      <w:r w:rsidR="00A15573">
        <w:t>)</w:t>
      </w:r>
      <w:r w:rsidR="00E412C1">
        <w:t xml:space="preserve">. </w:t>
      </w:r>
      <w:r w:rsidR="005F308E">
        <w:t>Business</w:t>
      </w:r>
      <w:r w:rsidR="00E412C1">
        <w:t xml:space="preserve"> </w:t>
      </w:r>
      <w:r w:rsidR="005F308E">
        <w:t>services</w:t>
      </w:r>
      <w:r w:rsidR="00E412C1">
        <w:t xml:space="preserve"> </w:t>
      </w:r>
      <w:r w:rsidR="005F308E">
        <w:t xml:space="preserve">firms </w:t>
      </w:r>
      <w:r w:rsidR="00E412C1">
        <w:t xml:space="preserve">also </w:t>
      </w:r>
      <w:r w:rsidR="00253C7F">
        <w:t>faced</w:t>
      </w:r>
      <w:r w:rsidR="00E412C1">
        <w:t xml:space="preserve"> inflation: 62% </w:t>
      </w:r>
      <w:r w:rsidR="005F308E">
        <w:t xml:space="preserve">of respondents </w:t>
      </w:r>
      <w:r w:rsidR="00E412C1">
        <w:t>indicated increase</w:t>
      </w:r>
      <w:r w:rsidR="004327B3">
        <w:t>d</w:t>
      </w:r>
      <w:r w:rsidR="00E412C1">
        <w:t xml:space="preserve"> input cost</w:t>
      </w:r>
      <w:r w:rsidR="005F308E">
        <w:t xml:space="preserve"> with a diffusion index of 80 </w:t>
      </w:r>
      <w:r w:rsidR="00502AAA">
        <w:t>(</w:t>
      </w:r>
      <w:r w:rsidR="005F308E">
        <w:t>expansion</w:t>
      </w:r>
      <w:r w:rsidR="00502AAA">
        <w:t>)</w:t>
      </w:r>
      <w:r w:rsidR="0044654E">
        <w:t>.</w:t>
      </w:r>
      <w:r w:rsidR="00A15573">
        <w:br/>
      </w:r>
      <w:r w:rsidR="003F4F11">
        <w:br/>
      </w:r>
      <w:r w:rsidR="001D592F">
        <w:rPr>
          <w:noProof/>
        </w:rPr>
        <w:drawing>
          <wp:inline distT="0" distB="0" distL="0" distR="0" wp14:anchorId="10DF2E15" wp14:editId="09B1F9CC">
            <wp:extent cx="3038475" cy="1771650"/>
            <wp:effectExtent l="0" t="0" r="9525" b="0"/>
            <wp:docPr id="1" name="Chart 1" descr="Chart1: Economic Performance -- Previous Four Quarters.&#10;Chart indicating expansion for input cost (diffusion index=80), selling prices (diffusion index=70) productivity (diffusion index: 55) and sales revenues (diffusion index=57). &#10;Contracting conditions for labor availability (diffusion index: 32), employment level (diffusion index= 48 and profits: diffusion index=49). Exports and space occupied are both on the threshold (diffusion index=50).">
              <a:extLst xmlns:a="http://schemas.openxmlformats.org/drawingml/2006/main">
                <a:ext uri="{FF2B5EF4-FFF2-40B4-BE49-F238E27FC236}">
                  <a16:creationId xmlns:a16="http://schemas.microsoft.com/office/drawing/2014/main" id="{453668DD-5FA4-5935-7904-AF7A14838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110F37" w14:textId="5294C9BB" w:rsidR="00AB6F70" w:rsidRPr="00684EC5" w:rsidRDefault="00684EC5" w:rsidP="003F62BE">
      <w:pPr>
        <w:spacing w:after="0" w:line="240" w:lineRule="auto"/>
        <w:rPr>
          <w:noProof/>
          <w:sz w:val="18"/>
          <w:szCs w:val="18"/>
        </w:rPr>
      </w:pPr>
      <w:r w:rsidRPr="00684EC5">
        <w:rPr>
          <w:noProof/>
          <w:sz w:val="18"/>
          <w:szCs w:val="18"/>
        </w:rPr>
        <w:t>* Above 50 indicates expansion</w:t>
      </w:r>
      <w:r w:rsidRPr="00E211E5">
        <w:rPr>
          <w:noProof/>
          <w:sz w:val="18"/>
          <w:szCs w:val="18"/>
        </w:rPr>
        <w:t>,</w:t>
      </w:r>
      <w:r w:rsidRPr="00684EC5">
        <w:rPr>
          <w:noProof/>
          <w:sz w:val="18"/>
          <w:szCs w:val="18"/>
        </w:rPr>
        <w:t xml:space="preserve"> below 50</w:t>
      </w:r>
      <w:r w:rsidR="00E211E5">
        <w:rPr>
          <w:noProof/>
          <w:sz w:val="18"/>
          <w:szCs w:val="18"/>
        </w:rPr>
        <w:t>,</w:t>
      </w:r>
      <w:r w:rsidRPr="00684EC5">
        <w:rPr>
          <w:noProof/>
          <w:sz w:val="18"/>
          <w:szCs w:val="18"/>
        </w:rPr>
        <w:t xml:space="preserve"> contraction.</w:t>
      </w:r>
    </w:p>
    <w:p w14:paraId="548C29A0" w14:textId="64E73B90" w:rsidR="00143B8B" w:rsidRPr="00143B8B" w:rsidRDefault="003368D3" w:rsidP="00E7356E">
      <w:pPr>
        <w:rPr>
          <w:rStyle w:val="Heading2Char"/>
          <w:rFonts w:asciiTheme="minorHAnsi" w:eastAsiaTheme="minorHAnsi" w:hAnsiTheme="minorHAnsi" w:cstheme="minorBidi"/>
          <w:color w:val="auto"/>
          <w:sz w:val="22"/>
          <w:szCs w:val="22"/>
        </w:rPr>
      </w:pPr>
      <w:r w:rsidRPr="00AF5CB2">
        <w:rPr>
          <w:rStyle w:val="Heading2Char"/>
          <w:b/>
          <w:bCs/>
        </w:rPr>
        <w:t>Business Services Firms</w:t>
      </w:r>
      <w:r w:rsidR="008D3F64" w:rsidRPr="00AF5CB2">
        <w:rPr>
          <w:rStyle w:val="Heading2Char"/>
          <w:b/>
          <w:bCs/>
        </w:rPr>
        <w:t>: T</w:t>
      </w:r>
      <w:r w:rsidRPr="00AF5CB2">
        <w:rPr>
          <w:rStyle w:val="Heading2Char"/>
          <w:b/>
          <w:bCs/>
        </w:rPr>
        <w:t>he Coming Ye</w:t>
      </w:r>
      <w:r w:rsidR="004211C2">
        <w:rPr>
          <w:rStyle w:val="Heading2Char"/>
          <w:b/>
          <w:bCs/>
        </w:rPr>
        <w:t>ar</w:t>
      </w:r>
      <w:r>
        <w:rPr>
          <w:rStyle w:val="Heading2Char"/>
        </w:rPr>
        <w:br/>
      </w:r>
      <w:r w:rsidRPr="00EE7F5A">
        <w:t>Minnesota business ser</w:t>
      </w:r>
      <w:r w:rsidR="006327BB" w:rsidRPr="00EE7F5A">
        <w:t xml:space="preserve">vices firms </w:t>
      </w:r>
      <w:r w:rsidR="003F46AE">
        <w:t xml:space="preserve">are cautiously optimistic about </w:t>
      </w:r>
      <w:r w:rsidR="00B3790C">
        <w:t>the next four quarters</w:t>
      </w:r>
      <w:r w:rsidR="00624969">
        <w:t xml:space="preserve"> with modest expansion in some metrics</w:t>
      </w:r>
      <w:r w:rsidR="00B3790C">
        <w:t>,</w:t>
      </w:r>
      <w:r w:rsidR="003F46AE">
        <w:t xml:space="preserve"> </w:t>
      </w:r>
      <w:r w:rsidR="00B3790C">
        <w:t>even</w:t>
      </w:r>
      <w:r w:rsidR="003F46AE">
        <w:t xml:space="preserve"> </w:t>
      </w:r>
      <w:r w:rsidR="00B3790C">
        <w:t xml:space="preserve">for </w:t>
      </w:r>
      <w:r w:rsidR="003F46AE">
        <w:t>labor availability</w:t>
      </w:r>
      <w:r w:rsidR="00F20553">
        <w:t>. T</w:t>
      </w:r>
      <w:r w:rsidR="00B3790C">
        <w:t xml:space="preserve">he </w:t>
      </w:r>
      <w:r w:rsidR="00EA40C9" w:rsidRPr="00EE7F5A">
        <w:t xml:space="preserve">diffusion index </w:t>
      </w:r>
      <w:r w:rsidR="00B3790C">
        <w:t>for this metric (</w:t>
      </w:r>
      <w:r w:rsidR="001C7F52" w:rsidRPr="00EE7F5A">
        <w:t>4</w:t>
      </w:r>
      <w:r w:rsidR="000E61B5" w:rsidRPr="00EE7F5A">
        <w:t>1</w:t>
      </w:r>
      <w:r w:rsidR="00B3790C">
        <w:t>)</w:t>
      </w:r>
      <w:r w:rsidR="000E61B5" w:rsidRPr="00EE7F5A">
        <w:t>,</w:t>
      </w:r>
      <w:r w:rsidR="00B3790C">
        <w:t xml:space="preserve"> indicates contraction but it is</w:t>
      </w:r>
      <w:r w:rsidR="000E61B5" w:rsidRPr="00EE7F5A">
        <w:t xml:space="preserve"> </w:t>
      </w:r>
      <w:r w:rsidR="00F20553">
        <w:t xml:space="preserve">an improvement </w:t>
      </w:r>
      <w:r w:rsidR="00B073F1" w:rsidRPr="00EE7F5A">
        <w:t>from</w:t>
      </w:r>
      <w:r w:rsidR="000E61B5" w:rsidRPr="00EE7F5A">
        <w:t xml:space="preserve"> the index </w:t>
      </w:r>
      <w:r w:rsidR="00B073F1" w:rsidRPr="00EE7F5A">
        <w:t>in 2022</w:t>
      </w:r>
      <w:r w:rsidR="000E61B5" w:rsidRPr="00EE7F5A">
        <w:t xml:space="preserve"> (3</w:t>
      </w:r>
      <w:r w:rsidR="00502AAA">
        <w:t>2</w:t>
      </w:r>
      <w:r w:rsidR="000E61B5" w:rsidRPr="00EE7F5A">
        <w:t xml:space="preserve">), </w:t>
      </w:r>
      <w:r w:rsidR="00B3790C">
        <w:t>suggesting</w:t>
      </w:r>
      <w:r w:rsidR="000E61B5" w:rsidRPr="00EE7F5A">
        <w:t xml:space="preserve"> </w:t>
      </w:r>
      <w:r w:rsidR="00557345">
        <w:t>modest</w:t>
      </w:r>
      <w:r w:rsidR="000E61B5" w:rsidRPr="00EE7F5A">
        <w:t xml:space="preserve"> optimism</w:t>
      </w:r>
      <w:r w:rsidR="00557345">
        <w:t xml:space="preserve"> (s</w:t>
      </w:r>
      <w:r w:rsidR="00502AAA">
        <w:t>ee Chart 2</w:t>
      </w:r>
      <w:r w:rsidR="00557345">
        <w:t>)</w:t>
      </w:r>
      <w:r w:rsidR="00502AAA">
        <w:t xml:space="preserve">. </w:t>
      </w:r>
      <w:r w:rsidR="003F46AE">
        <w:t>However, it comes with a cost. T</w:t>
      </w:r>
      <w:r w:rsidR="003F46AE" w:rsidRPr="00EE7F5A">
        <w:t>o attract workers</w:t>
      </w:r>
      <w:r w:rsidR="003F46AE">
        <w:t xml:space="preserve">, </w:t>
      </w:r>
      <w:r w:rsidR="001C7F52" w:rsidRPr="00EE7F5A">
        <w:t>53</w:t>
      </w:r>
      <w:r w:rsidR="00722B61" w:rsidRPr="00EE7F5A">
        <w:t xml:space="preserve">% of respondents </w:t>
      </w:r>
      <w:r w:rsidR="001C7F52" w:rsidRPr="00EE7F5A">
        <w:t>anticipate</w:t>
      </w:r>
      <w:r w:rsidR="006A3B8F" w:rsidRPr="00EE7F5A">
        <w:t xml:space="preserve"> </w:t>
      </w:r>
      <w:r w:rsidR="00722B61" w:rsidRPr="00EE7F5A">
        <w:t>increas</w:t>
      </w:r>
      <w:r w:rsidR="00F20553">
        <w:t xml:space="preserve">ing </w:t>
      </w:r>
      <w:r w:rsidR="00722B61" w:rsidRPr="00EE7F5A">
        <w:t>wages</w:t>
      </w:r>
      <w:r w:rsidR="001C7F52" w:rsidRPr="00EE7F5A">
        <w:t xml:space="preserve"> </w:t>
      </w:r>
      <w:r w:rsidR="00254717">
        <w:t>by</w:t>
      </w:r>
      <w:r w:rsidR="001C7F52" w:rsidRPr="00EE7F5A">
        <w:t xml:space="preserve"> at least 3%</w:t>
      </w:r>
      <w:r w:rsidR="009E27C5" w:rsidRPr="00EE7F5A">
        <w:t>.</w:t>
      </w:r>
      <w:r w:rsidR="00557345">
        <w:t xml:space="preserve"> See Table 1.</w:t>
      </w:r>
    </w:p>
    <w:p w14:paraId="25E4DF7B" w14:textId="0D4CFF55" w:rsidR="00143B8B" w:rsidRPr="00097F32" w:rsidRDefault="00097F32" w:rsidP="00143B8B">
      <w:pPr>
        <w:rPr>
          <w:noProof/>
          <w:sz w:val="18"/>
          <w:szCs w:val="18"/>
        </w:rPr>
      </w:pPr>
      <w:r>
        <w:rPr>
          <w:noProof/>
        </w:rPr>
        <w:drawing>
          <wp:inline distT="0" distB="0" distL="0" distR="0" wp14:anchorId="6DB54D76" wp14:editId="27F98422">
            <wp:extent cx="3128452" cy="2082800"/>
            <wp:effectExtent l="0" t="0" r="15240" b="12700"/>
            <wp:docPr id="11" name="Chart 11" descr="Chart2: Economic Performance -- Next Four Quarters.&#10;Chart indicating expansion for input cost (diffusion index=76), selling prices (diffusion index=66) productivity (diffusion index: 56) and sales revenues (diffusion index=58). &#10;Contracting conditions for labor availability (diffusion index: 41). Exports and profits are both on the threshold (diffusion index=50).">
              <a:extLst xmlns:a="http://schemas.openxmlformats.org/drawingml/2006/main">
                <a:ext uri="{FF2B5EF4-FFF2-40B4-BE49-F238E27FC236}">
                  <a16:creationId xmlns:a16="http://schemas.microsoft.com/office/drawing/2014/main" id="{8113EAA4-17B9-B6AD-1CF2-008D8F2B9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sz w:val="18"/>
          <w:szCs w:val="18"/>
        </w:rPr>
        <w:br/>
      </w:r>
      <w:r w:rsidR="00143B8B" w:rsidRPr="00684EC5">
        <w:rPr>
          <w:noProof/>
          <w:sz w:val="18"/>
          <w:szCs w:val="18"/>
        </w:rPr>
        <w:t>* Above 50 indicates expansion, below 50</w:t>
      </w:r>
      <w:r w:rsidR="007D3DE8">
        <w:rPr>
          <w:noProof/>
          <w:sz w:val="18"/>
          <w:szCs w:val="18"/>
        </w:rPr>
        <w:t>,</w:t>
      </w:r>
      <w:r w:rsidR="00143B8B" w:rsidRPr="00684EC5">
        <w:rPr>
          <w:noProof/>
          <w:sz w:val="18"/>
          <w:szCs w:val="18"/>
        </w:rPr>
        <w:t xml:space="preserve"> contraction.</w:t>
      </w:r>
    </w:p>
    <w:p w14:paraId="4886595A" w14:textId="260D9C1C" w:rsidR="00B86180" w:rsidRPr="00623F4F" w:rsidRDefault="00A66699" w:rsidP="00814ED5">
      <w:pPr>
        <w:sectPr w:rsidR="00B86180" w:rsidRPr="00623F4F" w:rsidSect="009B07B0">
          <w:type w:val="continuous"/>
          <w:pgSz w:w="12240" w:h="15840"/>
          <w:pgMar w:top="720" w:right="720" w:bottom="720" w:left="720" w:header="720" w:footer="720" w:gutter="0"/>
          <w:cols w:num="2" w:space="720"/>
          <w:docGrid w:linePitch="360"/>
        </w:sectPr>
      </w:pPr>
      <w:r w:rsidRPr="00D60273">
        <w:rPr>
          <w:rStyle w:val="Heading2Char"/>
          <w:b/>
        </w:rPr>
        <w:t xml:space="preserve">Outlook </w:t>
      </w:r>
      <w:r w:rsidR="00557345">
        <w:rPr>
          <w:rStyle w:val="Heading2Char"/>
          <w:b/>
        </w:rPr>
        <w:t>O</w:t>
      </w:r>
      <w:r w:rsidRPr="00D60273">
        <w:rPr>
          <w:rStyle w:val="Heading2Char"/>
          <w:b/>
        </w:rPr>
        <w:t xml:space="preserve">n </w:t>
      </w:r>
      <w:r w:rsidR="00557345">
        <w:rPr>
          <w:rStyle w:val="Heading2Char"/>
          <w:b/>
        </w:rPr>
        <w:t>T</w:t>
      </w:r>
      <w:r w:rsidRPr="00D60273">
        <w:rPr>
          <w:rStyle w:val="Heading2Char"/>
          <w:b/>
        </w:rPr>
        <w:t>he State Economy</w:t>
      </w:r>
      <w:r w:rsidR="00E66F63">
        <w:rPr>
          <w:rStyle w:val="Heading2Char"/>
          <w:b/>
        </w:rPr>
        <w:t>: Next Year</w:t>
      </w:r>
      <w:r w:rsidR="00E7356E" w:rsidRPr="00D60273">
        <w:rPr>
          <w:rStyle w:val="Heading2Char"/>
          <w:b/>
        </w:rPr>
        <w:br/>
      </w:r>
      <w:r w:rsidRPr="00EE7F5A">
        <w:t>Mi</w:t>
      </w:r>
      <w:r w:rsidR="006A387C" w:rsidRPr="00EE7F5A">
        <w:t>nnesota business services firms</w:t>
      </w:r>
      <w:r w:rsidR="0049521D" w:rsidRPr="00EE7F5A">
        <w:t xml:space="preserve"> are</w:t>
      </w:r>
      <w:r w:rsidR="006A3B8F" w:rsidRPr="00EE7F5A">
        <w:t xml:space="preserve"> </w:t>
      </w:r>
      <w:r w:rsidR="00D20506">
        <w:t xml:space="preserve">also </w:t>
      </w:r>
      <w:r w:rsidR="0049521D" w:rsidRPr="00EE7F5A">
        <w:t xml:space="preserve">cautiously </w:t>
      </w:r>
      <w:r w:rsidR="006A3B8F" w:rsidRPr="00EE7F5A">
        <w:t>optimistic about the overall economy</w:t>
      </w:r>
      <w:r w:rsidR="00D20506">
        <w:t xml:space="preserve"> for next year</w:t>
      </w:r>
      <w:r w:rsidR="009F14B6">
        <w:t>, despite some concerns</w:t>
      </w:r>
      <w:r w:rsidR="006A3B8F" w:rsidRPr="00EE7F5A">
        <w:t xml:space="preserve">. </w:t>
      </w:r>
      <w:r w:rsidR="00D20506">
        <w:t>About 56% e</w:t>
      </w:r>
      <w:r w:rsidR="000B7992" w:rsidRPr="00EE7F5A">
        <w:t>xpe</w:t>
      </w:r>
      <w:r w:rsidR="0049521D" w:rsidRPr="00EE7F5A">
        <w:t xml:space="preserve">ct </w:t>
      </w:r>
      <w:r w:rsidR="00624969">
        <w:t>constant</w:t>
      </w:r>
      <w:r w:rsidR="0049521D" w:rsidRPr="00EE7F5A">
        <w:t xml:space="preserve"> employment levels, with a diffusion index of 52, indicating </w:t>
      </w:r>
      <w:r w:rsidR="00241335">
        <w:t>subdued</w:t>
      </w:r>
      <w:r w:rsidR="0049521D" w:rsidRPr="00EE7F5A">
        <w:t xml:space="preserve"> expansion</w:t>
      </w:r>
      <w:r w:rsidR="00557345">
        <w:t>. S</w:t>
      </w:r>
      <w:r w:rsidR="00033FB0">
        <w:t>ee Table 1</w:t>
      </w:r>
      <w:r w:rsidR="0049521D" w:rsidRPr="00EE7F5A">
        <w:t xml:space="preserve">. </w:t>
      </w:r>
      <w:r w:rsidR="00B073F1" w:rsidRPr="00EE7F5A">
        <w:t xml:space="preserve"> </w:t>
      </w:r>
      <w:r w:rsidR="00E66F63">
        <w:br/>
      </w:r>
      <w:r w:rsidR="002B3361">
        <w:t xml:space="preserve">Although </w:t>
      </w:r>
      <w:r w:rsidR="003F46AE">
        <w:t>r</w:t>
      </w:r>
      <w:r w:rsidR="00520911" w:rsidRPr="00EE7F5A">
        <w:t xml:space="preserve">espondents </w:t>
      </w:r>
      <w:r w:rsidR="0049521D" w:rsidRPr="00EE7F5A">
        <w:t xml:space="preserve">anticipate inflation </w:t>
      </w:r>
      <w:r w:rsidR="002B3361">
        <w:t xml:space="preserve">with a </w:t>
      </w:r>
      <w:r w:rsidR="0049521D" w:rsidRPr="00EE7F5A">
        <w:t>diffusion index of 79,</w:t>
      </w:r>
      <w:r w:rsidR="002B3361">
        <w:t xml:space="preserve"> it is</w:t>
      </w:r>
      <w:r w:rsidR="0041490E" w:rsidRPr="00EE7F5A">
        <w:t xml:space="preserve"> </w:t>
      </w:r>
      <w:r w:rsidR="0049521D" w:rsidRPr="00EE7F5A">
        <w:t xml:space="preserve">significantly lower </w:t>
      </w:r>
      <w:r w:rsidR="00E66F63">
        <w:t>than t</w:t>
      </w:r>
      <w:r w:rsidR="00520911" w:rsidRPr="00EE7F5A">
        <w:t>he</w:t>
      </w:r>
      <w:r w:rsidR="0049521D" w:rsidRPr="00EE7F5A">
        <w:t xml:space="preserve"> </w:t>
      </w:r>
      <w:r w:rsidR="002B3361">
        <w:t xml:space="preserve">index </w:t>
      </w:r>
      <w:r w:rsidR="00E66F63">
        <w:t xml:space="preserve">from </w:t>
      </w:r>
      <w:r w:rsidR="002B3361">
        <w:t xml:space="preserve">the </w:t>
      </w:r>
      <w:r w:rsidR="0049521D" w:rsidRPr="00EE7F5A">
        <w:t xml:space="preserve">previous year (93), suggesting </w:t>
      </w:r>
      <w:r w:rsidR="00D20506">
        <w:t xml:space="preserve">timid </w:t>
      </w:r>
      <w:r w:rsidR="0049521D" w:rsidRPr="00EE7F5A">
        <w:t>optimism</w:t>
      </w:r>
      <w:r w:rsidR="0041490E" w:rsidRPr="00EE7F5A">
        <w:t xml:space="preserve"> about </w:t>
      </w:r>
      <w:r w:rsidR="002B5C36">
        <w:t>slowing inflation</w:t>
      </w:r>
      <w:r w:rsidR="00520911" w:rsidRPr="00EE7F5A">
        <w:t xml:space="preserve">. </w:t>
      </w:r>
      <w:r w:rsidR="00557345">
        <w:t>See Table 1</w:t>
      </w:r>
      <w:r w:rsidR="00557345" w:rsidRPr="00EE7F5A">
        <w:t xml:space="preserve">. </w:t>
      </w:r>
      <w:r w:rsidR="00097F32">
        <w:t xml:space="preserve"> </w:t>
      </w:r>
      <w:r w:rsidR="009F14B6">
        <w:t>R</w:t>
      </w:r>
      <w:r w:rsidR="002B3361">
        <w:t>espondents are concerned about consumer spending</w:t>
      </w:r>
      <w:r w:rsidR="00624969">
        <w:t xml:space="preserve"> with a</w:t>
      </w:r>
      <w:r w:rsidR="002B3361">
        <w:t xml:space="preserve"> diffusion index of 40 </w:t>
      </w:r>
      <w:r w:rsidR="00624969">
        <w:t>(contraction)</w:t>
      </w:r>
      <w:r w:rsidR="002B3361">
        <w:t xml:space="preserve">. </w:t>
      </w:r>
      <w:r w:rsidR="00557345">
        <w:t>See Table 1</w:t>
      </w:r>
      <w:r w:rsidR="00557345" w:rsidRPr="00EE7F5A">
        <w:t xml:space="preserve">.  </w:t>
      </w:r>
    </w:p>
    <w:p w14:paraId="651EAD68" w14:textId="77777777" w:rsidR="009969EB" w:rsidRDefault="009969EB" w:rsidP="009B3DF5">
      <w:pPr>
        <w:spacing w:line="240" w:lineRule="auto"/>
        <w:rPr>
          <w:rFonts w:asciiTheme="majorHAnsi" w:eastAsiaTheme="majorEastAsia" w:hAnsiTheme="majorHAnsi" w:cstheme="majorBidi"/>
          <w:color w:val="1F4D78" w:themeColor="accent1" w:themeShade="7F"/>
          <w:sz w:val="24"/>
          <w:szCs w:val="24"/>
        </w:rPr>
        <w:sectPr w:rsidR="009969EB" w:rsidSect="009B07B0">
          <w:type w:val="continuous"/>
          <w:pgSz w:w="12240" w:h="15840"/>
          <w:pgMar w:top="720" w:right="720" w:bottom="720" w:left="720" w:header="720" w:footer="720" w:gutter="0"/>
          <w:cols w:num="2" w:space="720"/>
          <w:docGrid w:linePitch="360"/>
        </w:sectPr>
      </w:pPr>
    </w:p>
    <w:p w14:paraId="2F52BFFB" w14:textId="4801E6D9" w:rsidR="006720E4" w:rsidRDefault="006720E4" w:rsidP="006720E4">
      <w:pPr>
        <w:pStyle w:val="Title"/>
        <w:ind w:left="180"/>
        <w:rPr>
          <w:rFonts w:asciiTheme="minorHAnsi" w:hAnsiTheme="minorHAnsi" w:cstheme="minorHAnsi"/>
          <w:sz w:val="22"/>
          <w:szCs w:val="22"/>
        </w:rPr>
      </w:pPr>
      <w:r>
        <w:rPr>
          <w:rFonts w:asciiTheme="minorHAnsi" w:hAnsiTheme="minorHAnsi" w:cstheme="minorHAnsi"/>
          <w:sz w:val="22"/>
          <w:szCs w:val="22"/>
        </w:rPr>
        <w:lastRenderedPageBreak/>
        <w:t xml:space="preserve">A question about credit conditions revealed </w:t>
      </w:r>
      <w:r w:rsidR="00E56F49">
        <w:rPr>
          <w:rFonts w:asciiTheme="minorHAnsi" w:hAnsiTheme="minorHAnsi" w:cstheme="minorHAnsi"/>
          <w:sz w:val="22"/>
          <w:szCs w:val="22"/>
        </w:rPr>
        <w:t>that business experienced difficulties in the past year</w:t>
      </w:r>
      <w:r w:rsidR="00106485">
        <w:rPr>
          <w:rFonts w:asciiTheme="minorHAnsi" w:hAnsiTheme="minorHAnsi" w:cstheme="minorHAnsi"/>
          <w:sz w:val="22"/>
          <w:szCs w:val="22"/>
        </w:rPr>
        <w:t>.</w:t>
      </w:r>
      <w:r>
        <w:rPr>
          <w:rFonts w:asciiTheme="minorHAnsi" w:hAnsiTheme="minorHAnsi" w:cstheme="minorHAnsi"/>
          <w:sz w:val="22"/>
          <w:szCs w:val="22"/>
        </w:rPr>
        <w:t xml:space="preserve"> </w:t>
      </w:r>
      <w:r w:rsidR="00F65E10">
        <w:rPr>
          <w:rFonts w:asciiTheme="minorHAnsi" w:hAnsiTheme="minorHAnsi" w:cstheme="minorHAnsi"/>
          <w:sz w:val="22"/>
          <w:szCs w:val="22"/>
        </w:rPr>
        <w:t>The percentage of respondents that</w:t>
      </w:r>
      <w:r>
        <w:rPr>
          <w:rFonts w:asciiTheme="minorHAnsi" w:hAnsiTheme="minorHAnsi" w:cstheme="minorHAnsi"/>
          <w:sz w:val="22"/>
          <w:szCs w:val="22"/>
        </w:rPr>
        <w:t xml:space="preserve"> did no</w:t>
      </w:r>
      <w:r w:rsidR="00AF157E">
        <w:rPr>
          <w:rFonts w:asciiTheme="minorHAnsi" w:hAnsiTheme="minorHAnsi" w:cstheme="minorHAnsi"/>
          <w:sz w:val="22"/>
          <w:szCs w:val="22"/>
        </w:rPr>
        <w:t>t</w:t>
      </w:r>
      <w:r>
        <w:rPr>
          <w:rFonts w:asciiTheme="minorHAnsi" w:hAnsiTheme="minorHAnsi" w:cstheme="minorHAnsi"/>
          <w:sz w:val="22"/>
          <w:szCs w:val="22"/>
        </w:rPr>
        <w:t xml:space="preserve"> experience changes</w:t>
      </w:r>
      <w:r w:rsidR="00F65E10">
        <w:rPr>
          <w:rFonts w:asciiTheme="minorHAnsi" w:hAnsiTheme="minorHAnsi" w:cstheme="minorHAnsi"/>
          <w:sz w:val="22"/>
          <w:szCs w:val="22"/>
        </w:rPr>
        <w:t xml:space="preserve"> (53%)</w:t>
      </w:r>
      <w:r w:rsidR="00AF157E">
        <w:rPr>
          <w:rFonts w:asciiTheme="minorHAnsi" w:hAnsiTheme="minorHAnsi" w:cstheme="minorHAnsi"/>
          <w:sz w:val="22"/>
          <w:szCs w:val="22"/>
        </w:rPr>
        <w:t xml:space="preserve"> </w:t>
      </w:r>
      <w:r w:rsidR="00F65E10">
        <w:rPr>
          <w:rFonts w:asciiTheme="minorHAnsi" w:hAnsiTheme="minorHAnsi" w:cstheme="minorHAnsi"/>
          <w:sz w:val="22"/>
          <w:szCs w:val="22"/>
        </w:rPr>
        <w:t xml:space="preserve">was significantly </w:t>
      </w:r>
      <w:r w:rsidR="00557345">
        <w:rPr>
          <w:rFonts w:asciiTheme="minorHAnsi" w:hAnsiTheme="minorHAnsi" w:cstheme="minorHAnsi"/>
          <w:sz w:val="22"/>
          <w:szCs w:val="22"/>
        </w:rPr>
        <w:t xml:space="preserve">down </w:t>
      </w:r>
      <w:r w:rsidR="00F65E10">
        <w:rPr>
          <w:rFonts w:asciiTheme="minorHAnsi" w:hAnsiTheme="minorHAnsi" w:cstheme="minorHAnsi"/>
          <w:sz w:val="22"/>
          <w:szCs w:val="22"/>
        </w:rPr>
        <w:t>compared to</w:t>
      </w:r>
      <w:r w:rsidR="00AF157E">
        <w:rPr>
          <w:rFonts w:asciiTheme="minorHAnsi" w:hAnsiTheme="minorHAnsi" w:cstheme="minorHAnsi"/>
          <w:sz w:val="22"/>
          <w:szCs w:val="22"/>
        </w:rPr>
        <w:t xml:space="preserve"> </w:t>
      </w:r>
      <w:r w:rsidR="00F65E10">
        <w:rPr>
          <w:rFonts w:asciiTheme="minorHAnsi" w:hAnsiTheme="minorHAnsi" w:cstheme="minorHAnsi"/>
          <w:sz w:val="22"/>
          <w:szCs w:val="22"/>
        </w:rPr>
        <w:t>the previous year (80%).</w:t>
      </w:r>
      <w:r w:rsidR="00AF157E">
        <w:rPr>
          <w:rFonts w:asciiTheme="minorHAnsi" w:hAnsiTheme="minorHAnsi" w:cstheme="minorHAnsi"/>
          <w:sz w:val="22"/>
          <w:szCs w:val="22"/>
        </w:rPr>
        <w:t xml:space="preserve"> </w:t>
      </w:r>
      <w:r w:rsidR="00EF745B">
        <w:rPr>
          <w:rFonts w:asciiTheme="minorHAnsi" w:hAnsiTheme="minorHAnsi" w:cstheme="minorHAnsi"/>
          <w:sz w:val="22"/>
          <w:szCs w:val="22"/>
        </w:rPr>
        <w:t>About 35%</w:t>
      </w:r>
      <w:r>
        <w:rPr>
          <w:rFonts w:asciiTheme="minorHAnsi" w:hAnsiTheme="minorHAnsi" w:cstheme="minorHAnsi"/>
          <w:sz w:val="22"/>
          <w:szCs w:val="22"/>
        </w:rPr>
        <w:t xml:space="preserve"> reported higher interest rates </w:t>
      </w:r>
      <w:r w:rsidR="00E56F49">
        <w:rPr>
          <w:rFonts w:asciiTheme="minorHAnsi" w:hAnsiTheme="minorHAnsi" w:cstheme="minorHAnsi"/>
          <w:sz w:val="22"/>
          <w:szCs w:val="22"/>
        </w:rPr>
        <w:t xml:space="preserve">and </w:t>
      </w:r>
      <w:r>
        <w:rPr>
          <w:rFonts w:asciiTheme="minorHAnsi" w:hAnsiTheme="minorHAnsi" w:cstheme="minorHAnsi"/>
          <w:sz w:val="22"/>
          <w:szCs w:val="22"/>
        </w:rPr>
        <w:t xml:space="preserve">20% experienced decreased capital expenses. </w:t>
      </w:r>
      <w:r w:rsidR="00E56F49">
        <w:rPr>
          <w:rFonts w:asciiTheme="minorHAnsi" w:hAnsiTheme="minorHAnsi" w:cstheme="minorHAnsi"/>
          <w:sz w:val="22"/>
          <w:szCs w:val="22"/>
        </w:rPr>
        <w:t xml:space="preserve">Additionally, 9% </w:t>
      </w:r>
      <w:r w:rsidR="00645D99">
        <w:rPr>
          <w:rFonts w:asciiTheme="minorHAnsi" w:hAnsiTheme="minorHAnsi" w:cstheme="minorHAnsi"/>
          <w:sz w:val="22"/>
          <w:szCs w:val="22"/>
        </w:rPr>
        <w:t xml:space="preserve"> indicated</w:t>
      </w:r>
      <w:r w:rsidR="00AF157E">
        <w:rPr>
          <w:rFonts w:asciiTheme="minorHAnsi" w:hAnsiTheme="minorHAnsi" w:cstheme="minorHAnsi"/>
          <w:sz w:val="22"/>
          <w:szCs w:val="22"/>
        </w:rPr>
        <w:t xml:space="preserve"> </w:t>
      </w:r>
      <w:r w:rsidR="00645D99">
        <w:rPr>
          <w:rFonts w:asciiTheme="minorHAnsi" w:hAnsiTheme="minorHAnsi" w:cstheme="minorHAnsi"/>
          <w:sz w:val="22"/>
          <w:szCs w:val="22"/>
        </w:rPr>
        <w:t>difficulties accessing credit.</w:t>
      </w:r>
      <w:r w:rsidR="002B4C24">
        <w:rPr>
          <w:rFonts w:asciiTheme="minorHAnsi" w:hAnsiTheme="minorHAnsi" w:cstheme="minorHAnsi"/>
          <w:sz w:val="22"/>
          <w:szCs w:val="22"/>
        </w:rPr>
        <w:t xml:space="preserve"> See Table 1.</w:t>
      </w:r>
    </w:p>
    <w:p w14:paraId="5C5BB708" w14:textId="502A1993" w:rsidR="00CE2823" w:rsidRPr="00645D99" w:rsidRDefault="006720E4" w:rsidP="00645D99">
      <w:pPr>
        <w:pStyle w:val="Title"/>
        <w:rPr>
          <w:rFonts w:asciiTheme="minorHAnsi" w:hAnsiTheme="minorHAnsi" w:cstheme="minorHAnsi"/>
          <w:sz w:val="22"/>
          <w:szCs w:val="22"/>
        </w:rPr>
        <w:sectPr w:rsidR="00CE2823" w:rsidRPr="00645D99" w:rsidSect="00CE2823">
          <w:type w:val="continuous"/>
          <w:pgSz w:w="12240" w:h="15840"/>
          <w:pgMar w:top="720" w:right="720" w:bottom="720" w:left="720" w:header="720" w:footer="720" w:gutter="0"/>
          <w:cols w:num="2" w:space="720"/>
          <w:docGrid w:linePitch="360"/>
        </w:sectPr>
      </w:pPr>
      <w:r>
        <w:rPr>
          <w:rFonts w:asciiTheme="minorHAnsi" w:hAnsiTheme="minorHAnsi" w:cstheme="minorHAnsi"/>
          <w:sz w:val="22"/>
          <w:szCs w:val="22"/>
        </w:rPr>
        <w:t xml:space="preserve">The survey </w:t>
      </w:r>
      <w:r w:rsidR="00E56F49">
        <w:rPr>
          <w:rFonts w:asciiTheme="minorHAnsi" w:hAnsiTheme="minorHAnsi" w:cstheme="minorHAnsi"/>
          <w:sz w:val="22"/>
          <w:szCs w:val="22"/>
        </w:rPr>
        <w:t xml:space="preserve">also </w:t>
      </w:r>
      <w:r>
        <w:rPr>
          <w:rFonts w:asciiTheme="minorHAnsi" w:hAnsiTheme="minorHAnsi" w:cstheme="minorHAnsi"/>
          <w:sz w:val="22"/>
          <w:szCs w:val="22"/>
        </w:rPr>
        <w:t>inquired about the impact of inflation</w:t>
      </w:r>
      <w:r w:rsidR="0081524D">
        <w:rPr>
          <w:rFonts w:asciiTheme="minorHAnsi" w:hAnsiTheme="minorHAnsi" w:cstheme="minorHAnsi"/>
          <w:sz w:val="22"/>
          <w:szCs w:val="22"/>
        </w:rPr>
        <w:t xml:space="preserve"> </w:t>
      </w:r>
      <w:r w:rsidR="00A319A9">
        <w:rPr>
          <w:rFonts w:asciiTheme="minorHAnsi" w:hAnsiTheme="minorHAnsi" w:cstheme="minorHAnsi"/>
          <w:sz w:val="22"/>
          <w:szCs w:val="22"/>
        </w:rPr>
        <w:t>compared</w:t>
      </w:r>
      <w:r w:rsidR="0081524D">
        <w:rPr>
          <w:rFonts w:asciiTheme="minorHAnsi" w:hAnsiTheme="minorHAnsi" w:cstheme="minorHAnsi"/>
          <w:sz w:val="22"/>
          <w:szCs w:val="22"/>
        </w:rPr>
        <w:t xml:space="preserve"> to 2022</w:t>
      </w:r>
      <w:r w:rsidR="00852CCC">
        <w:rPr>
          <w:rFonts w:asciiTheme="minorHAnsi" w:hAnsiTheme="minorHAnsi" w:cstheme="minorHAnsi"/>
          <w:sz w:val="22"/>
          <w:szCs w:val="22"/>
        </w:rPr>
        <w:t>. About</w:t>
      </w:r>
      <w:r w:rsidR="00E56F49">
        <w:rPr>
          <w:rFonts w:asciiTheme="minorHAnsi" w:hAnsiTheme="minorHAnsi" w:cstheme="minorHAnsi"/>
          <w:sz w:val="22"/>
          <w:szCs w:val="22"/>
        </w:rPr>
        <w:t xml:space="preserve"> 65%</w:t>
      </w:r>
      <w:r>
        <w:rPr>
          <w:rFonts w:asciiTheme="minorHAnsi" w:hAnsiTheme="minorHAnsi" w:cstheme="minorHAnsi"/>
          <w:sz w:val="22"/>
          <w:szCs w:val="22"/>
        </w:rPr>
        <w:t xml:space="preserve"> of respondents indicated that </w:t>
      </w:r>
      <w:r w:rsidR="00EF745B">
        <w:rPr>
          <w:rFonts w:asciiTheme="minorHAnsi" w:hAnsiTheme="minorHAnsi" w:cstheme="minorHAnsi"/>
          <w:sz w:val="22"/>
          <w:szCs w:val="22"/>
        </w:rPr>
        <w:t>the cost of utilities a</w:t>
      </w:r>
      <w:r>
        <w:rPr>
          <w:rFonts w:asciiTheme="minorHAnsi" w:hAnsiTheme="minorHAnsi" w:cstheme="minorHAnsi"/>
          <w:sz w:val="22"/>
          <w:szCs w:val="22"/>
        </w:rPr>
        <w:t>nd materials or inputs cost are worse</w:t>
      </w:r>
      <w:r w:rsidR="00554B61">
        <w:rPr>
          <w:rFonts w:asciiTheme="minorHAnsi" w:hAnsiTheme="minorHAnsi" w:cstheme="minorHAnsi"/>
          <w:sz w:val="22"/>
          <w:szCs w:val="22"/>
        </w:rPr>
        <w:t xml:space="preserve">. However, rent remained mostly stable with 66%  of participants </w:t>
      </w:r>
      <w:r w:rsidR="00E56F49">
        <w:rPr>
          <w:rFonts w:asciiTheme="minorHAnsi" w:hAnsiTheme="minorHAnsi" w:cstheme="minorHAnsi"/>
          <w:sz w:val="22"/>
          <w:szCs w:val="22"/>
        </w:rPr>
        <w:t>re</w:t>
      </w:r>
      <w:r w:rsidR="00554B61">
        <w:rPr>
          <w:rFonts w:asciiTheme="minorHAnsi" w:hAnsiTheme="minorHAnsi" w:cstheme="minorHAnsi"/>
          <w:sz w:val="22"/>
          <w:szCs w:val="22"/>
        </w:rPr>
        <w:t>porting  unchanged level</w:t>
      </w:r>
      <w:r w:rsidR="00EF745B">
        <w:rPr>
          <w:rFonts w:asciiTheme="minorHAnsi" w:hAnsiTheme="minorHAnsi" w:cstheme="minorHAnsi"/>
          <w:sz w:val="22"/>
          <w:szCs w:val="22"/>
        </w:rPr>
        <w:t>s</w:t>
      </w:r>
      <w:r w:rsidR="00E56F49">
        <w:rPr>
          <w:rFonts w:asciiTheme="minorHAnsi" w:hAnsiTheme="minorHAnsi" w:cstheme="minorHAnsi"/>
          <w:sz w:val="22"/>
          <w:szCs w:val="22"/>
        </w:rPr>
        <w:t>. On the upside, o</w:t>
      </w:r>
      <w:r w:rsidR="00645D99">
        <w:rPr>
          <w:rFonts w:asciiTheme="minorHAnsi" w:hAnsiTheme="minorHAnsi" w:cstheme="minorHAnsi"/>
          <w:sz w:val="22"/>
          <w:szCs w:val="22"/>
        </w:rPr>
        <w:t xml:space="preserve">nly a third </w:t>
      </w:r>
      <w:r w:rsidR="00E56F49">
        <w:rPr>
          <w:rFonts w:asciiTheme="minorHAnsi" w:hAnsiTheme="minorHAnsi" w:cstheme="minorHAnsi"/>
          <w:sz w:val="22"/>
          <w:szCs w:val="22"/>
        </w:rPr>
        <w:t>expressed</w:t>
      </w:r>
      <w:r w:rsidR="00645D99">
        <w:rPr>
          <w:rFonts w:asciiTheme="minorHAnsi" w:hAnsiTheme="minorHAnsi" w:cstheme="minorHAnsi"/>
          <w:sz w:val="22"/>
          <w:szCs w:val="22"/>
        </w:rPr>
        <w:t xml:space="preserve"> that supply change disruptions </w:t>
      </w:r>
      <w:r w:rsidR="00EF745B">
        <w:rPr>
          <w:rFonts w:asciiTheme="minorHAnsi" w:hAnsiTheme="minorHAnsi" w:cstheme="minorHAnsi"/>
          <w:sz w:val="22"/>
          <w:szCs w:val="22"/>
        </w:rPr>
        <w:t xml:space="preserve">were </w:t>
      </w:r>
      <w:r w:rsidR="00645D99">
        <w:rPr>
          <w:rFonts w:asciiTheme="minorHAnsi" w:hAnsiTheme="minorHAnsi" w:cstheme="minorHAnsi"/>
          <w:sz w:val="22"/>
          <w:szCs w:val="22"/>
        </w:rPr>
        <w:t>worse</w:t>
      </w:r>
      <w:r w:rsidR="00554B61">
        <w:rPr>
          <w:rFonts w:asciiTheme="minorHAnsi" w:hAnsiTheme="minorHAnsi" w:cstheme="minorHAnsi"/>
          <w:sz w:val="22"/>
          <w:szCs w:val="22"/>
        </w:rPr>
        <w:t xml:space="preserve"> and</w:t>
      </w:r>
      <w:r w:rsidR="004962E4">
        <w:rPr>
          <w:rFonts w:asciiTheme="minorHAnsi" w:hAnsiTheme="minorHAnsi" w:cstheme="minorHAnsi"/>
          <w:sz w:val="22"/>
          <w:szCs w:val="22"/>
        </w:rPr>
        <w:t xml:space="preserve">, </w:t>
      </w:r>
      <w:r w:rsidR="00554B61">
        <w:rPr>
          <w:rFonts w:asciiTheme="minorHAnsi" w:hAnsiTheme="minorHAnsi" w:cstheme="minorHAnsi"/>
          <w:sz w:val="22"/>
          <w:szCs w:val="22"/>
        </w:rPr>
        <w:t>in fact, 14% reported improv</w:t>
      </w:r>
      <w:r w:rsidR="002D4D64">
        <w:rPr>
          <w:rFonts w:asciiTheme="minorHAnsi" w:hAnsiTheme="minorHAnsi" w:cstheme="minorHAnsi"/>
          <w:sz w:val="22"/>
          <w:szCs w:val="22"/>
        </w:rPr>
        <w:t>ed</w:t>
      </w:r>
      <w:r w:rsidR="00554B61">
        <w:rPr>
          <w:rFonts w:asciiTheme="minorHAnsi" w:hAnsiTheme="minorHAnsi" w:cstheme="minorHAnsi"/>
          <w:sz w:val="22"/>
          <w:szCs w:val="22"/>
        </w:rPr>
        <w:t xml:space="preserve"> conditions.</w:t>
      </w:r>
      <w:r w:rsidR="002B4C24">
        <w:rPr>
          <w:rFonts w:asciiTheme="minorHAnsi" w:hAnsiTheme="minorHAnsi" w:cstheme="minorHAnsi"/>
          <w:sz w:val="22"/>
          <w:szCs w:val="22"/>
        </w:rPr>
        <w:t xml:space="preserve"> See Table 1.</w:t>
      </w:r>
    </w:p>
    <w:p w14:paraId="4459F01A" w14:textId="77777777" w:rsidR="00CE2823" w:rsidRDefault="00CE2823" w:rsidP="00CE2823">
      <w:pPr>
        <w:pStyle w:val="Title"/>
        <w:jc w:val="both"/>
        <w:rPr>
          <w:b/>
          <w:color w:val="1F4E79" w:themeColor="accent1" w:themeShade="80"/>
          <w:sz w:val="22"/>
          <w:szCs w:val="22"/>
        </w:rPr>
      </w:pPr>
    </w:p>
    <w:p w14:paraId="64EF5535" w14:textId="21228357" w:rsidR="007F61A9" w:rsidRPr="0086126B" w:rsidRDefault="00033FB0" w:rsidP="00D60273">
      <w:pPr>
        <w:pStyle w:val="Title"/>
        <w:ind w:left="180"/>
        <w:jc w:val="both"/>
        <w:rPr>
          <w:b/>
          <w:color w:val="1F4E79" w:themeColor="accent1" w:themeShade="80"/>
          <w:sz w:val="22"/>
          <w:szCs w:val="22"/>
        </w:rPr>
      </w:pPr>
      <w:r>
        <w:rPr>
          <w:b/>
          <w:color w:val="1F4E79" w:themeColor="accent1" w:themeShade="80"/>
          <w:sz w:val="22"/>
          <w:szCs w:val="22"/>
        </w:rPr>
        <w:t xml:space="preserve">Table 1: </w:t>
      </w:r>
      <w:r w:rsidR="00F86309" w:rsidRPr="0086126B">
        <w:rPr>
          <w:b/>
          <w:color w:val="1F4E79" w:themeColor="accent1" w:themeShade="80"/>
          <w:sz w:val="22"/>
          <w:szCs w:val="22"/>
        </w:rPr>
        <w:t>Minnesota 202</w:t>
      </w:r>
      <w:r w:rsidR="008A5913">
        <w:rPr>
          <w:b/>
          <w:color w:val="1F4E79" w:themeColor="accent1" w:themeShade="80"/>
          <w:sz w:val="22"/>
          <w:szCs w:val="22"/>
        </w:rPr>
        <w:t>3</w:t>
      </w:r>
      <w:r w:rsidR="009969EB" w:rsidRPr="0086126B">
        <w:rPr>
          <w:b/>
          <w:color w:val="1F4E79" w:themeColor="accent1" w:themeShade="80"/>
          <w:sz w:val="22"/>
          <w:szCs w:val="22"/>
        </w:rPr>
        <w:t xml:space="preserve"> Business </w:t>
      </w:r>
      <w:r w:rsidR="00EC6FBE" w:rsidRPr="0086126B">
        <w:rPr>
          <w:b/>
          <w:color w:val="1F4E79" w:themeColor="accent1" w:themeShade="80"/>
          <w:sz w:val="22"/>
          <w:szCs w:val="22"/>
        </w:rPr>
        <w:t xml:space="preserve">Services </w:t>
      </w:r>
      <w:r w:rsidR="003F5F27" w:rsidRPr="0086126B">
        <w:rPr>
          <w:b/>
          <w:color w:val="1F4E79" w:themeColor="accent1" w:themeShade="80"/>
          <w:sz w:val="22"/>
          <w:szCs w:val="22"/>
        </w:rPr>
        <w:t xml:space="preserve">Firms </w:t>
      </w:r>
      <w:r w:rsidR="009969EB" w:rsidRPr="0086126B">
        <w:rPr>
          <w:b/>
          <w:color w:val="1F4E79" w:themeColor="accent1" w:themeShade="80"/>
          <w:sz w:val="22"/>
          <w:szCs w:val="22"/>
        </w:rPr>
        <w:t>Condition Survey Results</w:t>
      </w:r>
      <w:r w:rsidR="009713A3" w:rsidRPr="0086126B">
        <w:rPr>
          <w:b/>
          <w:color w:val="1F4E79" w:themeColor="accent1" w:themeShade="80"/>
          <w:sz w:val="22"/>
          <w:szCs w:val="22"/>
          <w:vertAlign w:val="superscript"/>
        </w:rPr>
        <w:t>1</w:t>
      </w:r>
    </w:p>
    <w:tbl>
      <w:tblPr>
        <w:tblStyle w:val="PlainTable5"/>
        <w:tblW w:w="10525"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Business Comparison Indicators: 2020"/>
        <w:tblDescription w:val="Minnesota business services firms described unchanged or declining conditions. Seventy-nine percent of respondents indicated no changes in selling prices and 70 percent experienced stable labor availability. Additionally, 62 percent reported unchanged employment level. However, 53 percent indicated decline in sales revenue and 52 percent reported a drop in profits. Declining conditions were confirmed by diffusion indices, most of which were below 50 indicating contraction."/>
      </w:tblPr>
      <w:tblGrid>
        <w:gridCol w:w="3897"/>
        <w:gridCol w:w="1338"/>
        <w:gridCol w:w="1338"/>
        <w:gridCol w:w="1338"/>
        <w:gridCol w:w="1338"/>
        <w:gridCol w:w="1276"/>
      </w:tblGrid>
      <w:tr w:rsidR="001D0139" w:rsidRPr="00623BC4" w14:paraId="01C96E47"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single" w:sz="4" w:space="0" w:color="auto"/>
              <w:right w:val="nil"/>
            </w:tcBorders>
            <w:shd w:val="clear" w:color="auto" w:fill="BDD6EE" w:themeFill="accent1" w:themeFillTint="66"/>
            <w:noWrap/>
            <w:hideMark/>
          </w:tcPr>
          <w:p w14:paraId="4CA4B7B5" w14:textId="30EAB85A" w:rsidR="00A97C01" w:rsidRPr="000A28AD" w:rsidRDefault="00722892" w:rsidP="001631FC">
            <w:pPr>
              <w:rPr>
                <w:rFonts w:asciiTheme="minorHAnsi" w:eastAsia="Times New Roman" w:hAnsiTheme="minorHAnsi" w:cs="Times New Roman"/>
                <w:b/>
                <w:bCs/>
                <w:i w:val="0"/>
                <w:color w:val="000000"/>
                <w:sz w:val="18"/>
                <w:szCs w:val="18"/>
              </w:rPr>
            </w:pPr>
            <w:bookmarkStart w:id="0" w:name="_Hlk76110608"/>
            <w:r w:rsidRPr="000A28AD">
              <w:rPr>
                <w:rFonts w:asciiTheme="minorHAnsi" w:eastAsia="Times New Roman" w:hAnsiTheme="minorHAnsi" w:cs="Times New Roman"/>
                <w:b/>
                <w:bCs/>
                <w:i w:val="0"/>
                <w:color w:val="000000"/>
                <w:sz w:val="18"/>
                <w:szCs w:val="18"/>
              </w:rPr>
              <w:t>Business i</w:t>
            </w:r>
            <w:r w:rsidR="0043194C">
              <w:rPr>
                <w:rFonts w:asciiTheme="minorHAnsi" w:eastAsia="Times New Roman" w:hAnsiTheme="minorHAnsi" w:cs="Times New Roman"/>
                <w:b/>
                <w:bCs/>
                <w:i w:val="0"/>
                <w:color w:val="000000"/>
                <w:sz w:val="18"/>
                <w:szCs w:val="18"/>
              </w:rPr>
              <w:t>ndicators in the last</w:t>
            </w:r>
            <w:r w:rsidR="007C7CDC">
              <w:rPr>
                <w:rFonts w:asciiTheme="minorHAnsi" w:eastAsia="Times New Roman" w:hAnsiTheme="minorHAnsi" w:cs="Times New Roman"/>
                <w:b/>
                <w:bCs/>
                <w:i w:val="0"/>
                <w:color w:val="000000"/>
                <w:sz w:val="18"/>
                <w:szCs w:val="18"/>
              </w:rPr>
              <w:t xml:space="preserve"> year</w:t>
            </w:r>
          </w:p>
        </w:tc>
        <w:tc>
          <w:tcPr>
            <w:tcW w:w="1338" w:type="dxa"/>
            <w:tcBorders>
              <w:top w:val="single" w:sz="4" w:space="0" w:color="auto"/>
              <w:left w:val="nil"/>
              <w:bottom w:val="single" w:sz="4" w:space="0" w:color="auto"/>
            </w:tcBorders>
            <w:shd w:val="clear" w:color="auto" w:fill="BDD6EE" w:themeFill="accent1" w:themeFillTint="66"/>
            <w:noWrap/>
            <w:hideMark/>
          </w:tcPr>
          <w:p w14:paraId="66287258" w14:textId="77777777" w:rsidR="00A97C01" w:rsidRPr="000A28AD" w:rsidRDefault="00A97C01" w:rsidP="001631F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Up</w:t>
            </w:r>
          </w:p>
        </w:tc>
        <w:tc>
          <w:tcPr>
            <w:tcW w:w="1338" w:type="dxa"/>
            <w:tcBorders>
              <w:top w:val="single" w:sz="4" w:space="0" w:color="auto"/>
              <w:bottom w:val="single" w:sz="4" w:space="0" w:color="auto"/>
            </w:tcBorders>
            <w:shd w:val="clear" w:color="auto" w:fill="BDD6EE" w:themeFill="accent1" w:themeFillTint="66"/>
            <w:noWrap/>
            <w:hideMark/>
          </w:tcPr>
          <w:p w14:paraId="38B780C5" w14:textId="77777777" w:rsidR="00A97C01" w:rsidRPr="000A28AD" w:rsidRDefault="00A97C01" w:rsidP="001631F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Same</w:t>
            </w:r>
          </w:p>
        </w:tc>
        <w:tc>
          <w:tcPr>
            <w:tcW w:w="1338" w:type="dxa"/>
            <w:tcBorders>
              <w:top w:val="single" w:sz="4" w:space="0" w:color="auto"/>
              <w:bottom w:val="single" w:sz="4" w:space="0" w:color="auto"/>
            </w:tcBorders>
            <w:shd w:val="clear" w:color="auto" w:fill="BDD6EE" w:themeFill="accent1" w:themeFillTint="66"/>
            <w:noWrap/>
            <w:hideMark/>
          </w:tcPr>
          <w:p w14:paraId="72D3E77F" w14:textId="77777777" w:rsidR="00A97C01" w:rsidRPr="000A28AD" w:rsidRDefault="00A97C01" w:rsidP="001631F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Down</w:t>
            </w:r>
          </w:p>
        </w:tc>
        <w:tc>
          <w:tcPr>
            <w:tcW w:w="1338" w:type="dxa"/>
            <w:tcBorders>
              <w:top w:val="single" w:sz="4" w:space="0" w:color="auto"/>
              <w:bottom w:val="single" w:sz="4" w:space="0" w:color="auto"/>
            </w:tcBorders>
            <w:shd w:val="clear" w:color="auto" w:fill="BDD6EE" w:themeFill="accent1" w:themeFillTint="66"/>
            <w:noWrap/>
            <w:hideMark/>
          </w:tcPr>
          <w:p w14:paraId="4664DC7C" w14:textId="4F909C79" w:rsidR="00A97C01" w:rsidRPr="00A72C89" w:rsidRDefault="00A97C01" w:rsidP="00367060">
            <w:pPr>
              <w:jc w:val="center"/>
              <w:rPr>
                <w:rFonts w:asciiTheme="minorHAnsi" w:eastAsia="Times New Roman" w:hAnsiTheme="minorHAnsi" w:cs="Times New Roman"/>
                <w:b/>
                <w:bCs/>
                <w:i w:val="0"/>
                <w:sz w:val="18"/>
                <w:szCs w:val="18"/>
              </w:rPr>
            </w:pPr>
            <w:r w:rsidRPr="00A72C89">
              <w:rPr>
                <w:rFonts w:asciiTheme="minorHAnsi" w:eastAsia="Times New Roman" w:hAnsiTheme="minorHAnsi" w:cs="Times New Roman"/>
                <w:b/>
                <w:bCs/>
                <w:i w:val="0"/>
                <w:sz w:val="18"/>
                <w:szCs w:val="18"/>
              </w:rPr>
              <w:t xml:space="preserve">Diffusion </w:t>
            </w:r>
            <w:r w:rsidR="00A47862">
              <w:rPr>
                <w:rFonts w:asciiTheme="minorHAnsi" w:eastAsia="Times New Roman" w:hAnsiTheme="minorHAnsi" w:cs="Times New Roman"/>
                <w:b/>
                <w:bCs/>
                <w:i w:val="0"/>
                <w:sz w:val="18"/>
                <w:szCs w:val="18"/>
              </w:rPr>
              <w:t>i</w:t>
            </w:r>
            <w:r w:rsidRPr="00A72C89">
              <w:rPr>
                <w:rFonts w:asciiTheme="minorHAnsi" w:eastAsia="Times New Roman" w:hAnsiTheme="minorHAnsi" w:cs="Times New Roman"/>
                <w:b/>
                <w:bCs/>
                <w:i w:val="0"/>
                <w:sz w:val="18"/>
                <w:szCs w:val="18"/>
              </w:rPr>
              <w:t>ndex</w:t>
            </w:r>
            <w:r w:rsidR="000631E3" w:rsidRPr="00A72C89">
              <w:rPr>
                <w:rFonts w:asciiTheme="minorHAnsi" w:eastAsia="Times New Roman" w:hAnsiTheme="minorHAnsi" w:cs="Times New Roman"/>
                <w:b/>
                <w:bCs/>
                <w:i w:val="0"/>
                <w:sz w:val="18"/>
                <w:szCs w:val="18"/>
              </w:rPr>
              <w:t xml:space="preserve"> 202</w:t>
            </w:r>
            <w:r w:rsidR="008A5913">
              <w:rPr>
                <w:rFonts w:asciiTheme="minorHAnsi" w:eastAsia="Times New Roman" w:hAnsiTheme="minorHAnsi" w:cs="Times New Roman"/>
                <w:b/>
                <w:bCs/>
                <w:i w:val="0"/>
                <w:sz w:val="18"/>
                <w:szCs w:val="18"/>
              </w:rPr>
              <w:t>3</w:t>
            </w:r>
            <w:r w:rsidR="008E7E58" w:rsidRPr="00A72C89">
              <w:rPr>
                <w:rFonts w:asciiTheme="minorHAnsi" w:eastAsia="Times New Roman" w:hAnsiTheme="minorHAnsi" w:cs="Times New Roman"/>
                <w:b/>
                <w:bCs/>
                <w:i w:val="0"/>
                <w:sz w:val="18"/>
                <w:szCs w:val="18"/>
                <w:vertAlign w:val="superscript"/>
              </w:rPr>
              <w:t>(</w:t>
            </w:r>
            <w:r w:rsidR="00C80C65" w:rsidRPr="00A72C89">
              <w:rPr>
                <w:rFonts w:asciiTheme="minorHAnsi" w:eastAsia="Times New Roman" w:hAnsiTheme="minorHAnsi" w:cs="Times New Roman"/>
                <w:b/>
                <w:bCs/>
                <w:i w:val="0"/>
                <w:sz w:val="18"/>
                <w:szCs w:val="18"/>
                <w:vertAlign w:val="superscript"/>
              </w:rPr>
              <w:t>2)</w:t>
            </w:r>
          </w:p>
        </w:tc>
        <w:tc>
          <w:tcPr>
            <w:tcW w:w="1276" w:type="dxa"/>
            <w:tcBorders>
              <w:top w:val="single" w:sz="4" w:space="0" w:color="auto"/>
              <w:bottom w:val="single" w:sz="4" w:space="0" w:color="auto"/>
            </w:tcBorders>
            <w:shd w:val="clear" w:color="auto" w:fill="BDD6EE" w:themeFill="accent1" w:themeFillTint="66"/>
            <w:noWrap/>
            <w:hideMark/>
          </w:tcPr>
          <w:p w14:paraId="266B69E0" w14:textId="2CCCE126" w:rsidR="00A97C01" w:rsidRPr="00A2685D" w:rsidRDefault="0089194E" w:rsidP="001631FC">
            <w:pPr>
              <w:jc w:val="center"/>
              <w:rPr>
                <w:rFonts w:asciiTheme="minorHAnsi" w:eastAsia="Times New Roman" w:hAnsiTheme="minorHAnsi" w:cs="Times New Roman"/>
                <w:b/>
                <w:bCs/>
                <w:i w:val="0"/>
                <w:color w:val="FF0000"/>
                <w:sz w:val="18"/>
                <w:szCs w:val="18"/>
              </w:rPr>
            </w:pPr>
            <w:r w:rsidRPr="00A72C89">
              <w:rPr>
                <w:rFonts w:asciiTheme="minorHAnsi" w:eastAsia="Times New Roman" w:hAnsiTheme="minorHAnsi" w:cs="Times New Roman"/>
                <w:b/>
                <w:bCs/>
                <w:i w:val="0"/>
                <w:sz w:val="18"/>
                <w:szCs w:val="18"/>
              </w:rPr>
              <w:t>D</w:t>
            </w:r>
            <w:r w:rsidR="000631E3" w:rsidRPr="00A72C89">
              <w:rPr>
                <w:rFonts w:asciiTheme="minorHAnsi" w:eastAsia="Times New Roman" w:hAnsiTheme="minorHAnsi" w:cs="Times New Roman"/>
                <w:b/>
                <w:bCs/>
                <w:i w:val="0"/>
                <w:sz w:val="18"/>
                <w:szCs w:val="18"/>
              </w:rPr>
              <w:t xml:space="preserve">iffusion </w:t>
            </w:r>
            <w:r w:rsidR="00A47862">
              <w:rPr>
                <w:rFonts w:asciiTheme="minorHAnsi" w:eastAsia="Times New Roman" w:hAnsiTheme="minorHAnsi" w:cs="Times New Roman"/>
                <w:b/>
                <w:bCs/>
                <w:i w:val="0"/>
                <w:sz w:val="18"/>
                <w:szCs w:val="18"/>
              </w:rPr>
              <w:t>i</w:t>
            </w:r>
            <w:r w:rsidR="000631E3" w:rsidRPr="00A72C89">
              <w:rPr>
                <w:rFonts w:asciiTheme="minorHAnsi" w:eastAsia="Times New Roman" w:hAnsiTheme="minorHAnsi" w:cs="Times New Roman"/>
                <w:b/>
                <w:bCs/>
                <w:i w:val="0"/>
                <w:sz w:val="18"/>
                <w:szCs w:val="18"/>
              </w:rPr>
              <w:t>ndex 20</w:t>
            </w:r>
            <w:r w:rsidR="003B7BDF">
              <w:rPr>
                <w:rFonts w:asciiTheme="minorHAnsi" w:eastAsia="Times New Roman" w:hAnsiTheme="minorHAnsi" w:cs="Times New Roman"/>
                <w:b/>
                <w:bCs/>
                <w:i w:val="0"/>
                <w:sz w:val="18"/>
                <w:szCs w:val="18"/>
              </w:rPr>
              <w:t>2</w:t>
            </w:r>
            <w:r w:rsidR="008A5913">
              <w:rPr>
                <w:rFonts w:asciiTheme="minorHAnsi" w:eastAsia="Times New Roman" w:hAnsiTheme="minorHAnsi" w:cs="Times New Roman"/>
                <w:b/>
                <w:bCs/>
                <w:i w:val="0"/>
                <w:sz w:val="18"/>
                <w:szCs w:val="18"/>
              </w:rPr>
              <w:t>2</w:t>
            </w:r>
            <w:r w:rsidRPr="00A72C89">
              <w:rPr>
                <w:rFonts w:asciiTheme="minorHAnsi" w:eastAsia="Times New Roman" w:hAnsiTheme="minorHAnsi" w:cs="Times New Roman"/>
                <w:b/>
                <w:bCs/>
                <w:i w:val="0"/>
                <w:sz w:val="18"/>
                <w:szCs w:val="18"/>
                <w:vertAlign w:val="superscript"/>
              </w:rPr>
              <w:t>(</w:t>
            </w:r>
            <w:r w:rsidR="00C80C65" w:rsidRPr="00A72C89">
              <w:rPr>
                <w:rFonts w:asciiTheme="minorHAnsi" w:eastAsia="Times New Roman" w:hAnsiTheme="minorHAnsi" w:cs="Times New Roman"/>
                <w:b/>
                <w:bCs/>
                <w:i w:val="0"/>
                <w:sz w:val="18"/>
                <w:szCs w:val="18"/>
                <w:vertAlign w:val="superscript"/>
              </w:rPr>
              <w:t>2)</w:t>
            </w:r>
          </w:p>
        </w:tc>
      </w:tr>
      <w:tr w:rsidR="001D0139" w:rsidRPr="00C2294E" w14:paraId="2BE5ACED"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none" w:sz="0" w:space="0" w:color="auto"/>
              <w:right w:val="nil"/>
            </w:tcBorders>
            <w:noWrap/>
            <w:hideMark/>
          </w:tcPr>
          <w:p w14:paraId="27983A3D" w14:textId="77777777" w:rsidR="00A97C01" w:rsidRPr="000A28AD" w:rsidRDefault="0043194C"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Sales revenue</w:t>
            </w:r>
          </w:p>
        </w:tc>
        <w:tc>
          <w:tcPr>
            <w:tcW w:w="1338" w:type="dxa"/>
            <w:tcBorders>
              <w:top w:val="single" w:sz="4" w:space="0" w:color="auto"/>
              <w:left w:val="nil"/>
              <w:bottom w:val="none" w:sz="0" w:space="0" w:color="auto"/>
            </w:tcBorders>
            <w:noWrap/>
            <w:hideMark/>
          </w:tcPr>
          <w:p w14:paraId="15FF0298" w14:textId="2BE01D9B"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w:t>
            </w:r>
            <w:r w:rsidR="008A5913">
              <w:rPr>
                <w:rFonts w:asciiTheme="minorHAnsi" w:eastAsia="Times New Roman" w:hAnsiTheme="minorHAnsi" w:cs="Times New Roman"/>
                <w:i w:val="0"/>
                <w:color w:val="000000"/>
                <w:sz w:val="18"/>
                <w:szCs w:val="18"/>
              </w:rPr>
              <w:t>3</w:t>
            </w:r>
            <w:r w:rsidR="00A97C01" w:rsidRPr="00A87222">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14:paraId="73132FD2" w14:textId="5BCDC043" w:rsidR="00A97C01" w:rsidRPr="00A87222" w:rsidRDefault="000631E3" w:rsidP="00E647F4">
            <w:pPr>
              <w:jc w:val="center"/>
              <w:rPr>
                <w:rFonts w:asciiTheme="minorHAnsi" w:eastAsia="Times New Roman" w:hAnsiTheme="minorHAnsi" w:cs="Times New Roman"/>
                <w:i w:val="0"/>
                <w:color w:val="000000"/>
                <w:sz w:val="18"/>
                <w:szCs w:val="18"/>
              </w:rPr>
            </w:pPr>
            <w:r w:rsidRPr="00A87222">
              <w:rPr>
                <w:rFonts w:asciiTheme="minorHAnsi" w:eastAsia="Times New Roman" w:hAnsiTheme="minorHAnsi" w:cs="Times New Roman"/>
                <w:i w:val="0"/>
                <w:color w:val="000000"/>
                <w:sz w:val="18"/>
                <w:szCs w:val="18"/>
              </w:rPr>
              <w:t>2</w:t>
            </w:r>
            <w:r w:rsidR="008A5913">
              <w:rPr>
                <w:rFonts w:asciiTheme="minorHAnsi" w:eastAsia="Times New Roman" w:hAnsiTheme="minorHAnsi" w:cs="Times New Roman"/>
                <w:i w:val="0"/>
                <w:color w:val="000000"/>
                <w:sz w:val="18"/>
                <w:szCs w:val="18"/>
              </w:rPr>
              <w:t>7</w:t>
            </w:r>
            <w:r w:rsidR="00A97C01" w:rsidRPr="00A87222">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14:paraId="421E8ABE" w14:textId="00BA3C60"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31</w:t>
            </w:r>
            <w:r w:rsidR="00A97C01" w:rsidRPr="00A87222">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14:paraId="28BD73D1" w14:textId="1909BC95"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57</w:t>
            </w:r>
          </w:p>
        </w:tc>
        <w:tc>
          <w:tcPr>
            <w:tcW w:w="1276" w:type="dxa"/>
            <w:tcBorders>
              <w:top w:val="single" w:sz="4" w:space="0" w:color="auto"/>
              <w:bottom w:val="none" w:sz="0" w:space="0" w:color="auto"/>
            </w:tcBorders>
            <w:noWrap/>
            <w:hideMark/>
          </w:tcPr>
          <w:p w14:paraId="0710D5C5" w14:textId="464D0F95"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60</w:t>
            </w:r>
          </w:p>
        </w:tc>
      </w:tr>
      <w:tr w:rsidR="001D0139" w:rsidRPr="00C2294E" w14:paraId="38AE6A5D"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2527C914" w14:textId="77777777" w:rsidR="00A97C01" w:rsidRPr="000A28AD" w:rsidRDefault="0043194C"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Profits</w:t>
            </w:r>
          </w:p>
        </w:tc>
        <w:tc>
          <w:tcPr>
            <w:tcW w:w="1338" w:type="dxa"/>
            <w:tcBorders>
              <w:left w:val="nil"/>
              <w:bottom w:val="none" w:sz="0" w:space="0" w:color="auto"/>
            </w:tcBorders>
            <w:noWrap/>
            <w:hideMark/>
          </w:tcPr>
          <w:p w14:paraId="0259DAF6" w14:textId="4444D61A"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w:t>
            </w:r>
            <w:r w:rsidR="008A5913">
              <w:rPr>
                <w:rFonts w:asciiTheme="minorHAnsi" w:eastAsia="Times New Roman" w:hAnsiTheme="minorHAnsi" w:cs="Times New Roman"/>
                <w:i w:val="0"/>
                <w:color w:val="000000"/>
                <w:sz w:val="18"/>
                <w:szCs w:val="18"/>
              </w:rPr>
              <w:t>6</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4C31C8E9" w14:textId="73A80166"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26</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2CF57FAB" w14:textId="397AD61B"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w:t>
            </w:r>
            <w:r w:rsidR="008A5913">
              <w:rPr>
                <w:rFonts w:asciiTheme="minorHAnsi" w:eastAsia="Times New Roman" w:hAnsiTheme="minorHAnsi" w:cs="Times New Roman"/>
                <w:i w:val="0"/>
                <w:color w:val="000000"/>
                <w:sz w:val="18"/>
                <w:szCs w:val="18"/>
              </w:rPr>
              <w:t>9</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612F989D" w14:textId="244A5C3E"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49</w:t>
            </w:r>
          </w:p>
        </w:tc>
        <w:tc>
          <w:tcPr>
            <w:tcW w:w="1276" w:type="dxa"/>
            <w:tcBorders>
              <w:bottom w:val="none" w:sz="0" w:space="0" w:color="auto"/>
            </w:tcBorders>
            <w:noWrap/>
            <w:hideMark/>
          </w:tcPr>
          <w:p w14:paraId="79FEA289" w14:textId="345AC990"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50</w:t>
            </w:r>
          </w:p>
        </w:tc>
      </w:tr>
      <w:tr w:rsidR="001D0139" w:rsidRPr="00C2294E" w14:paraId="7FEA755F"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163350B9" w14:textId="77777777" w:rsidR="00A97C01" w:rsidRPr="000A28AD" w:rsidRDefault="009A1D8F"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Productivity</w:t>
            </w:r>
          </w:p>
        </w:tc>
        <w:tc>
          <w:tcPr>
            <w:tcW w:w="1338" w:type="dxa"/>
            <w:tcBorders>
              <w:left w:val="nil"/>
              <w:bottom w:val="none" w:sz="0" w:space="0" w:color="auto"/>
            </w:tcBorders>
            <w:noWrap/>
            <w:hideMark/>
          </w:tcPr>
          <w:p w14:paraId="49AC8201" w14:textId="3520B9DF"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30</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7A042E10" w14:textId="3C2A1699"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w:t>
            </w:r>
            <w:r w:rsidR="008A5913">
              <w:rPr>
                <w:rFonts w:asciiTheme="minorHAnsi" w:eastAsia="Times New Roman" w:hAnsiTheme="minorHAnsi" w:cs="Times New Roman"/>
                <w:i w:val="0"/>
                <w:color w:val="000000"/>
                <w:sz w:val="18"/>
                <w:szCs w:val="18"/>
              </w:rPr>
              <w:t>0</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0D680384" w14:textId="39FDA279"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21</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6A5BA16A" w14:textId="328A1D06" w:rsidR="00A97C01" w:rsidRPr="00A87222" w:rsidRDefault="00304A04"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5</w:t>
            </w:r>
            <w:r w:rsidR="008A5913">
              <w:rPr>
                <w:rFonts w:asciiTheme="minorHAnsi" w:eastAsia="Times New Roman" w:hAnsiTheme="minorHAnsi" w:cs="Times New Roman"/>
                <w:i w:val="0"/>
                <w:sz w:val="18"/>
                <w:szCs w:val="18"/>
              </w:rPr>
              <w:t>5</w:t>
            </w:r>
          </w:p>
        </w:tc>
        <w:tc>
          <w:tcPr>
            <w:tcW w:w="1276" w:type="dxa"/>
            <w:tcBorders>
              <w:bottom w:val="none" w:sz="0" w:space="0" w:color="auto"/>
            </w:tcBorders>
            <w:noWrap/>
            <w:hideMark/>
          </w:tcPr>
          <w:p w14:paraId="584C3DC4" w14:textId="56408DEE"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53</w:t>
            </w:r>
          </w:p>
        </w:tc>
      </w:tr>
      <w:tr w:rsidR="001D0139" w:rsidRPr="00C2294E" w14:paraId="1AB7E379"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60A5B04D" w14:textId="77777777" w:rsidR="00A97C01" w:rsidRPr="000A28AD" w:rsidRDefault="009A1D8F"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Employment level</w:t>
            </w:r>
          </w:p>
        </w:tc>
        <w:tc>
          <w:tcPr>
            <w:tcW w:w="1338" w:type="dxa"/>
            <w:tcBorders>
              <w:left w:val="nil"/>
              <w:bottom w:val="none" w:sz="0" w:space="0" w:color="auto"/>
            </w:tcBorders>
            <w:noWrap/>
            <w:hideMark/>
          </w:tcPr>
          <w:p w14:paraId="4F695E4D" w14:textId="462021BA" w:rsidR="00A97C01" w:rsidRPr="00A87222" w:rsidRDefault="000631E3" w:rsidP="00E647F4">
            <w:pPr>
              <w:jc w:val="center"/>
              <w:rPr>
                <w:rFonts w:asciiTheme="minorHAnsi" w:eastAsia="Times New Roman" w:hAnsiTheme="minorHAnsi" w:cs="Times New Roman"/>
                <w:i w:val="0"/>
                <w:color w:val="000000"/>
                <w:sz w:val="18"/>
                <w:szCs w:val="18"/>
              </w:rPr>
            </w:pPr>
            <w:r w:rsidRPr="00A87222">
              <w:rPr>
                <w:rFonts w:asciiTheme="minorHAnsi" w:eastAsia="Times New Roman" w:hAnsiTheme="minorHAnsi" w:cs="Times New Roman"/>
                <w:i w:val="0"/>
                <w:color w:val="000000"/>
                <w:sz w:val="18"/>
                <w:szCs w:val="18"/>
              </w:rPr>
              <w:t>1</w:t>
            </w:r>
            <w:r w:rsidR="008A5913">
              <w:rPr>
                <w:rFonts w:asciiTheme="minorHAnsi" w:eastAsia="Times New Roman" w:hAnsiTheme="minorHAnsi" w:cs="Times New Roman"/>
                <w:i w:val="0"/>
                <w:color w:val="000000"/>
                <w:sz w:val="18"/>
                <w:szCs w:val="18"/>
              </w:rPr>
              <w:t>4</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18539222" w14:textId="6ADDACD9" w:rsidR="00A97C01" w:rsidRPr="00A87222" w:rsidRDefault="000631E3" w:rsidP="00367060">
            <w:pPr>
              <w:jc w:val="center"/>
              <w:rPr>
                <w:rFonts w:asciiTheme="minorHAnsi" w:eastAsia="Times New Roman" w:hAnsiTheme="minorHAnsi" w:cs="Times New Roman"/>
                <w:i w:val="0"/>
                <w:color w:val="000000"/>
                <w:sz w:val="18"/>
                <w:szCs w:val="18"/>
              </w:rPr>
            </w:pPr>
            <w:r w:rsidRPr="00A87222">
              <w:rPr>
                <w:rFonts w:asciiTheme="minorHAnsi" w:eastAsia="Times New Roman" w:hAnsiTheme="minorHAnsi" w:cs="Times New Roman"/>
                <w:i w:val="0"/>
                <w:color w:val="000000"/>
                <w:sz w:val="18"/>
                <w:szCs w:val="18"/>
              </w:rPr>
              <w:t>6</w:t>
            </w:r>
            <w:r w:rsidR="008A5913">
              <w:rPr>
                <w:rFonts w:asciiTheme="minorHAnsi" w:eastAsia="Times New Roman" w:hAnsiTheme="minorHAnsi" w:cs="Times New Roman"/>
                <w:i w:val="0"/>
                <w:color w:val="000000"/>
                <w:sz w:val="18"/>
                <w:szCs w:val="18"/>
              </w:rPr>
              <w:t>7</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5919D3E1" w14:textId="3535A395"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19</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4EE23B0D" w14:textId="1F7D521B" w:rsidR="00A97C01" w:rsidRPr="00A87222" w:rsidRDefault="00A72C89" w:rsidP="00E647F4">
            <w:pPr>
              <w:jc w:val="center"/>
              <w:rPr>
                <w:rFonts w:asciiTheme="minorHAnsi" w:eastAsia="Times New Roman" w:hAnsiTheme="minorHAnsi" w:cs="Times New Roman"/>
                <w:i w:val="0"/>
                <w:sz w:val="18"/>
                <w:szCs w:val="18"/>
              </w:rPr>
            </w:pPr>
            <w:r w:rsidRPr="00A87222">
              <w:rPr>
                <w:rFonts w:asciiTheme="minorHAnsi" w:eastAsia="Times New Roman" w:hAnsiTheme="minorHAnsi" w:cs="Times New Roman"/>
                <w:i w:val="0"/>
                <w:sz w:val="18"/>
                <w:szCs w:val="18"/>
              </w:rPr>
              <w:t>4</w:t>
            </w:r>
            <w:r w:rsidR="008A5913">
              <w:rPr>
                <w:rFonts w:asciiTheme="minorHAnsi" w:eastAsia="Times New Roman" w:hAnsiTheme="minorHAnsi" w:cs="Times New Roman"/>
                <w:i w:val="0"/>
                <w:sz w:val="18"/>
                <w:szCs w:val="18"/>
              </w:rPr>
              <w:t>8</w:t>
            </w:r>
          </w:p>
        </w:tc>
        <w:tc>
          <w:tcPr>
            <w:tcW w:w="1276" w:type="dxa"/>
            <w:tcBorders>
              <w:bottom w:val="none" w:sz="0" w:space="0" w:color="auto"/>
            </w:tcBorders>
            <w:noWrap/>
            <w:hideMark/>
          </w:tcPr>
          <w:p w14:paraId="5800332B" w14:textId="5C9E42D9" w:rsidR="00A97C01" w:rsidRPr="00A87222" w:rsidRDefault="00A72C89" w:rsidP="00E647F4">
            <w:pPr>
              <w:jc w:val="center"/>
              <w:rPr>
                <w:rFonts w:asciiTheme="minorHAnsi" w:eastAsia="Times New Roman" w:hAnsiTheme="minorHAnsi" w:cs="Times New Roman"/>
                <w:i w:val="0"/>
                <w:sz w:val="18"/>
                <w:szCs w:val="18"/>
              </w:rPr>
            </w:pPr>
            <w:r w:rsidRPr="00A87222">
              <w:rPr>
                <w:rFonts w:asciiTheme="minorHAnsi" w:eastAsia="Times New Roman" w:hAnsiTheme="minorHAnsi" w:cs="Times New Roman"/>
                <w:i w:val="0"/>
                <w:sz w:val="18"/>
                <w:szCs w:val="18"/>
              </w:rPr>
              <w:t>4</w:t>
            </w:r>
            <w:r w:rsidR="008A5913">
              <w:rPr>
                <w:rFonts w:asciiTheme="minorHAnsi" w:eastAsia="Times New Roman" w:hAnsiTheme="minorHAnsi" w:cs="Times New Roman"/>
                <w:i w:val="0"/>
                <w:sz w:val="18"/>
                <w:szCs w:val="18"/>
              </w:rPr>
              <w:t>9</w:t>
            </w:r>
          </w:p>
        </w:tc>
      </w:tr>
      <w:tr w:rsidR="001D0139" w:rsidRPr="00C2294E" w14:paraId="74DD30A1"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1B9E4D2F" w14:textId="77777777" w:rsidR="00A97C01" w:rsidRPr="000A28AD" w:rsidRDefault="009A1D8F"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Labor availability</w:t>
            </w:r>
          </w:p>
        </w:tc>
        <w:tc>
          <w:tcPr>
            <w:tcW w:w="1338" w:type="dxa"/>
            <w:tcBorders>
              <w:left w:val="nil"/>
              <w:bottom w:val="none" w:sz="0" w:space="0" w:color="auto"/>
            </w:tcBorders>
            <w:noWrap/>
            <w:hideMark/>
          </w:tcPr>
          <w:p w14:paraId="2303CEB4" w14:textId="082EFB02"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641DA5EE" w14:textId="040CC6CA"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53</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607393CB" w14:textId="3952E7ED"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42</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4CF9C802" w14:textId="376145D0" w:rsidR="00A97C01" w:rsidRPr="00A87222" w:rsidRDefault="00A72C89" w:rsidP="00E647F4">
            <w:pPr>
              <w:jc w:val="center"/>
              <w:rPr>
                <w:rFonts w:asciiTheme="minorHAnsi" w:eastAsia="Times New Roman" w:hAnsiTheme="minorHAnsi" w:cs="Times New Roman"/>
                <w:i w:val="0"/>
                <w:sz w:val="18"/>
                <w:szCs w:val="18"/>
              </w:rPr>
            </w:pPr>
            <w:r w:rsidRPr="00A87222">
              <w:rPr>
                <w:rFonts w:asciiTheme="minorHAnsi" w:eastAsia="Times New Roman" w:hAnsiTheme="minorHAnsi" w:cs="Times New Roman"/>
                <w:i w:val="0"/>
                <w:sz w:val="18"/>
                <w:szCs w:val="18"/>
              </w:rPr>
              <w:t>3</w:t>
            </w:r>
            <w:r w:rsidR="008A5913">
              <w:rPr>
                <w:rFonts w:asciiTheme="minorHAnsi" w:eastAsia="Times New Roman" w:hAnsiTheme="minorHAnsi" w:cs="Times New Roman"/>
                <w:i w:val="0"/>
                <w:sz w:val="18"/>
                <w:szCs w:val="18"/>
              </w:rPr>
              <w:t>2</w:t>
            </w:r>
          </w:p>
        </w:tc>
        <w:tc>
          <w:tcPr>
            <w:tcW w:w="1276" w:type="dxa"/>
            <w:tcBorders>
              <w:bottom w:val="none" w:sz="0" w:space="0" w:color="auto"/>
            </w:tcBorders>
            <w:noWrap/>
            <w:hideMark/>
          </w:tcPr>
          <w:p w14:paraId="257AD8D5" w14:textId="2B605AE0" w:rsidR="00A97C01" w:rsidRPr="00A87222" w:rsidRDefault="00304A04"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34</w:t>
            </w:r>
          </w:p>
        </w:tc>
      </w:tr>
      <w:tr w:rsidR="001D0139" w:rsidRPr="00C2294E" w14:paraId="187D85BC"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649F74BE" w14:textId="5216D4B8" w:rsidR="00A97C01" w:rsidRPr="000A28AD" w:rsidRDefault="009A1D8F"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 xml:space="preserve">Selling </w:t>
            </w:r>
            <w:r w:rsidR="00097993">
              <w:rPr>
                <w:rFonts w:asciiTheme="minorHAnsi" w:eastAsia="Times New Roman" w:hAnsiTheme="minorHAnsi" w:cs="Times New Roman"/>
                <w:i w:val="0"/>
                <w:color w:val="000000"/>
                <w:sz w:val="18"/>
                <w:szCs w:val="18"/>
              </w:rPr>
              <w:t>p</w:t>
            </w:r>
            <w:r>
              <w:rPr>
                <w:rFonts w:asciiTheme="minorHAnsi" w:eastAsia="Times New Roman" w:hAnsiTheme="minorHAnsi" w:cs="Times New Roman"/>
                <w:i w:val="0"/>
                <w:color w:val="000000"/>
                <w:sz w:val="18"/>
                <w:szCs w:val="18"/>
              </w:rPr>
              <w:t>rices</w:t>
            </w:r>
          </w:p>
        </w:tc>
        <w:tc>
          <w:tcPr>
            <w:tcW w:w="1338" w:type="dxa"/>
            <w:tcBorders>
              <w:left w:val="nil"/>
              <w:bottom w:val="none" w:sz="0" w:space="0" w:color="auto"/>
            </w:tcBorders>
            <w:noWrap/>
            <w:hideMark/>
          </w:tcPr>
          <w:p w14:paraId="544E785C" w14:textId="45A76771"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w:t>
            </w:r>
            <w:r w:rsidR="008A5913">
              <w:rPr>
                <w:rFonts w:asciiTheme="minorHAnsi" w:eastAsia="Times New Roman" w:hAnsiTheme="minorHAnsi" w:cs="Times New Roman"/>
                <w:i w:val="0"/>
                <w:color w:val="000000"/>
                <w:sz w:val="18"/>
                <w:szCs w:val="18"/>
              </w:rPr>
              <w:t>8</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616C4B5E" w14:textId="7E516458" w:rsidR="00A97C01" w:rsidRPr="00A87222" w:rsidRDefault="00304A0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w:t>
            </w:r>
            <w:r w:rsidR="008A5913">
              <w:rPr>
                <w:rFonts w:asciiTheme="minorHAnsi" w:eastAsia="Times New Roman" w:hAnsiTheme="minorHAnsi" w:cs="Times New Roman"/>
                <w:i w:val="0"/>
                <w:color w:val="000000"/>
                <w:sz w:val="18"/>
                <w:szCs w:val="18"/>
              </w:rPr>
              <w:t>4</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12944F36" w14:textId="3904CBA0"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9</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5EAF79F8" w14:textId="334776BD" w:rsidR="00A97C01" w:rsidRPr="00A87222" w:rsidRDefault="00304A04"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7</w:t>
            </w:r>
            <w:r w:rsidR="008A5913">
              <w:rPr>
                <w:rFonts w:asciiTheme="minorHAnsi" w:eastAsia="Times New Roman" w:hAnsiTheme="minorHAnsi" w:cs="Times New Roman"/>
                <w:i w:val="0"/>
                <w:sz w:val="18"/>
                <w:szCs w:val="18"/>
              </w:rPr>
              <w:t>0</w:t>
            </w:r>
          </w:p>
        </w:tc>
        <w:tc>
          <w:tcPr>
            <w:tcW w:w="1276" w:type="dxa"/>
            <w:tcBorders>
              <w:bottom w:val="none" w:sz="0" w:space="0" w:color="auto"/>
            </w:tcBorders>
            <w:noWrap/>
            <w:hideMark/>
          </w:tcPr>
          <w:p w14:paraId="0CE71782" w14:textId="23A31003"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7</w:t>
            </w:r>
            <w:r w:rsidR="00304A04">
              <w:rPr>
                <w:rFonts w:asciiTheme="minorHAnsi" w:eastAsia="Times New Roman" w:hAnsiTheme="minorHAnsi" w:cs="Times New Roman"/>
                <w:i w:val="0"/>
                <w:sz w:val="18"/>
                <w:szCs w:val="18"/>
              </w:rPr>
              <w:t>2</w:t>
            </w:r>
          </w:p>
        </w:tc>
      </w:tr>
      <w:tr w:rsidR="001D0139" w:rsidRPr="00C2294E" w14:paraId="3D7C383F"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14:paraId="228036EB" w14:textId="743790C5" w:rsidR="00A97C01" w:rsidRPr="000A28AD" w:rsidRDefault="009A1D8F" w:rsidP="001631F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 xml:space="preserve">Input </w:t>
            </w:r>
            <w:r w:rsidR="00097993">
              <w:rPr>
                <w:rFonts w:asciiTheme="minorHAnsi" w:eastAsia="Times New Roman" w:hAnsiTheme="minorHAnsi" w:cs="Times New Roman"/>
                <w:i w:val="0"/>
                <w:color w:val="000000"/>
                <w:sz w:val="18"/>
                <w:szCs w:val="18"/>
              </w:rPr>
              <w:t>c</w:t>
            </w:r>
            <w:r>
              <w:rPr>
                <w:rFonts w:asciiTheme="minorHAnsi" w:eastAsia="Times New Roman" w:hAnsiTheme="minorHAnsi" w:cs="Times New Roman"/>
                <w:i w:val="0"/>
                <w:color w:val="000000"/>
                <w:sz w:val="18"/>
                <w:szCs w:val="18"/>
              </w:rPr>
              <w:t>osts</w:t>
            </w:r>
          </w:p>
        </w:tc>
        <w:tc>
          <w:tcPr>
            <w:tcW w:w="1338" w:type="dxa"/>
            <w:tcBorders>
              <w:left w:val="nil"/>
              <w:bottom w:val="none" w:sz="0" w:space="0" w:color="auto"/>
            </w:tcBorders>
            <w:noWrap/>
            <w:hideMark/>
          </w:tcPr>
          <w:p w14:paraId="2BC7A300" w14:textId="3B004322"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62</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24C4F15F" w14:textId="0F8F1AE8"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35</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326C9018" w14:textId="4B8B3E8B" w:rsidR="00A97C01" w:rsidRPr="00A87222" w:rsidRDefault="008A591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w:t>
            </w:r>
            <w:r w:rsidR="00A97C01"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09E0C69C" w14:textId="564C1AA7" w:rsidR="00A97C01" w:rsidRPr="00A87222" w:rsidRDefault="00304A04"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8</w:t>
            </w:r>
            <w:r w:rsidR="008A5913">
              <w:rPr>
                <w:rFonts w:asciiTheme="minorHAnsi" w:eastAsia="Times New Roman" w:hAnsiTheme="minorHAnsi" w:cs="Times New Roman"/>
                <w:i w:val="0"/>
                <w:sz w:val="18"/>
                <w:szCs w:val="18"/>
              </w:rPr>
              <w:t>0</w:t>
            </w:r>
          </w:p>
        </w:tc>
        <w:tc>
          <w:tcPr>
            <w:tcW w:w="1276" w:type="dxa"/>
            <w:tcBorders>
              <w:bottom w:val="none" w:sz="0" w:space="0" w:color="auto"/>
            </w:tcBorders>
            <w:noWrap/>
            <w:hideMark/>
          </w:tcPr>
          <w:p w14:paraId="0F2FF2A4" w14:textId="0017B940" w:rsidR="00A97C01" w:rsidRPr="00A87222" w:rsidRDefault="008A5913"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84</w:t>
            </w:r>
          </w:p>
        </w:tc>
      </w:tr>
      <w:tr w:rsidR="001D0139" w:rsidRPr="00C2294E" w14:paraId="23245E2D" w14:textId="77777777" w:rsidTr="009A1D8F">
        <w:trPr>
          <w:cnfStyle w:val="100000000000" w:firstRow="1" w:lastRow="0" w:firstColumn="0" w:lastColumn="0" w:oddVBand="0" w:evenVBand="0" w:oddHBand="0" w:evenHBand="0" w:firstRowFirstColumn="0" w:firstRowLastColumn="0" w:lastRowFirstColumn="0" w:lastRowLastColumn="0"/>
          <w:trHeight w:val="477"/>
          <w:tblHeader/>
          <w:jc w:val="center"/>
        </w:trPr>
        <w:tc>
          <w:tcPr>
            <w:tcW w:w="3897" w:type="dxa"/>
            <w:tcBorders>
              <w:bottom w:val="single" w:sz="4" w:space="0" w:color="auto"/>
              <w:right w:val="nil"/>
            </w:tcBorders>
            <w:noWrap/>
            <w:hideMark/>
          </w:tcPr>
          <w:p w14:paraId="6186AB57" w14:textId="336C2CB6" w:rsidR="00A97C01" w:rsidRPr="000A28AD" w:rsidRDefault="00174C4B" w:rsidP="001631FC">
            <w:pPr>
              <w:rPr>
                <w:rFonts w:asciiTheme="minorHAnsi" w:eastAsia="Times New Roman" w:hAnsiTheme="minorHAnsi" w:cs="Times New Roman"/>
                <w:i w:val="0"/>
                <w:color w:val="000000"/>
                <w:sz w:val="18"/>
                <w:szCs w:val="18"/>
              </w:rPr>
            </w:pPr>
            <w:r w:rsidRPr="00174C4B">
              <w:rPr>
                <w:rFonts w:ascii="Calibri" w:eastAsia="Times New Roman" w:hAnsi="Calibri" w:cs="Times New Roman"/>
                <w:i w:val="0"/>
                <w:color w:val="000000"/>
                <w:sz w:val="18"/>
                <w:szCs w:val="18"/>
              </w:rPr>
              <w:t>Space occupied (</w:t>
            </w:r>
            <w:r w:rsidR="00097993">
              <w:rPr>
                <w:rFonts w:ascii="Calibri" w:eastAsia="Times New Roman" w:hAnsi="Calibri" w:cs="Times New Roman"/>
                <w:i w:val="0"/>
                <w:color w:val="000000"/>
                <w:sz w:val="18"/>
                <w:szCs w:val="18"/>
              </w:rPr>
              <w:t>s</w:t>
            </w:r>
            <w:r w:rsidRPr="00174C4B">
              <w:rPr>
                <w:rFonts w:ascii="Calibri" w:eastAsia="Times New Roman" w:hAnsi="Calibri" w:cs="Times New Roman"/>
                <w:i w:val="0"/>
                <w:color w:val="000000"/>
                <w:sz w:val="18"/>
                <w:szCs w:val="18"/>
              </w:rPr>
              <w:t>quare footage)</w:t>
            </w:r>
            <w:r w:rsidR="009A1D8F">
              <w:rPr>
                <w:rFonts w:asciiTheme="minorHAnsi" w:eastAsia="Times New Roman" w:hAnsiTheme="minorHAnsi" w:cs="Times New Roman"/>
                <w:i w:val="0"/>
                <w:color w:val="000000"/>
                <w:sz w:val="18"/>
                <w:szCs w:val="18"/>
              </w:rPr>
              <w:br/>
              <w:t>Exports (sales for foreign clients)</w:t>
            </w:r>
          </w:p>
        </w:tc>
        <w:tc>
          <w:tcPr>
            <w:tcW w:w="1338" w:type="dxa"/>
            <w:tcBorders>
              <w:left w:val="nil"/>
              <w:bottom w:val="none" w:sz="0" w:space="0" w:color="auto"/>
            </w:tcBorders>
            <w:noWrap/>
            <w:hideMark/>
          </w:tcPr>
          <w:p w14:paraId="06681C60" w14:textId="1A2F3AC2" w:rsidR="00A97C01" w:rsidRPr="00A87222" w:rsidRDefault="00F411B9"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w:t>
            </w:r>
            <w:r w:rsidR="00A97C01" w:rsidRPr="00A87222">
              <w:rPr>
                <w:rFonts w:asciiTheme="minorHAnsi" w:eastAsia="Times New Roman" w:hAnsiTheme="minorHAnsi" w:cs="Times New Roman"/>
                <w:i w:val="0"/>
                <w:color w:val="000000"/>
                <w:sz w:val="18"/>
                <w:szCs w:val="18"/>
              </w:rPr>
              <w:t>%</w:t>
            </w:r>
            <w:r w:rsidR="000631E3" w:rsidRPr="00A87222">
              <w:rPr>
                <w:rFonts w:asciiTheme="minorHAnsi" w:eastAsia="Times New Roman" w:hAnsiTheme="minorHAnsi" w:cs="Times New Roman"/>
                <w:i w:val="0"/>
                <w:color w:val="000000"/>
                <w:sz w:val="18"/>
                <w:szCs w:val="18"/>
              </w:rPr>
              <w:br/>
            </w:r>
            <w:r w:rsidR="00D40360">
              <w:rPr>
                <w:rFonts w:asciiTheme="minorHAnsi" w:eastAsia="Times New Roman" w:hAnsiTheme="minorHAnsi" w:cs="Times New Roman"/>
                <w:i w:val="0"/>
                <w:color w:val="000000"/>
                <w:sz w:val="18"/>
                <w:szCs w:val="18"/>
              </w:rPr>
              <w:t>3</w:t>
            </w:r>
            <w:r w:rsidR="009A1D8F"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63153456" w14:textId="34365E09" w:rsidR="00A97C01" w:rsidRPr="00A87222" w:rsidRDefault="000631E3" w:rsidP="00E647F4">
            <w:pPr>
              <w:jc w:val="center"/>
              <w:rPr>
                <w:rFonts w:asciiTheme="minorHAnsi" w:eastAsia="Times New Roman" w:hAnsiTheme="minorHAnsi" w:cs="Times New Roman"/>
                <w:i w:val="0"/>
                <w:color w:val="000000"/>
                <w:sz w:val="18"/>
                <w:szCs w:val="18"/>
              </w:rPr>
            </w:pPr>
            <w:r w:rsidRPr="00A87222">
              <w:rPr>
                <w:rFonts w:asciiTheme="minorHAnsi" w:eastAsia="Times New Roman" w:hAnsiTheme="minorHAnsi" w:cs="Times New Roman"/>
                <w:i w:val="0"/>
                <w:color w:val="000000"/>
                <w:sz w:val="18"/>
                <w:szCs w:val="18"/>
              </w:rPr>
              <w:t>8</w:t>
            </w:r>
            <w:r w:rsidR="00F411B9">
              <w:rPr>
                <w:rFonts w:asciiTheme="minorHAnsi" w:eastAsia="Times New Roman" w:hAnsiTheme="minorHAnsi" w:cs="Times New Roman"/>
                <w:i w:val="0"/>
                <w:color w:val="000000"/>
                <w:sz w:val="18"/>
                <w:szCs w:val="18"/>
              </w:rPr>
              <w:t>7</w:t>
            </w:r>
            <w:r w:rsidR="00A97C01" w:rsidRPr="00A87222">
              <w:rPr>
                <w:rFonts w:asciiTheme="minorHAnsi" w:eastAsia="Times New Roman" w:hAnsiTheme="minorHAnsi" w:cs="Times New Roman"/>
                <w:i w:val="0"/>
                <w:color w:val="000000"/>
                <w:sz w:val="18"/>
                <w:szCs w:val="18"/>
              </w:rPr>
              <w:t>%</w:t>
            </w:r>
            <w:r w:rsidRPr="00A87222">
              <w:rPr>
                <w:rFonts w:asciiTheme="minorHAnsi" w:eastAsia="Times New Roman" w:hAnsiTheme="minorHAnsi" w:cs="Times New Roman"/>
                <w:i w:val="0"/>
                <w:color w:val="000000"/>
                <w:sz w:val="18"/>
                <w:szCs w:val="18"/>
              </w:rPr>
              <w:br/>
            </w:r>
            <w:r w:rsidR="00D40360">
              <w:rPr>
                <w:rFonts w:asciiTheme="minorHAnsi" w:eastAsia="Times New Roman" w:hAnsiTheme="minorHAnsi" w:cs="Times New Roman"/>
                <w:i w:val="0"/>
                <w:color w:val="000000"/>
                <w:sz w:val="18"/>
                <w:szCs w:val="18"/>
              </w:rPr>
              <w:t>9</w:t>
            </w:r>
            <w:r w:rsidR="00F411B9">
              <w:rPr>
                <w:rFonts w:asciiTheme="minorHAnsi" w:eastAsia="Times New Roman" w:hAnsiTheme="minorHAnsi" w:cs="Times New Roman"/>
                <w:i w:val="0"/>
                <w:color w:val="000000"/>
                <w:sz w:val="18"/>
                <w:szCs w:val="18"/>
              </w:rPr>
              <w:t>3</w:t>
            </w:r>
            <w:r w:rsidR="009A1D8F"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3F85C08D" w14:textId="4CFE6E92" w:rsidR="00A97C01" w:rsidRPr="00A87222" w:rsidRDefault="00F411B9"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w:t>
            </w:r>
            <w:r w:rsidR="00A97C01" w:rsidRPr="00A87222">
              <w:rPr>
                <w:rFonts w:asciiTheme="minorHAnsi" w:eastAsia="Times New Roman" w:hAnsiTheme="minorHAnsi" w:cs="Times New Roman"/>
                <w:i w:val="0"/>
                <w:color w:val="000000"/>
                <w:sz w:val="18"/>
                <w:szCs w:val="18"/>
              </w:rPr>
              <w:t>%</w:t>
            </w:r>
            <w:r w:rsidR="000631E3" w:rsidRPr="00A87222">
              <w:rPr>
                <w:rFonts w:asciiTheme="minorHAnsi" w:eastAsia="Times New Roman" w:hAnsiTheme="minorHAnsi" w:cs="Times New Roman"/>
                <w:i w:val="0"/>
                <w:color w:val="000000"/>
                <w:sz w:val="18"/>
                <w:szCs w:val="18"/>
              </w:rPr>
              <w:br/>
            </w:r>
            <w:r>
              <w:rPr>
                <w:rFonts w:asciiTheme="minorHAnsi" w:eastAsia="Times New Roman" w:hAnsiTheme="minorHAnsi" w:cs="Times New Roman"/>
                <w:i w:val="0"/>
                <w:color w:val="000000"/>
                <w:sz w:val="18"/>
                <w:szCs w:val="18"/>
              </w:rPr>
              <w:t>4</w:t>
            </w:r>
            <w:r w:rsidR="009A1D8F" w:rsidRPr="00A87222">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14:paraId="0938BDFD" w14:textId="48A51BB8" w:rsidR="00A97C01" w:rsidRPr="00A87222" w:rsidRDefault="00D40360"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5</w:t>
            </w:r>
            <w:r w:rsidR="00F411B9">
              <w:rPr>
                <w:rFonts w:asciiTheme="minorHAnsi" w:eastAsia="Times New Roman" w:hAnsiTheme="minorHAnsi" w:cs="Times New Roman"/>
                <w:i w:val="0"/>
                <w:sz w:val="18"/>
                <w:szCs w:val="18"/>
              </w:rPr>
              <w:t>0</w:t>
            </w:r>
            <w:r w:rsidR="000631E3" w:rsidRPr="00A87222">
              <w:rPr>
                <w:rFonts w:asciiTheme="minorHAnsi" w:eastAsia="Times New Roman" w:hAnsiTheme="minorHAnsi" w:cs="Times New Roman"/>
                <w:i w:val="0"/>
                <w:sz w:val="18"/>
                <w:szCs w:val="18"/>
              </w:rPr>
              <w:br/>
            </w:r>
            <w:r w:rsidR="00F411B9">
              <w:rPr>
                <w:rFonts w:asciiTheme="minorHAnsi" w:eastAsia="Times New Roman" w:hAnsiTheme="minorHAnsi" w:cs="Times New Roman"/>
                <w:i w:val="0"/>
                <w:sz w:val="18"/>
                <w:szCs w:val="18"/>
              </w:rPr>
              <w:t>50</w:t>
            </w:r>
          </w:p>
        </w:tc>
        <w:tc>
          <w:tcPr>
            <w:tcW w:w="1276" w:type="dxa"/>
            <w:tcBorders>
              <w:bottom w:val="none" w:sz="0" w:space="0" w:color="auto"/>
            </w:tcBorders>
            <w:noWrap/>
            <w:hideMark/>
          </w:tcPr>
          <w:p w14:paraId="60DD4170" w14:textId="0D5E0F84" w:rsidR="00A97C01" w:rsidRPr="00A87222" w:rsidRDefault="00F411B9" w:rsidP="00E647F4">
            <w:pPr>
              <w:jc w:val="center"/>
              <w:rPr>
                <w:rFonts w:asciiTheme="minorHAnsi" w:eastAsia="Times New Roman" w:hAnsiTheme="minorHAnsi" w:cs="Times New Roman"/>
                <w:i w:val="0"/>
                <w:sz w:val="18"/>
                <w:szCs w:val="18"/>
              </w:rPr>
            </w:pPr>
            <w:r>
              <w:rPr>
                <w:rFonts w:asciiTheme="minorHAnsi" w:eastAsia="Times New Roman" w:hAnsiTheme="minorHAnsi" w:cs="Times New Roman"/>
                <w:i w:val="0"/>
                <w:sz w:val="18"/>
                <w:szCs w:val="18"/>
              </w:rPr>
              <w:t>52</w:t>
            </w:r>
            <w:r w:rsidR="00DD0D08" w:rsidRPr="00A87222">
              <w:rPr>
                <w:rFonts w:asciiTheme="minorHAnsi" w:eastAsia="Times New Roman" w:hAnsiTheme="minorHAnsi" w:cs="Times New Roman"/>
                <w:i w:val="0"/>
                <w:sz w:val="18"/>
                <w:szCs w:val="18"/>
              </w:rPr>
              <w:br/>
            </w:r>
            <w:r w:rsidR="00A72C89" w:rsidRPr="00A87222">
              <w:rPr>
                <w:rFonts w:asciiTheme="minorHAnsi" w:eastAsia="Times New Roman" w:hAnsiTheme="minorHAnsi" w:cs="Times New Roman"/>
                <w:i w:val="0"/>
                <w:sz w:val="18"/>
                <w:szCs w:val="18"/>
              </w:rPr>
              <w:t>4</w:t>
            </w:r>
            <w:r>
              <w:rPr>
                <w:rFonts w:asciiTheme="minorHAnsi" w:eastAsia="Times New Roman" w:hAnsiTheme="minorHAnsi" w:cs="Times New Roman"/>
                <w:i w:val="0"/>
                <w:sz w:val="18"/>
                <w:szCs w:val="18"/>
              </w:rPr>
              <w:t>9</w:t>
            </w:r>
          </w:p>
        </w:tc>
      </w:tr>
    </w:tbl>
    <w:p w14:paraId="453D9AD2" w14:textId="77777777" w:rsidR="00A97C01" w:rsidRDefault="00A97C01" w:rsidP="009B3DF5">
      <w:pPr>
        <w:spacing w:after="0" w:line="72" w:lineRule="auto"/>
        <w:contextualSpacing/>
      </w:pPr>
    </w:p>
    <w:tbl>
      <w:tblPr>
        <w:tblStyle w:val="PlainTable4"/>
        <w:tblW w:w="10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Comparison Worker's Indicators"/>
        <w:tblDescription w:val="Table showing labor indicators. Forty-seven percent of respondents indicated no changes for wages per worker while 59 percent specified no changes for benefirs per worker."/>
      </w:tblPr>
      <w:tblGrid>
        <w:gridCol w:w="2880"/>
        <w:gridCol w:w="902"/>
        <w:gridCol w:w="1334"/>
        <w:gridCol w:w="1350"/>
        <w:gridCol w:w="1350"/>
        <w:gridCol w:w="1350"/>
        <w:gridCol w:w="1355"/>
      </w:tblGrid>
      <w:tr w:rsidR="00E647F4" w:rsidRPr="000F78D4" w14:paraId="15C0300A"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right w:val="nil"/>
            </w:tcBorders>
            <w:shd w:val="clear" w:color="auto" w:fill="BDD6EE" w:themeFill="accent1" w:themeFillTint="66"/>
            <w:noWrap/>
            <w:hideMark/>
          </w:tcPr>
          <w:p w14:paraId="67694626" w14:textId="2A259CC8" w:rsidR="00A97C01" w:rsidRPr="000A28AD" w:rsidRDefault="00722892" w:rsidP="001631F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Labor i</w:t>
            </w:r>
            <w:r w:rsidR="00531B2D" w:rsidRPr="000A28AD">
              <w:rPr>
                <w:rFonts w:ascii="Calibri" w:eastAsia="Times New Roman" w:hAnsi="Calibri" w:cs="Times New Roman"/>
                <w:color w:val="000000"/>
                <w:sz w:val="18"/>
                <w:szCs w:val="18"/>
              </w:rPr>
              <w:t>ndic</w:t>
            </w:r>
            <w:r w:rsidR="0043194C">
              <w:rPr>
                <w:rFonts w:ascii="Calibri" w:eastAsia="Times New Roman" w:hAnsi="Calibri" w:cs="Times New Roman"/>
                <w:color w:val="000000"/>
                <w:sz w:val="18"/>
                <w:szCs w:val="18"/>
              </w:rPr>
              <w:t>ators</w:t>
            </w:r>
            <w:r w:rsidR="00527ABE">
              <w:rPr>
                <w:rFonts w:ascii="Calibri" w:eastAsia="Times New Roman" w:hAnsi="Calibri" w:cs="Times New Roman"/>
                <w:color w:val="000000"/>
                <w:sz w:val="18"/>
                <w:szCs w:val="18"/>
              </w:rPr>
              <w:t xml:space="preserve"> in the</w:t>
            </w:r>
            <w:r w:rsidR="0043194C">
              <w:rPr>
                <w:rFonts w:ascii="Calibri" w:eastAsia="Times New Roman" w:hAnsi="Calibri" w:cs="Times New Roman"/>
                <w:color w:val="000000"/>
                <w:sz w:val="18"/>
                <w:szCs w:val="18"/>
              </w:rPr>
              <w:t xml:space="preserve"> last </w:t>
            </w:r>
            <w:r w:rsidR="007C7CDC">
              <w:rPr>
                <w:rFonts w:ascii="Calibri" w:eastAsia="Times New Roman" w:hAnsi="Calibri" w:cs="Times New Roman"/>
                <w:color w:val="000000"/>
                <w:sz w:val="18"/>
                <w:szCs w:val="18"/>
              </w:rPr>
              <w:t>year</w:t>
            </w:r>
          </w:p>
        </w:tc>
        <w:tc>
          <w:tcPr>
            <w:tcW w:w="902" w:type="dxa"/>
            <w:tcBorders>
              <w:top w:val="single" w:sz="4" w:space="0" w:color="auto"/>
              <w:left w:val="nil"/>
              <w:bottom w:val="single" w:sz="4" w:space="0" w:color="auto"/>
            </w:tcBorders>
            <w:shd w:val="clear" w:color="auto" w:fill="BDD6EE" w:themeFill="accent1" w:themeFillTint="66"/>
            <w:noWrap/>
            <w:hideMark/>
          </w:tcPr>
          <w:p w14:paraId="4CB5142B"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14:paraId="59D392D5"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0</w:t>
            </w:r>
            <w:r w:rsidR="00933559">
              <w:rPr>
                <w:rFonts w:ascii="Calibri" w:eastAsia="Times New Roman" w:hAnsi="Calibri" w:cs="Times New Roman"/>
                <w:color w:val="000000"/>
                <w:sz w:val="18"/>
                <w:szCs w:val="18"/>
              </w:rPr>
              <w:t>%</w:t>
            </w:r>
          </w:p>
        </w:tc>
        <w:tc>
          <w:tcPr>
            <w:tcW w:w="1350" w:type="dxa"/>
            <w:tcBorders>
              <w:top w:val="single" w:sz="4" w:space="0" w:color="auto"/>
              <w:bottom w:val="single" w:sz="4" w:space="0" w:color="auto"/>
            </w:tcBorders>
            <w:shd w:val="clear" w:color="auto" w:fill="BDD6EE" w:themeFill="accent1" w:themeFillTint="66"/>
            <w:noWrap/>
            <w:hideMark/>
          </w:tcPr>
          <w:p w14:paraId="24B4CDB9"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1-2%</w:t>
            </w:r>
          </w:p>
        </w:tc>
        <w:tc>
          <w:tcPr>
            <w:tcW w:w="1350" w:type="dxa"/>
            <w:tcBorders>
              <w:top w:val="single" w:sz="4" w:space="0" w:color="auto"/>
              <w:bottom w:val="single" w:sz="4" w:space="0" w:color="auto"/>
            </w:tcBorders>
            <w:shd w:val="clear" w:color="auto" w:fill="BDD6EE" w:themeFill="accent1" w:themeFillTint="66"/>
            <w:noWrap/>
            <w:hideMark/>
          </w:tcPr>
          <w:p w14:paraId="4744EB9A"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14:paraId="3A0F5208"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6-9%</w:t>
            </w:r>
          </w:p>
        </w:tc>
        <w:tc>
          <w:tcPr>
            <w:tcW w:w="1355" w:type="dxa"/>
            <w:tcBorders>
              <w:top w:val="single" w:sz="4" w:space="0" w:color="auto"/>
              <w:bottom w:val="single" w:sz="4" w:space="0" w:color="auto"/>
            </w:tcBorders>
            <w:shd w:val="clear" w:color="auto" w:fill="BDD6EE" w:themeFill="accent1" w:themeFillTint="66"/>
            <w:noWrap/>
            <w:hideMark/>
          </w:tcPr>
          <w:p w14:paraId="78CAC3A3"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&gt;10%</w:t>
            </w:r>
          </w:p>
        </w:tc>
      </w:tr>
      <w:tr w:rsidR="001D0139" w:rsidRPr="000F78D4" w14:paraId="7DF943B6"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right w:val="nil"/>
            </w:tcBorders>
            <w:noWrap/>
            <w:hideMark/>
          </w:tcPr>
          <w:p w14:paraId="08FFB1CC" w14:textId="77777777" w:rsidR="00A97C01" w:rsidRPr="000A28AD" w:rsidRDefault="00A97C01" w:rsidP="001631F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Wages per worker</w:t>
            </w:r>
          </w:p>
        </w:tc>
        <w:tc>
          <w:tcPr>
            <w:tcW w:w="902" w:type="dxa"/>
            <w:tcBorders>
              <w:top w:val="single" w:sz="4" w:space="0" w:color="auto"/>
              <w:left w:val="nil"/>
            </w:tcBorders>
            <w:noWrap/>
            <w:hideMark/>
          </w:tcPr>
          <w:p w14:paraId="5454A17F" w14:textId="69832A59"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5</w:t>
            </w:r>
            <w:r w:rsidR="00A97C01" w:rsidRPr="00A87222">
              <w:rPr>
                <w:rFonts w:ascii="Calibri" w:eastAsia="Times New Roman" w:hAnsi="Calibri" w:cs="Times New Roman"/>
                <w:b w:val="0"/>
                <w:color w:val="000000"/>
                <w:sz w:val="18"/>
                <w:szCs w:val="18"/>
              </w:rPr>
              <w:t>%</w:t>
            </w:r>
          </w:p>
        </w:tc>
        <w:tc>
          <w:tcPr>
            <w:tcW w:w="1334" w:type="dxa"/>
            <w:tcBorders>
              <w:top w:val="single" w:sz="4" w:space="0" w:color="auto"/>
            </w:tcBorders>
            <w:noWrap/>
            <w:hideMark/>
          </w:tcPr>
          <w:p w14:paraId="4DC45C6D" w14:textId="669B5344" w:rsidR="00A97C01" w:rsidRPr="00A87222" w:rsidRDefault="00D40360"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25</w:t>
            </w:r>
            <w:r w:rsidR="00A97C01" w:rsidRPr="00A87222">
              <w:rPr>
                <w:rFonts w:ascii="Calibri" w:eastAsia="Times New Roman" w:hAnsi="Calibri" w:cs="Times New Roman"/>
                <w:b w:val="0"/>
                <w:color w:val="000000"/>
                <w:sz w:val="18"/>
                <w:szCs w:val="18"/>
              </w:rPr>
              <w:t>%</w:t>
            </w:r>
          </w:p>
        </w:tc>
        <w:tc>
          <w:tcPr>
            <w:tcW w:w="1350" w:type="dxa"/>
            <w:tcBorders>
              <w:top w:val="single" w:sz="4" w:space="0" w:color="auto"/>
            </w:tcBorders>
            <w:noWrap/>
            <w:hideMark/>
          </w:tcPr>
          <w:p w14:paraId="011AB2E5" w14:textId="5CFF3946"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8</w:t>
            </w:r>
            <w:r w:rsidR="00A97C01" w:rsidRPr="00A87222">
              <w:rPr>
                <w:rFonts w:ascii="Calibri" w:eastAsia="Times New Roman" w:hAnsi="Calibri" w:cs="Times New Roman"/>
                <w:b w:val="0"/>
                <w:color w:val="000000"/>
                <w:sz w:val="18"/>
                <w:szCs w:val="18"/>
              </w:rPr>
              <w:t>%</w:t>
            </w:r>
          </w:p>
        </w:tc>
        <w:tc>
          <w:tcPr>
            <w:tcW w:w="1350" w:type="dxa"/>
            <w:tcBorders>
              <w:top w:val="single" w:sz="4" w:space="0" w:color="auto"/>
            </w:tcBorders>
            <w:noWrap/>
            <w:hideMark/>
          </w:tcPr>
          <w:p w14:paraId="784DA0E1" w14:textId="7D4F48A6"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26</w:t>
            </w:r>
            <w:r w:rsidR="00A97C01" w:rsidRPr="00A87222">
              <w:rPr>
                <w:rFonts w:ascii="Calibri" w:eastAsia="Times New Roman" w:hAnsi="Calibri" w:cs="Times New Roman"/>
                <w:b w:val="0"/>
                <w:color w:val="000000"/>
                <w:sz w:val="18"/>
                <w:szCs w:val="18"/>
              </w:rPr>
              <w:t>%</w:t>
            </w:r>
          </w:p>
        </w:tc>
        <w:tc>
          <w:tcPr>
            <w:tcW w:w="1350" w:type="dxa"/>
            <w:tcBorders>
              <w:top w:val="single" w:sz="4" w:space="0" w:color="auto"/>
            </w:tcBorders>
            <w:noWrap/>
            <w:hideMark/>
          </w:tcPr>
          <w:p w14:paraId="5521BF97" w14:textId="3B5EEB67" w:rsidR="00A97C01" w:rsidRPr="00A87222" w:rsidRDefault="00D40360"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w:t>
            </w:r>
            <w:r w:rsidR="00F411B9">
              <w:rPr>
                <w:rFonts w:ascii="Calibri" w:eastAsia="Times New Roman" w:hAnsi="Calibri" w:cs="Times New Roman"/>
                <w:b w:val="0"/>
                <w:color w:val="000000"/>
                <w:sz w:val="18"/>
                <w:szCs w:val="18"/>
              </w:rPr>
              <w:t>7</w:t>
            </w:r>
            <w:r w:rsidR="00A97C01" w:rsidRPr="00A87222">
              <w:rPr>
                <w:rFonts w:ascii="Calibri" w:eastAsia="Times New Roman" w:hAnsi="Calibri" w:cs="Times New Roman"/>
                <w:b w:val="0"/>
                <w:color w:val="000000"/>
                <w:sz w:val="18"/>
                <w:szCs w:val="18"/>
              </w:rPr>
              <w:t>%</w:t>
            </w:r>
          </w:p>
        </w:tc>
        <w:tc>
          <w:tcPr>
            <w:tcW w:w="1355" w:type="dxa"/>
            <w:tcBorders>
              <w:top w:val="single" w:sz="4" w:space="0" w:color="auto"/>
            </w:tcBorders>
            <w:noWrap/>
            <w:hideMark/>
          </w:tcPr>
          <w:p w14:paraId="0ABFDFCC" w14:textId="2E7D8F09" w:rsidR="00A97C01" w:rsidRPr="00A87222" w:rsidRDefault="00D40360"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w:t>
            </w:r>
            <w:r w:rsidR="00F411B9">
              <w:rPr>
                <w:rFonts w:ascii="Calibri" w:eastAsia="Times New Roman" w:hAnsi="Calibri" w:cs="Times New Roman"/>
                <w:b w:val="0"/>
                <w:color w:val="000000"/>
                <w:sz w:val="18"/>
                <w:szCs w:val="18"/>
              </w:rPr>
              <w:t>9</w:t>
            </w:r>
            <w:r w:rsidR="00A97C01" w:rsidRPr="00A87222">
              <w:rPr>
                <w:rFonts w:ascii="Calibri" w:eastAsia="Times New Roman" w:hAnsi="Calibri" w:cs="Times New Roman"/>
                <w:b w:val="0"/>
                <w:color w:val="000000"/>
                <w:sz w:val="18"/>
                <w:szCs w:val="18"/>
              </w:rPr>
              <w:t>%</w:t>
            </w:r>
          </w:p>
        </w:tc>
      </w:tr>
      <w:tr w:rsidR="00E647F4" w:rsidRPr="000F78D4" w14:paraId="0B4135D7"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right w:val="nil"/>
            </w:tcBorders>
            <w:noWrap/>
            <w:hideMark/>
          </w:tcPr>
          <w:p w14:paraId="5EA79C92" w14:textId="77777777" w:rsidR="00A97C01" w:rsidRPr="000A28AD" w:rsidRDefault="00A97C01" w:rsidP="001631F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Benefits per worker</w:t>
            </w:r>
          </w:p>
        </w:tc>
        <w:tc>
          <w:tcPr>
            <w:tcW w:w="902" w:type="dxa"/>
            <w:tcBorders>
              <w:left w:val="nil"/>
            </w:tcBorders>
            <w:noWrap/>
            <w:hideMark/>
          </w:tcPr>
          <w:p w14:paraId="5F2E65D4" w14:textId="6E167BCD"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3</w:t>
            </w:r>
            <w:r w:rsidR="00A97C01" w:rsidRPr="00A87222">
              <w:rPr>
                <w:rFonts w:ascii="Calibri" w:eastAsia="Times New Roman" w:hAnsi="Calibri" w:cs="Times New Roman"/>
                <w:b w:val="0"/>
                <w:color w:val="000000"/>
                <w:sz w:val="18"/>
                <w:szCs w:val="18"/>
              </w:rPr>
              <w:t>%</w:t>
            </w:r>
          </w:p>
        </w:tc>
        <w:tc>
          <w:tcPr>
            <w:tcW w:w="1334" w:type="dxa"/>
            <w:noWrap/>
            <w:hideMark/>
          </w:tcPr>
          <w:p w14:paraId="12055939" w14:textId="42C58D00"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50</w:t>
            </w:r>
            <w:r w:rsidR="00A97C01" w:rsidRPr="00A87222">
              <w:rPr>
                <w:rFonts w:ascii="Calibri" w:eastAsia="Times New Roman" w:hAnsi="Calibri" w:cs="Times New Roman"/>
                <w:b w:val="0"/>
                <w:color w:val="000000"/>
                <w:sz w:val="18"/>
                <w:szCs w:val="18"/>
              </w:rPr>
              <w:t>%</w:t>
            </w:r>
          </w:p>
        </w:tc>
        <w:tc>
          <w:tcPr>
            <w:tcW w:w="1350" w:type="dxa"/>
            <w:noWrap/>
            <w:hideMark/>
          </w:tcPr>
          <w:p w14:paraId="723CA610" w14:textId="0EFB9686" w:rsidR="00A97C01" w:rsidRPr="00A87222" w:rsidRDefault="00D40360"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9</w:t>
            </w:r>
            <w:r w:rsidR="00A97C01" w:rsidRPr="00A87222">
              <w:rPr>
                <w:rFonts w:ascii="Calibri" w:eastAsia="Times New Roman" w:hAnsi="Calibri" w:cs="Times New Roman"/>
                <w:b w:val="0"/>
                <w:color w:val="000000"/>
                <w:sz w:val="18"/>
                <w:szCs w:val="18"/>
              </w:rPr>
              <w:t>%</w:t>
            </w:r>
          </w:p>
        </w:tc>
        <w:tc>
          <w:tcPr>
            <w:tcW w:w="1350" w:type="dxa"/>
            <w:noWrap/>
            <w:hideMark/>
          </w:tcPr>
          <w:p w14:paraId="1BBBA329" w14:textId="43B8F30E"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14</w:t>
            </w:r>
            <w:r w:rsidR="00A97C01" w:rsidRPr="00A87222">
              <w:rPr>
                <w:rFonts w:ascii="Calibri" w:eastAsia="Times New Roman" w:hAnsi="Calibri" w:cs="Times New Roman"/>
                <w:b w:val="0"/>
                <w:color w:val="000000"/>
                <w:sz w:val="18"/>
                <w:szCs w:val="18"/>
              </w:rPr>
              <w:t>%</w:t>
            </w:r>
          </w:p>
        </w:tc>
        <w:tc>
          <w:tcPr>
            <w:tcW w:w="1350" w:type="dxa"/>
            <w:noWrap/>
            <w:hideMark/>
          </w:tcPr>
          <w:p w14:paraId="086F0C60" w14:textId="0BC8A893"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15</w:t>
            </w:r>
            <w:r w:rsidR="00A97C01" w:rsidRPr="00A87222">
              <w:rPr>
                <w:rFonts w:ascii="Calibri" w:eastAsia="Times New Roman" w:hAnsi="Calibri" w:cs="Times New Roman"/>
                <w:b w:val="0"/>
                <w:color w:val="000000"/>
                <w:sz w:val="18"/>
                <w:szCs w:val="18"/>
              </w:rPr>
              <w:t>%</w:t>
            </w:r>
          </w:p>
        </w:tc>
        <w:tc>
          <w:tcPr>
            <w:tcW w:w="1355" w:type="dxa"/>
            <w:noWrap/>
            <w:hideMark/>
          </w:tcPr>
          <w:p w14:paraId="273A865C" w14:textId="39E62DA0" w:rsidR="00A97C01" w:rsidRPr="00A87222" w:rsidRDefault="00F411B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10</w:t>
            </w:r>
            <w:r w:rsidR="00A97C01" w:rsidRPr="00A87222">
              <w:rPr>
                <w:rFonts w:ascii="Calibri" w:eastAsia="Times New Roman" w:hAnsi="Calibri" w:cs="Times New Roman"/>
                <w:b w:val="0"/>
                <w:color w:val="000000"/>
                <w:sz w:val="18"/>
                <w:szCs w:val="18"/>
              </w:rPr>
              <w:t>%</w:t>
            </w:r>
          </w:p>
        </w:tc>
      </w:tr>
    </w:tbl>
    <w:p w14:paraId="5FBB3858" w14:textId="77777777" w:rsidR="00A97C01" w:rsidRDefault="00A97C01" w:rsidP="009B3DF5">
      <w:pPr>
        <w:spacing w:after="0" w:line="72" w:lineRule="auto"/>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Caption w:val="Business Expectations for 2020"/>
        <w:tblDescription w:val="Minnesota business services firms expect unchanged or declining conditions for the coming year. Seventy-eight percent anticipate unchanged space occupied and 74 expect constant selling prices. Sixty-seven percent foresee unchanged labor availability. Nonetheless, nearly half of respondents expect a decline in profits while 43 percent anticipate a decline in sales revenue. All diffusion indexes were below 50 indicating contraction with profits showing the greatest decline at 34, compared to 62 the year before.&#10;"/>
      </w:tblPr>
      <w:tblGrid>
        <w:gridCol w:w="3775"/>
        <w:gridCol w:w="1440"/>
        <w:gridCol w:w="1350"/>
        <w:gridCol w:w="1260"/>
        <w:gridCol w:w="1350"/>
        <w:gridCol w:w="1355"/>
      </w:tblGrid>
      <w:tr w:rsidR="00A97C01" w:rsidRPr="000A28AD" w14:paraId="2A762DD6" w14:textId="77777777"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shd w:val="clear" w:color="auto" w:fill="BDD6EE" w:themeFill="accent1" w:themeFillTint="66"/>
            <w:noWrap/>
            <w:hideMark/>
          </w:tcPr>
          <w:p w14:paraId="2C6D6D80" w14:textId="0023EA23" w:rsidR="00A97C01" w:rsidRPr="000A28AD" w:rsidRDefault="00722892" w:rsidP="001631F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Expected business i</w:t>
            </w:r>
            <w:r w:rsidR="00584451">
              <w:rPr>
                <w:rFonts w:ascii="Calibri" w:eastAsia="Times New Roman" w:hAnsi="Calibri" w:cs="Times New Roman"/>
                <w:color w:val="000000"/>
                <w:sz w:val="18"/>
                <w:szCs w:val="18"/>
              </w:rPr>
              <w:t xml:space="preserve">ndicators during next </w:t>
            </w:r>
            <w:r w:rsidR="007C7CDC">
              <w:rPr>
                <w:rFonts w:ascii="Calibri" w:eastAsia="Times New Roman" w:hAnsi="Calibri" w:cs="Times New Roman"/>
                <w:color w:val="000000"/>
                <w:sz w:val="18"/>
                <w:szCs w:val="18"/>
              </w:rPr>
              <w:t>year</w:t>
            </w:r>
          </w:p>
        </w:tc>
        <w:tc>
          <w:tcPr>
            <w:tcW w:w="1440" w:type="dxa"/>
            <w:tcBorders>
              <w:top w:val="single" w:sz="4" w:space="0" w:color="auto"/>
              <w:bottom w:val="single" w:sz="4" w:space="0" w:color="auto"/>
            </w:tcBorders>
            <w:shd w:val="clear" w:color="auto" w:fill="BDD6EE" w:themeFill="accent1" w:themeFillTint="66"/>
            <w:noWrap/>
            <w:hideMark/>
          </w:tcPr>
          <w:p w14:paraId="7D0E7FB1"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Up</w:t>
            </w:r>
          </w:p>
        </w:tc>
        <w:tc>
          <w:tcPr>
            <w:tcW w:w="1350" w:type="dxa"/>
            <w:tcBorders>
              <w:top w:val="single" w:sz="4" w:space="0" w:color="auto"/>
              <w:bottom w:val="single" w:sz="4" w:space="0" w:color="auto"/>
            </w:tcBorders>
            <w:shd w:val="clear" w:color="auto" w:fill="BDD6EE" w:themeFill="accent1" w:themeFillTint="66"/>
            <w:noWrap/>
            <w:hideMark/>
          </w:tcPr>
          <w:p w14:paraId="3045B259"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Same</w:t>
            </w:r>
          </w:p>
        </w:tc>
        <w:tc>
          <w:tcPr>
            <w:tcW w:w="1260" w:type="dxa"/>
            <w:tcBorders>
              <w:top w:val="single" w:sz="4" w:space="0" w:color="auto"/>
              <w:bottom w:val="single" w:sz="4" w:space="0" w:color="auto"/>
            </w:tcBorders>
            <w:shd w:val="clear" w:color="auto" w:fill="BDD6EE" w:themeFill="accent1" w:themeFillTint="66"/>
            <w:noWrap/>
            <w:hideMark/>
          </w:tcPr>
          <w:p w14:paraId="7CD7BC59" w14:textId="77777777" w:rsidR="00A97C01" w:rsidRPr="000A28AD" w:rsidRDefault="00A97C01"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Down</w:t>
            </w:r>
          </w:p>
        </w:tc>
        <w:tc>
          <w:tcPr>
            <w:tcW w:w="1350" w:type="dxa"/>
            <w:tcBorders>
              <w:top w:val="single" w:sz="4" w:space="0" w:color="auto"/>
              <w:bottom w:val="single" w:sz="4" w:space="0" w:color="auto"/>
            </w:tcBorders>
            <w:shd w:val="clear" w:color="auto" w:fill="BDD6EE" w:themeFill="accent1" w:themeFillTint="66"/>
            <w:noWrap/>
            <w:hideMark/>
          </w:tcPr>
          <w:p w14:paraId="7B618F20" w14:textId="7B2265CA" w:rsidR="00A97C01" w:rsidRPr="00A72C89" w:rsidRDefault="00391C6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A72C89">
              <w:rPr>
                <w:rFonts w:ascii="Calibri" w:eastAsia="Times New Roman" w:hAnsi="Calibri" w:cs="Times New Roman"/>
                <w:sz w:val="18"/>
                <w:szCs w:val="18"/>
              </w:rPr>
              <w:t xml:space="preserve">Diffusion </w:t>
            </w:r>
            <w:r w:rsidR="00A47862">
              <w:rPr>
                <w:rFonts w:ascii="Calibri" w:eastAsia="Times New Roman" w:hAnsi="Calibri" w:cs="Times New Roman"/>
                <w:sz w:val="18"/>
                <w:szCs w:val="18"/>
              </w:rPr>
              <w:t>i</w:t>
            </w:r>
            <w:r w:rsidRPr="00A72C89">
              <w:rPr>
                <w:rFonts w:ascii="Calibri" w:eastAsia="Times New Roman" w:hAnsi="Calibri" w:cs="Times New Roman"/>
                <w:sz w:val="18"/>
                <w:szCs w:val="18"/>
              </w:rPr>
              <w:t>ndex 202</w:t>
            </w:r>
            <w:r w:rsidR="00F411B9">
              <w:rPr>
                <w:rFonts w:ascii="Calibri" w:eastAsia="Times New Roman" w:hAnsi="Calibri" w:cs="Times New Roman"/>
                <w:sz w:val="18"/>
                <w:szCs w:val="18"/>
              </w:rPr>
              <w:t>3</w:t>
            </w:r>
            <w:r w:rsidR="00AE0EFF" w:rsidRPr="00A72C89">
              <w:rPr>
                <w:rFonts w:ascii="Calibri" w:eastAsia="Times New Roman" w:hAnsi="Calibri" w:cs="Times New Roman"/>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14:paraId="68BCB4EF" w14:textId="51C30039" w:rsidR="00A97C01" w:rsidRPr="00A72C89" w:rsidRDefault="00391C69"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A72C89">
              <w:rPr>
                <w:rFonts w:ascii="Calibri" w:eastAsia="Times New Roman" w:hAnsi="Calibri" w:cs="Times New Roman"/>
                <w:sz w:val="18"/>
                <w:szCs w:val="18"/>
              </w:rPr>
              <w:t xml:space="preserve">Diffusion </w:t>
            </w:r>
            <w:r w:rsidR="00A47862">
              <w:rPr>
                <w:rFonts w:ascii="Calibri" w:eastAsia="Times New Roman" w:hAnsi="Calibri" w:cs="Times New Roman"/>
                <w:sz w:val="18"/>
                <w:szCs w:val="18"/>
              </w:rPr>
              <w:t>i</w:t>
            </w:r>
            <w:r w:rsidRPr="00A72C89">
              <w:rPr>
                <w:rFonts w:ascii="Calibri" w:eastAsia="Times New Roman" w:hAnsi="Calibri" w:cs="Times New Roman"/>
                <w:sz w:val="18"/>
                <w:szCs w:val="18"/>
              </w:rPr>
              <w:t>ndex 20</w:t>
            </w:r>
            <w:r w:rsidR="00A72C89" w:rsidRPr="00A72C89">
              <w:rPr>
                <w:rFonts w:ascii="Calibri" w:eastAsia="Times New Roman" w:hAnsi="Calibri" w:cs="Times New Roman"/>
                <w:sz w:val="18"/>
                <w:szCs w:val="18"/>
              </w:rPr>
              <w:t>2</w:t>
            </w:r>
            <w:r w:rsidR="00F411B9">
              <w:rPr>
                <w:rFonts w:ascii="Calibri" w:eastAsia="Times New Roman" w:hAnsi="Calibri" w:cs="Times New Roman"/>
                <w:sz w:val="18"/>
                <w:szCs w:val="18"/>
              </w:rPr>
              <w:t>2</w:t>
            </w:r>
            <w:r w:rsidR="00AE0EFF" w:rsidRPr="00A72C89">
              <w:rPr>
                <w:rFonts w:ascii="Calibri" w:eastAsia="Times New Roman" w:hAnsi="Calibri" w:cs="Times New Roman"/>
                <w:sz w:val="18"/>
                <w:szCs w:val="18"/>
                <w:vertAlign w:val="superscript"/>
              </w:rPr>
              <w:t>(2)</w:t>
            </w:r>
          </w:p>
        </w:tc>
      </w:tr>
      <w:tr w:rsidR="00391C69" w:rsidRPr="000A28AD" w14:paraId="4C9ED75D"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noWrap/>
            <w:hideMark/>
          </w:tcPr>
          <w:p w14:paraId="12C92BA2" w14:textId="77777777"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Sales revenue</w:t>
            </w:r>
          </w:p>
        </w:tc>
        <w:tc>
          <w:tcPr>
            <w:tcW w:w="1440" w:type="dxa"/>
            <w:tcBorders>
              <w:top w:val="single" w:sz="4" w:space="0" w:color="auto"/>
            </w:tcBorders>
            <w:noWrap/>
            <w:hideMark/>
          </w:tcPr>
          <w:p w14:paraId="4A9BA4DE" w14:textId="64C02974"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F411B9">
              <w:rPr>
                <w:rFonts w:ascii="Calibri" w:eastAsia="Times New Roman" w:hAnsi="Calibri" w:cs="Times New Roman"/>
                <w:color w:val="000000"/>
                <w:sz w:val="18"/>
                <w:szCs w:val="18"/>
              </w:rPr>
              <w:t>6</w:t>
            </w:r>
            <w:r w:rsidR="00391C69" w:rsidRPr="00A87222">
              <w:rPr>
                <w:rFonts w:ascii="Calibri" w:eastAsia="Times New Roman" w:hAnsi="Calibri" w:cs="Times New Roman"/>
                <w:color w:val="000000"/>
                <w:sz w:val="18"/>
                <w:szCs w:val="18"/>
              </w:rPr>
              <w:t>%</w:t>
            </w:r>
          </w:p>
        </w:tc>
        <w:tc>
          <w:tcPr>
            <w:tcW w:w="1350" w:type="dxa"/>
            <w:tcBorders>
              <w:top w:val="single" w:sz="4" w:space="0" w:color="auto"/>
            </w:tcBorders>
            <w:noWrap/>
            <w:hideMark/>
          </w:tcPr>
          <w:p w14:paraId="5010A945" w14:textId="07A6CEB7"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F411B9">
              <w:rPr>
                <w:rFonts w:ascii="Calibri" w:eastAsia="Times New Roman" w:hAnsi="Calibri" w:cs="Times New Roman"/>
                <w:color w:val="000000"/>
                <w:sz w:val="18"/>
                <w:szCs w:val="18"/>
              </w:rPr>
              <w:t>3</w:t>
            </w:r>
            <w:r w:rsidR="00391C69" w:rsidRPr="00A87222">
              <w:rPr>
                <w:rFonts w:ascii="Calibri" w:eastAsia="Times New Roman" w:hAnsi="Calibri" w:cs="Times New Roman"/>
                <w:color w:val="000000"/>
                <w:sz w:val="18"/>
                <w:szCs w:val="18"/>
              </w:rPr>
              <w:t>%</w:t>
            </w:r>
          </w:p>
        </w:tc>
        <w:tc>
          <w:tcPr>
            <w:tcW w:w="1260" w:type="dxa"/>
            <w:tcBorders>
              <w:top w:val="single" w:sz="4" w:space="0" w:color="auto"/>
            </w:tcBorders>
            <w:noWrap/>
            <w:hideMark/>
          </w:tcPr>
          <w:p w14:paraId="2A3AA6FE" w14:textId="373572F9"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r w:rsidR="00391C69" w:rsidRPr="00A87222">
              <w:rPr>
                <w:rFonts w:ascii="Calibri" w:eastAsia="Times New Roman" w:hAnsi="Calibri" w:cs="Times New Roman"/>
                <w:color w:val="000000"/>
                <w:sz w:val="18"/>
                <w:szCs w:val="18"/>
              </w:rPr>
              <w:t>%</w:t>
            </w:r>
          </w:p>
        </w:tc>
        <w:tc>
          <w:tcPr>
            <w:tcW w:w="1350" w:type="dxa"/>
            <w:tcBorders>
              <w:top w:val="single" w:sz="4" w:space="0" w:color="auto"/>
            </w:tcBorders>
            <w:noWrap/>
            <w:hideMark/>
          </w:tcPr>
          <w:p w14:paraId="27251978" w14:textId="5764B1DE"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58</w:t>
            </w:r>
          </w:p>
        </w:tc>
        <w:tc>
          <w:tcPr>
            <w:tcW w:w="1355" w:type="dxa"/>
            <w:tcBorders>
              <w:top w:val="single" w:sz="4" w:space="0" w:color="auto"/>
            </w:tcBorders>
            <w:noWrap/>
            <w:hideMark/>
          </w:tcPr>
          <w:p w14:paraId="554ED71A" w14:textId="5E1FA309"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58</w:t>
            </w:r>
          </w:p>
        </w:tc>
      </w:tr>
      <w:tr w:rsidR="00391C69" w:rsidRPr="000A28AD" w14:paraId="0E714465"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4B8D93D" w14:textId="77777777"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Profits</w:t>
            </w:r>
          </w:p>
        </w:tc>
        <w:tc>
          <w:tcPr>
            <w:tcW w:w="1440" w:type="dxa"/>
            <w:noWrap/>
            <w:hideMark/>
          </w:tcPr>
          <w:p w14:paraId="4272B374" w14:textId="6E2115FE"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F411B9">
              <w:rPr>
                <w:rFonts w:ascii="Calibri" w:eastAsia="Times New Roman" w:hAnsi="Calibri" w:cs="Times New Roman"/>
                <w:color w:val="000000"/>
                <w:sz w:val="18"/>
                <w:szCs w:val="18"/>
              </w:rPr>
              <w:t>8</w:t>
            </w:r>
            <w:r w:rsidR="00391C69" w:rsidRPr="00A87222">
              <w:rPr>
                <w:rFonts w:ascii="Calibri" w:eastAsia="Times New Roman" w:hAnsi="Calibri" w:cs="Times New Roman"/>
                <w:color w:val="000000"/>
                <w:sz w:val="18"/>
                <w:szCs w:val="18"/>
              </w:rPr>
              <w:t>%</w:t>
            </w:r>
          </w:p>
        </w:tc>
        <w:tc>
          <w:tcPr>
            <w:tcW w:w="1350" w:type="dxa"/>
            <w:noWrap/>
            <w:hideMark/>
          </w:tcPr>
          <w:p w14:paraId="455B4F1E" w14:textId="1C2B193F"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F411B9">
              <w:rPr>
                <w:rFonts w:ascii="Calibri" w:eastAsia="Times New Roman" w:hAnsi="Calibri" w:cs="Times New Roman"/>
                <w:color w:val="000000"/>
                <w:sz w:val="18"/>
                <w:szCs w:val="18"/>
              </w:rPr>
              <w:t>4</w:t>
            </w:r>
            <w:r w:rsidR="00391C69" w:rsidRPr="00A87222">
              <w:rPr>
                <w:rFonts w:ascii="Calibri" w:eastAsia="Times New Roman" w:hAnsi="Calibri" w:cs="Times New Roman"/>
                <w:color w:val="000000"/>
                <w:sz w:val="18"/>
                <w:szCs w:val="18"/>
              </w:rPr>
              <w:t>%</w:t>
            </w:r>
          </w:p>
        </w:tc>
        <w:tc>
          <w:tcPr>
            <w:tcW w:w="1260" w:type="dxa"/>
            <w:noWrap/>
            <w:hideMark/>
          </w:tcPr>
          <w:p w14:paraId="5AF713E7" w14:textId="74ACB091" w:rsidR="00391C69" w:rsidRPr="00A87222" w:rsidRDefault="00A2685D"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A87222">
              <w:rPr>
                <w:rFonts w:ascii="Calibri" w:eastAsia="Times New Roman" w:hAnsi="Calibri" w:cs="Times New Roman"/>
                <w:color w:val="000000"/>
                <w:sz w:val="18"/>
                <w:szCs w:val="18"/>
              </w:rPr>
              <w:t>2</w:t>
            </w:r>
            <w:r w:rsidR="00D40360">
              <w:rPr>
                <w:rFonts w:ascii="Calibri" w:eastAsia="Times New Roman" w:hAnsi="Calibri" w:cs="Times New Roman"/>
                <w:color w:val="000000"/>
                <w:sz w:val="18"/>
                <w:szCs w:val="18"/>
              </w:rPr>
              <w:t>7</w:t>
            </w:r>
            <w:r w:rsidR="00391C69" w:rsidRPr="00A87222">
              <w:rPr>
                <w:rFonts w:ascii="Calibri" w:eastAsia="Times New Roman" w:hAnsi="Calibri" w:cs="Times New Roman"/>
                <w:color w:val="000000"/>
                <w:sz w:val="18"/>
                <w:szCs w:val="18"/>
              </w:rPr>
              <w:t>%</w:t>
            </w:r>
          </w:p>
        </w:tc>
        <w:tc>
          <w:tcPr>
            <w:tcW w:w="1350" w:type="dxa"/>
            <w:noWrap/>
            <w:hideMark/>
          </w:tcPr>
          <w:p w14:paraId="53C3753C" w14:textId="56ABDE33" w:rsidR="00391C69" w:rsidRPr="00A87222" w:rsidRDefault="00A72C8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A87222">
              <w:rPr>
                <w:rFonts w:ascii="Calibri" w:eastAsia="Times New Roman" w:hAnsi="Calibri" w:cs="Times New Roman"/>
                <w:sz w:val="18"/>
                <w:szCs w:val="18"/>
              </w:rPr>
              <w:t>5</w:t>
            </w:r>
            <w:r w:rsidR="00F411B9">
              <w:rPr>
                <w:rFonts w:ascii="Calibri" w:eastAsia="Times New Roman" w:hAnsi="Calibri" w:cs="Times New Roman"/>
                <w:sz w:val="18"/>
                <w:szCs w:val="18"/>
              </w:rPr>
              <w:t>0</w:t>
            </w:r>
          </w:p>
        </w:tc>
        <w:tc>
          <w:tcPr>
            <w:tcW w:w="1355" w:type="dxa"/>
            <w:noWrap/>
            <w:hideMark/>
          </w:tcPr>
          <w:p w14:paraId="0C75635B" w14:textId="0F964AA0"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w:t>
            </w:r>
            <w:r w:rsidR="00F411B9">
              <w:rPr>
                <w:rFonts w:ascii="Calibri" w:eastAsia="Times New Roman" w:hAnsi="Calibri" w:cs="Times New Roman"/>
                <w:sz w:val="18"/>
                <w:szCs w:val="18"/>
              </w:rPr>
              <w:t>1</w:t>
            </w:r>
          </w:p>
        </w:tc>
      </w:tr>
      <w:tr w:rsidR="00391C69" w:rsidRPr="000A28AD" w14:paraId="70306819"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A59A239" w14:textId="77777777"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Productivity</w:t>
            </w:r>
          </w:p>
        </w:tc>
        <w:tc>
          <w:tcPr>
            <w:tcW w:w="1440" w:type="dxa"/>
            <w:noWrap/>
            <w:hideMark/>
          </w:tcPr>
          <w:p w14:paraId="4BB11BC7" w14:textId="4F0F0C67"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F411B9">
              <w:rPr>
                <w:rFonts w:ascii="Calibri" w:eastAsia="Times New Roman" w:hAnsi="Calibri" w:cs="Times New Roman"/>
                <w:color w:val="000000"/>
                <w:sz w:val="18"/>
                <w:szCs w:val="18"/>
              </w:rPr>
              <w:t>4</w:t>
            </w:r>
            <w:r w:rsidR="00391C69" w:rsidRPr="00A87222">
              <w:rPr>
                <w:rFonts w:ascii="Calibri" w:eastAsia="Times New Roman" w:hAnsi="Calibri" w:cs="Times New Roman"/>
                <w:color w:val="000000"/>
                <w:sz w:val="18"/>
                <w:szCs w:val="18"/>
              </w:rPr>
              <w:t>%</w:t>
            </w:r>
          </w:p>
        </w:tc>
        <w:tc>
          <w:tcPr>
            <w:tcW w:w="1350" w:type="dxa"/>
            <w:noWrap/>
            <w:hideMark/>
          </w:tcPr>
          <w:p w14:paraId="64838E89" w14:textId="4C4F6A96"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F411B9">
              <w:rPr>
                <w:rFonts w:ascii="Calibri" w:eastAsia="Times New Roman" w:hAnsi="Calibri" w:cs="Times New Roman"/>
                <w:color w:val="000000"/>
                <w:sz w:val="18"/>
                <w:szCs w:val="18"/>
              </w:rPr>
              <w:t>4</w:t>
            </w:r>
            <w:r w:rsidR="00391C69" w:rsidRPr="00A87222">
              <w:rPr>
                <w:rFonts w:ascii="Calibri" w:eastAsia="Times New Roman" w:hAnsi="Calibri" w:cs="Times New Roman"/>
                <w:color w:val="000000"/>
                <w:sz w:val="18"/>
                <w:szCs w:val="18"/>
              </w:rPr>
              <w:t>%</w:t>
            </w:r>
          </w:p>
        </w:tc>
        <w:tc>
          <w:tcPr>
            <w:tcW w:w="1260" w:type="dxa"/>
            <w:noWrap/>
            <w:hideMark/>
          </w:tcPr>
          <w:p w14:paraId="26001788" w14:textId="552901E3" w:rsidR="00391C69" w:rsidRPr="00A87222" w:rsidRDefault="00A2685D"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A87222">
              <w:rPr>
                <w:rFonts w:ascii="Calibri" w:eastAsia="Times New Roman" w:hAnsi="Calibri" w:cs="Times New Roman"/>
                <w:color w:val="000000"/>
                <w:sz w:val="18"/>
                <w:szCs w:val="18"/>
              </w:rPr>
              <w:t>1</w:t>
            </w:r>
            <w:r w:rsidR="00F411B9">
              <w:rPr>
                <w:rFonts w:ascii="Calibri" w:eastAsia="Times New Roman" w:hAnsi="Calibri" w:cs="Times New Roman"/>
                <w:color w:val="000000"/>
                <w:sz w:val="18"/>
                <w:szCs w:val="18"/>
              </w:rPr>
              <w:t>1</w:t>
            </w:r>
            <w:r w:rsidR="00391C69" w:rsidRPr="00A87222">
              <w:rPr>
                <w:rFonts w:ascii="Calibri" w:eastAsia="Times New Roman" w:hAnsi="Calibri" w:cs="Times New Roman"/>
                <w:color w:val="000000"/>
                <w:sz w:val="18"/>
                <w:szCs w:val="18"/>
              </w:rPr>
              <w:t>%</w:t>
            </w:r>
          </w:p>
        </w:tc>
        <w:tc>
          <w:tcPr>
            <w:tcW w:w="1350" w:type="dxa"/>
            <w:noWrap/>
            <w:hideMark/>
          </w:tcPr>
          <w:p w14:paraId="6C937640" w14:textId="561B21CE"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w:t>
            </w:r>
            <w:r w:rsidR="00F411B9">
              <w:rPr>
                <w:rFonts w:ascii="Calibri" w:eastAsia="Times New Roman" w:hAnsi="Calibri" w:cs="Times New Roman"/>
                <w:sz w:val="18"/>
                <w:szCs w:val="18"/>
              </w:rPr>
              <w:t>6</w:t>
            </w:r>
          </w:p>
        </w:tc>
        <w:tc>
          <w:tcPr>
            <w:tcW w:w="1355" w:type="dxa"/>
            <w:noWrap/>
            <w:hideMark/>
          </w:tcPr>
          <w:p w14:paraId="702C57C7" w14:textId="3AA38911"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55</w:t>
            </w:r>
          </w:p>
        </w:tc>
      </w:tr>
      <w:tr w:rsidR="00391C69" w:rsidRPr="000A28AD" w14:paraId="3D45BA6C"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C167C33" w14:textId="77777777"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Employment level</w:t>
            </w:r>
          </w:p>
        </w:tc>
        <w:tc>
          <w:tcPr>
            <w:tcW w:w="1440" w:type="dxa"/>
            <w:noWrap/>
            <w:hideMark/>
          </w:tcPr>
          <w:p w14:paraId="55A76068" w14:textId="365DC0BE"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F411B9">
              <w:rPr>
                <w:rFonts w:ascii="Calibri" w:eastAsia="Times New Roman" w:hAnsi="Calibri" w:cs="Times New Roman"/>
                <w:color w:val="000000"/>
                <w:sz w:val="18"/>
                <w:szCs w:val="18"/>
              </w:rPr>
              <w:t>6</w:t>
            </w:r>
            <w:r w:rsidR="00391C69" w:rsidRPr="00A87222">
              <w:rPr>
                <w:rFonts w:ascii="Calibri" w:eastAsia="Times New Roman" w:hAnsi="Calibri" w:cs="Times New Roman"/>
                <w:color w:val="000000"/>
                <w:sz w:val="18"/>
                <w:szCs w:val="18"/>
              </w:rPr>
              <w:t>%</w:t>
            </w:r>
          </w:p>
        </w:tc>
        <w:tc>
          <w:tcPr>
            <w:tcW w:w="1350" w:type="dxa"/>
            <w:noWrap/>
            <w:hideMark/>
          </w:tcPr>
          <w:p w14:paraId="112A523F" w14:textId="3E711FB8"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F411B9">
              <w:rPr>
                <w:rFonts w:ascii="Calibri" w:eastAsia="Times New Roman" w:hAnsi="Calibri" w:cs="Times New Roman"/>
                <w:color w:val="000000"/>
                <w:sz w:val="18"/>
                <w:szCs w:val="18"/>
              </w:rPr>
              <w:t>2</w:t>
            </w:r>
            <w:r w:rsidR="00391C69" w:rsidRPr="00A87222">
              <w:rPr>
                <w:rFonts w:ascii="Calibri" w:eastAsia="Times New Roman" w:hAnsi="Calibri" w:cs="Times New Roman"/>
                <w:color w:val="000000"/>
                <w:sz w:val="18"/>
                <w:szCs w:val="18"/>
              </w:rPr>
              <w:t>%</w:t>
            </w:r>
          </w:p>
        </w:tc>
        <w:tc>
          <w:tcPr>
            <w:tcW w:w="1260" w:type="dxa"/>
            <w:noWrap/>
            <w:hideMark/>
          </w:tcPr>
          <w:p w14:paraId="1FA1F3E9" w14:textId="269DC6B6" w:rsidR="00391C69" w:rsidRPr="00A87222" w:rsidRDefault="00A2685D"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A87222">
              <w:rPr>
                <w:rFonts w:ascii="Calibri" w:eastAsia="Times New Roman" w:hAnsi="Calibri" w:cs="Times New Roman"/>
                <w:color w:val="000000"/>
                <w:sz w:val="18"/>
                <w:szCs w:val="18"/>
              </w:rPr>
              <w:t>1</w:t>
            </w:r>
            <w:r w:rsidR="00F411B9">
              <w:rPr>
                <w:rFonts w:ascii="Calibri" w:eastAsia="Times New Roman" w:hAnsi="Calibri" w:cs="Times New Roman"/>
                <w:color w:val="000000"/>
                <w:sz w:val="18"/>
                <w:szCs w:val="18"/>
              </w:rPr>
              <w:t>2</w:t>
            </w:r>
            <w:r w:rsidR="00391C69" w:rsidRPr="00A87222">
              <w:rPr>
                <w:rFonts w:ascii="Calibri" w:eastAsia="Times New Roman" w:hAnsi="Calibri" w:cs="Times New Roman"/>
                <w:color w:val="000000"/>
                <w:sz w:val="18"/>
                <w:szCs w:val="18"/>
              </w:rPr>
              <w:t>%</w:t>
            </w:r>
          </w:p>
        </w:tc>
        <w:tc>
          <w:tcPr>
            <w:tcW w:w="1350" w:type="dxa"/>
            <w:noWrap/>
            <w:hideMark/>
          </w:tcPr>
          <w:p w14:paraId="2316EDE4" w14:textId="713166EB" w:rsidR="00391C69" w:rsidRPr="00A87222" w:rsidRDefault="00A72C8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A87222">
              <w:rPr>
                <w:rFonts w:ascii="Calibri" w:eastAsia="Times New Roman" w:hAnsi="Calibri" w:cs="Times New Roman"/>
                <w:sz w:val="18"/>
                <w:szCs w:val="18"/>
              </w:rPr>
              <w:t>5</w:t>
            </w:r>
            <w:r w:rsidR="00F411B9">
              <w:rPr>
                <w:rFonts w:ascii="Calibri" w:eastAsia="Times New Roman" w:hAnsi="Calibri" w:cs="Times New Roman"/>
                <w:sz w:val="18"/>
                <w:szCs w:val="18"/>
              </w:rPr>
              <w:t>2</w:t>
            </w:r>
          </w:p>
        </w:tc>
        <w:tc>
          <w:tcPr>
            <w:tcW w:w="1355" w:type="dxa"/>
            <w:noWrap/>
            <w:hideMark/>
          </w:tcPr>
          <w:p w14:paraId="41B0F8CD" w14:textId="74B2D8CB"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55</w:t>
            </w:r>
          </w:p>
        </w:tc>
      </w:tr>
      <w:tr w:rsidR="00391C69" w:rsidRPr="000A28AD" w14:paraId="6260106F"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70D94EE" w14:textId="77777777"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Labor availability</w:t>
            </w:r>
          </w:p>
        </w:tc>
        <w:tc>
          <w:tcPr>
            <w:tcW w:w="1440" w:type="dxa"/>
            <w:noWrap/>
            <w:hideMark/>
          </w:tcPr>
          <w:p w14:paraId="1F17442E" w14:textId="157AAF11"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391C69" w:rsidRPr="00A87222">
              <w:rPr>
                <w:rFonts w:ascii="Calibri" w:eastAsia="Times New Roman" w:hAnsi="Calibri" w:cs="Times New Roman"/>
                <w:color w:val="000000"/>
                <w:sz w:val="18"/>
                <w:szCs w:val="18"/>
              </w:rPr>
              <w:t>%</w:t>
            </w:r>
          </w:p>
        </w:tc>
        <w:tc>
          <w:tcPr>
            <w:tcW w:w="1350" w:type="dxa"/>
            <w:noWrap/>
            <w:hideMark/>
          </w:tcPr>
          <w:p w14:paraId="5A9F6AC2" w14:textId="3602F1A8" w:rsidR="00391C69" w:rsidRPr="00A87222" w:rsidRDefault="00391C6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A87222">
              <w:rPr>
                <w:rFonts w:ascii="Calibri" w:eastAsia="Times New Roman" w:hAnsi="Calibri" w:cs="Times New Roman"/>
                <w:color w:val="000000"/>
                <w:sz w:val="18"/>
                <w:szCs w:val="18"/>
              </w:rPr>
              <w:t>6</w:t>
            </w:r>
            <w:r w:rsidR="00F411B9">
              <w:rPr>
                <w:rFonts w:ascii="Calibri" w:eastAsia="Times New Roman" w:hAnsi="Calibri" w:cs="Times New Roman"/>
                <w:color w:val="000000"/>
                <w:sz w:val="18"/>
                <w:szCs w:val="18"/>
              </w:rPr>
              <w:t>8</w:t>
            </w:r>
            <w:r w:rsidRPr="00A87222">
              <w:rPr>
                <w:rFonts w:ascii="Calibri" w:eastAsia="Times New Roman" w:hAnsi="Calibri" w:cs="Times New Roman"/>
                <w:color w:val="000000"/>
                <w:sz w:val="18"/>
                <w:szCs w:val="18"/>
              </w:rPr>
              <w:t>%</w:t>
            </w:r>
          </w:p>
        </w:tc>
        <w:tc>
          <w:tcPr>
            <w:tcW w:w="1260" w:type="dxa"/>
            <w:noWrap/>
            <w:hideMark/>
          </w:tcPr>
          <w:p w14:paraId="30CF6A58" w14:textId="756D548A"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r w:rsidR="00391C69" w:rsidRPr="00A87222">
              <w:rPr>
                <w:rFonts w:ascii="Calibri" w:eastAsia="Times New Roman" w:hAnsi="Calibri" w:cs="Times New Roman"/>
                <w:color w:val="000000"/>
                <w:sz w:val="18"/>
                <w:szCs w:val="18"/>
              </w:rPr>
              <w:t>%</w:t>
            </w:r>
          </w:p>
        </w:tc>
        <w:tc>
          <w:tcPr>
            <w:tcW w:w="1350" w:type="dxa"/>
            <w:noWrap/>
            <w:hideMark/>
          </w:tcPr>
          <w:p w14:paraId="202F91F4" w14:textId="49618D7D"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41</w:t>
            </w:r>
          </w:p>
        </w:tc>
        <w:tc>
          <w:tcPr>
            <w:tcW w:w="1355" w:type="dxa"/>
            <w:noWrap/>
            <w:hideMark/>
          </w:tcPr>
          <w:p w14:paraId="5BFF0B44" w14:textId="7A054E70"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3</w:t>
            </w:r>
            <w:r w:rsidR="00F411B9">
              <w:rPr>
                <w:rFonts w:ascii="Calibri" w:eastAsia="Times New Roman" w:hAnsi="Calibri" w:cs="Times New Roman"/>
                <w:sz w:val="18"/>
                <w:szCs w:val="18"/>
              </w:rPr>
              <w:t>6</w:t>
            </w:r>
          </w:p>
        </w:tc>
      </w:tr>
      <w:tr w:rsidR="00391C69" w:rsidRPr="00A2685D" w14:paraId="10EABF7A"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A635F46" w14:textId="1D70ED70"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Selling prices</w:t>
            </w:r>
            <w:r>
              <w:rPr>
                <w:rFonts w:ascii="Calibri" w:eastAsia="Times New Roman" w:hAnsi="Calibri" w:cs="Times New Roman"/>
                <w:b w:val="0"/>
                <w:color w:val="000000"/>
                <w:sz w:val="18"/>
                <w:szCs w:val="18"/>
              </w:rPr>
              <w:br/>
              <w:t xml:space="preserve">Input </w:t>
            </w:r>
            <w:r w:rsidR="00097993">
              <w:rPr>
                <w:rFonts w:ascii="Calibri" w:eastAsia="Times New Roman" w:hAnsi="Calibri" w:cs="Times New Roman"/>
                <w:b w:val="0"/>
                <w:color w:val="000000"/>
                <w:sz w:val="18"/>
                <w:szCs w:val="18"/>
              </w:rPr>
              <w:t>c</w:t>
            </w:r>
            <w:r>
              <w:rPr>
                <w:rFonts w:ascii="Calibri" w:eastAsia="Times New Roman" w:hAnsi="Calibri" w:cs="Times New Roman"/>
                <w:b w:val="0"/>
                <w:color w:val="000000"/>
                <w:sz w:val="18"/>
                <w:szCs w:val="18"/>
              </w:rPr>
              <w:t>ost</w:t>
            </w:r>
            <w:r w:rsidR="00FA15BD">
              <w:rPr>
                <w:rFonts w:ascii="Calibri" w:eastAsia="Times New Roman" w:hAnsi="Calibri" w:cs="Times New Roman"/>
                <w:b w:val="0"/>
                <w:color w:val="000000"/>
                <w:sz w:val="18"/>
                <w:szCs w:val="18"/>
              </w:rPr>
              <w:t>s</w:t>
            </w:r>
          </w:p>
        </w:tc>
        <w:tc>
          <w:tcPr>
            <w:tcW w:w="1440" w:type="dxa"/>
            <w:noWrap/>
            <w:hideMark/>
          </w:tcPr>
          <w:p w14:paraId="714AB7F3" w14:textId="47AD6EC5"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r w:rsidR="00391C69" w:rsidRPr="00A87222">
              <w:rPr>
                <w:rFonts w:ascii="Calibri" w:eastAsia="Times New Roman" w:hAnsi="Calibri" w:cs="Times New Roman"/>
                <w:color w:val="000000"/>
                <w:sz w:val="18"/>
                <w:szCs w:val="18"/>
              </w:rPr>
              <w:t>%</w:t>
            </w:r>
            <w:r w:rsidR="00391C69" w:rsidRPr="00A87222">
              <w:rPr>
                <w:rFonts w:ascii="Calibri" w:eastAsia="Times New Roman" w:hAnsi="Calibri" w:cs="Times New Roman"/>
                <w:color w:val="000000"/>
                <w:sz w:val="18"/>
                <w:szCs w:val="18"/>
              </w:rPr>
              <w:br/>
            </w:r>
            <w:r>
              <w:rPr>
                <w:rFonts w:ascii="Calibri" w:eastAsia="Times New Roman" w:hAnsi="Calibri" w:cs="Times New Roman"/>
                <w:color w:val="000000"/>
                <w:sz w:val="18"/>
                <w:szCs w:val="18"/>
              </w:rPr>
              <w:t>55</w:t>
            </w:r>
            <w:r w:rsidR="00391C69" w:rsidRPr="00A87222">
              <w:rPr>
                <w:rFonts w:ascii="Calibri" w:eastAsia="Times New Roman" w:hAnsi="Calibri" w:cs="Times New Roman"/>
                <w:color w:val="000000"/>
                <w:sz w:val="18"/>
                <w:szCs w:val="18"/>
              </w:rPr>
              <w:t>%</w:t>
            </w:r>
          </w:p>
        </w:tc>
        <w:tc>
          <w:tcPr>
            <w:tcW w:w="1350" w:type="dxa"/>
            <w:noWrap/>
            <w:hideMark/>
          </w:tcPr>
          <w:p w14:paraId="5A7FD5F8" w14:textId="4278CA48"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57</w:t>
            </w:r>
            <w:r w:rsidR="00391C69" w:rsidRPr="00A87222">
              <w:rPr>
                <w:rFonts w:ascii="Calibri" w:eastAsia="Times New Roman" w:hAnsi="Calibri" w:cs="Times New Roman"/>
                <w:color w:val="000000"/>
                <w:sz w:val="18"/>
                <w:szCs w:val="18"/>
              </w:rPr>
              <w:t>%</w:t>
            </w:r>
            <w:r w:rsidR="00391C69" w:rsidRPr="00A87222">
              <w:rPr>
                <w:rFonts w:ascii="Calibri" w:eastAsia="Times New Roman" w:hAnsi="Calibri" w:cs="Times New Roman"/>
                <w:color w:val="000000"/>
                <w:sz w:val="18"/>
                <w:szCs w:val="18"/>
              </w:rPr>
              <w:br/>
            </w:r>
            <w:r>
              <w:rPr>
                <w:rFonts w:ascii="Calibri" w:eastAsia="Times New Roman" w:hAnsi="Calibri" w:cs="Times New Roman"/>
                <w:color w:val="000000"/>
                <w:sz w:val="18"/>
                <w:szCs w:val="18"/>
              </w:rPr>
              <w:t>41</w:t>
            </w:r>
            <w:r w:rsidR="00391C69" w:rsidRPr="00A87222">
              <w:rPr>
                <w:rFonts w:ascii="Calibri" w:eastAsia="Times New Roman" w:hAnsi="Calibri" w:cs="Times New Roman"/>
                <w:color w:val="000000"/>
                <w:sz w:val="18"/>
                <w:szCs w:val="18"/>
              </w:rPr>
              <w:t>%</w:t>
            </w:r>
          </w:p>
        </w:tc>
        <w:tc>
          <w:tcPr>
            <w:tcW w:w="1260" w:type="dxa"/>
            <w:noWrap/>
            <w:hideMark/>
          </w:tcPr>
          <w:p w14:paraId="75406C1F" w14:textId="08DCDA59"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391C69" w:rsidRPr="00A87222">
              <w:rPr>
                <w:rFonts w:ascii="Calibri" w:eastAsia="Times New Roman" w:hAnsi="Calibri" w:cs="Times New Roman"/>
                <w:color w:val="000000"/>
                <w:sz w:val="18"/>
                <w:szCs w:val="18"/>
              </w:rPr>
              <w:t>%</w:t>
            </w:r>
            <w:r w:rsidR="00391C69" w:rsidRPr="00A87222">
              <w:rPr>
                <w:rFonts w:ascii="Calibri" w:eastAsia="Times New Roman" w:hAnsi="Calibri" w:cs="Times New Roman"/>
                <w:color w:val="000000"/>
                <w:sz w:val="18"/>
                <w:szCs w:val="18"/>
              </w:rPr>
              <w:br/>
            </w:r>
            <w:r>
              <w:rPr>
                <w:rFonts w:ascii="Calibri" w:eastAsia="Times New Roman" w:hAnsi="Calibri" w:cs="Times New Roman"/>
                <w:color w:val="000000"/>
                <w:sz w:val="18"/>
                <w:szCs w:val="18"/>
              </w:rPr>
              <w:t>3</w:t>
            </w:r>
            <w:r w:rsidR="00391C69" w:rsidRPr="00A87222">
              <w:rPr>
                <w:rFonts w:ascii="Calibri" w:eastAsia="Times New Roman" w:hAnsi="Calibri" w:cs="Times New Roman"/>
                <w:color w:val="000000"/>
                <w:sz w:val="18"/>
                <w:szCs w:val="18"/>
              </w:rPr>
              <w:t>%</w:t>
            </w:r>
          </w:p>
        </w:tc>
        <w:tc>
          <w:tcPr>
            <w:tcW w:w="1350" w:type="dxa"/>
            <w:noWrap/>
            <w:hideMark/>
          </w:tcPr>
          <w:p w14:paraId="4380EA15" w14:textId="55B9AEE7" w:rsidR="00391C69" w:rsidRPr="00A87222" w:rsidRDefault="00A72C8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A87222">
              <w:rPr>
                <w:rFonts w:ascii="Calibri" w:eastAsia="Times New Roman" w:hAnsi="Calibri" w:cs="Times New Roman"/>
                <w:sz w:val="18"/>
                <w:szCs w:val="18"/>
              </w:rPr>
              <w:t>6</w:t>
            </w:r>
            <w:r w:rsidR="00F411B9">
              <w:rPr>
                <w:rFonts w:ascii="Calibri" w:eastAsia="Times New Roman" w:hAnsi="Calibri" w:cs="Times New Roman"/>
                <w:sz w:val="18"/>
                <w:szCs w:val="18"/>
              </w:rPr>
              <w:t>6</w:t>
            </w:r>
            <w:r w:rsidR="00391C69" w:rsidRPr="00A87222">
              <w:rPr>
                <w:rFonts w:ascii="Calibri" w:eastAsia="Times New Roman" w:hAnsi="Calibri" w:cs="Times New Roman"/>
                <w:sz w:val="18"/>
                <w:szCs w:val="18"/>
              </w:rPr>
              <w:br/>
            </w:r>
            <w:r w:rsidR="00F411B9">
              <w:rPr>
                <w:rFonts w:ascii="Calibri" w:eastAsia="Times New Roman" w:hAnsi="Calibri" w:cs="Times New Roman"/>
                <w:sz w:val="18"/>
                <w:szCs w:val="18"/>
              </w:rPr>
              <w:t>76</w:t>
            </w:r>
          </w:p>
        </w:tc>
        <w:tc>
          <w:tcPr>
            <w:tcW w:w="1355" w:type="dxa"/>
            <w:noWrap/>
            <w:hideMark/>
          </w:tcPr>
          <w:p w14:paraId="43A0F52E" w14:textId="3D2F3EB3" w:rsidR="00391C69" w:rsidRPr="00A87222" w:rsidRDefault="00D40360"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6</w:t>
            </w:r>
            <w:r w:rsidR="00F411B9">
              <w:rPr>
                <w:rFonts w:ascii="Calibri" w:eastAsia="Times New Roman" w:hAnsi="Calibri" w:cs="Times New Roman"/>
                <w:sz w:val="18"/>
                <w:szCs w:val="18"/>
              </w:rPr>
              <w:t>6</w:t>
            </w:r>
            <w:r w:rsidR="00391C69" w:rsidRPr="00A87222">
              <w:rPr>
                <w:rFonts w:ascii="Calibri" w:eastAsia="Times New Roman" w:hAnsi="Calibri" w:cs="Times New Roman"/>
                <w:sz w:val="18"/>
                <w:szCs w:val="18"/>
              </w:rPr>
              <w:br/>
            </w:r>
            <w:r w:rsidR="00F411B9">
              <w:rPr>
                <w:rFonts w:ascii="Calibri" w:eastAsia="Times New Roman" w:hAnsi="Calibri" w:cs="Times New Roman"/>
                <w:sz w:val="18"/>
                <w:szCs w:val="18"/>
              </w:rPr>
              <w:t>8</w:t>
            </w:r>
            <w:r w:rsidR="0081643D">
              <w:rPr>
                <w:rFonts w:ascii="Calibri" w:eastAsia="Times New Roman" w:hAnsi="Calibri" w:cs="Times New Roman"/>
                <w:sz w:val="18"/>
                <w:szCs w:val="18"/>
              </w:rPr>
              <w:t>4</w:t>
            </w:r>
          </w:p>
        </w:tc>
      </w:tr>
      <w:tr w:rsidR="00391C69" w:rsidRPr="000A28AD" w14:paraId="3EBEBA0D"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8C07607" w14:textId="7E19D40D" w:rsidR="00391C69" w:rsidRPr="000A28AD" w:rsidRDefault="00391C69" w:rsidP="00391C69">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Space occupied (</w:t>
            </w:r>
            <w:r w:rsidR="00097993">
              <w:rPr>
                <w:rFonts w:ascii="Calibri" w:eastAsia="Times New Roman" w:hAnsi="Calibri" w:cs="Times New Roman"/>
                <w:b w:val="0"/>
                <w:color w:val="000000"/>
                <w:sz w:val="18"/>
                <w:szCs w:val="18"/>
              </w:rPr>
              <w:t>s</w:t>
            </w:r>
            <w:r>
              <w:rPr>
                <w:rFonts w:ascii="Calibri" w:eastAsia="Times New Roman" w:hAnsi="Calibri" w:cs="Times New Roman"/>
                <w:b w:val="0"/>
                <w:color w:val="000000"/>
                <w:sz w:val="18"/>
                <w:szCs w:val="18"/>
              </w:rPr>
              <w:t>quare footage)</w:t>
            </w:r>
          </w:p>
        </w:tc>
        <w:tc>
          <w:tcPr>
            <w:tcW w:w="1440" w:type="dxa"/>
            <w:noWrap/>
            <w:hideMark/>
          </w:tcPr>
          <w:p w14:paraId="2A7CA1B1" w14:textId="0A956DF6"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391C69" w:rsidRPr="00A87222">
              <w:rPr>
                <w:rFonts w:ascii="Calibri" w:eastAsia="Times New Roman" w:hAnsi="Calibri" w:cs="Times New Roman"/>
                <w:color w:val="000000"/>
                <w:sz w:val="18"/>
                <w:szCs w:val="18"/>
              </w:rPr>
              <w:t>%</w:t>
            </w:r>
          </w:p>
        </w:tc>
        <w:tc>
          <w:tcPr>
            <w:tcW w:w="1350" w:type="dxa"/>
            <w:noWrap/>
            <w:hideMark/>
          </w:tcPr>
          <w:p w14:paraId="0A53D128" w14:textId="3BA4313E"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90</w:t>
            </w:r>
            <w:r w:rsidR="00391C69" w:rsidRPr="00A87222">
              <w:rPr>
                <w:rFonts w:ascii="Calibri" w:eastAsia="Times New Roman" w:hAnsi="Calibri" w:cs="Times New Roman"/>
                <w:color w:val="000000"/>
                <w:sz w:val="18"/>
                <w:szCs w:val="18"/>
              </w:rPr>
              <w:t>%</w:t>
            </w:r>
          </w:p>
        </w:tc>
        <w:tc>
          <w:tcPr>
            <w:tcW w:w="1260" w:type="dxa"/>
            <w:noWrap/>
            <w:hideMark/>
          </w:tcPr>
          <w:p w14:paraId="4C8B9471" w14:textId="451B3A82" w:rsidR="00391C69" w:rsidRPr="00A87222" w:rsidRDefault="0081643D"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391C69" w:rsidRPr="00A87222">
              <w:rPr>
                <w:rFonts w:ascii="Calibri" w:eastAsia="Times New Roman" w:hAnsi="Calibri" w:cs="Times New Roman"/>
                <w:color w:val="000000"/>
                <w:sz w:val="18"/>
                <w:szCs w:val="18"/>
              </w:rPr>
              <w:t>%</w:t>
            </w:r>
          </w:p>
        </w:tc>
        <w:tc>
          <w:tcPr>
            <w:tcW w:w="1350" w:type="dxa"/>
            <w:noWrap/>
            <w:hideMark/>
          </w:tcPr>
          <w:p w14:paraId="21CA93A3" w14:textId="25516696"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49</w:t>
            </w:r>
          </w:p>
        </w:tc>
        <w:tc>
          <w:tcPr>
            <w:tcW w:w="1355" w:type="dxa"/>
            <w:noWrap/>
            <w:hideMark/>
          </w:tcPr>
          <w:p w14:paraId="738E8CDC" w14:textId="27C1346C"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51</w:t>
            </w:r>
          </w:p>
        </w:tc>
      </w:tr>
      <w:tr w:rsidR="00391C69" w:rsidRPr="000A28AD" w14:paraId="7665DD09" w14:textId="77777777"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5F44E61" w14:textId="77777777" w:rsidR="00391C69" w:rsidRPr="00174C4B" w:rsidRDefault="00391C69" w:rsidP="00391C69">
            <w:pPr>
              <w:rPr>
                <w:rFonts w:ascii="Calibri" w:eastAsia="Times New Roman" w:hAnsi="Calibri" w:cs="Times New Roman"/>
                <w:b w:val="0"/>
                <w:color w:val="000000"/>
                <w:sz w:val="18"/>
                <w:szCs w:val="18"/>
              </w:rPr>
            </w:pPr>
            <w:r w:rsidRPr="00174C4B">
              <w:rPr>
                <w:rFonts w:eastAsia="Times New Roman" w:cs="Times New Roman"/>
                <w:b w:val="0"/>
                <w:color w:val="000000"/>
                <w:sz w:val="18"/>
                <w:szCs w:val="18"/>
              </w:rPr>
              <w:t>Exports (sales for foreign clients)</w:t>
            </w:r>
          </w:p>
        </w:tc>
        <w:tc>
          <w:tcPr>
            <w:tcW w:w="1440" w:type="dxa"/>
            <w:noWrap/>
            <w:hideMark/>
          </w:tcPr>
          <w:p w14:paraId="786FA7EA" w14:textId="68A3539C"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91C69" w:rsidRPr="00A87222">
              <w:rPr>
                <w:rFonts w:ascii="Calibri" w:eastAsia="Times New Roman" w:hAnsi="Calibri" w:cs="Times New Roman"/>
                <w:color w:val="000000"/>
                <w:sz w:val="18"/>
                <w:szCs w:val="18"/>
              </w:rPr>
              <w:t>%</w:t>
            </w:r>
          </w:p>
        </w:tc>
        <w:tc>
          <w:tcPr>
            <w:tcW w:w="1350" w:type="dxa"/>
            <w:noWrap/>
            <w:hideMark/>
          </w:tcPr>
          <w:p w14:paraId="6E89C38D" w14:textId="1666FB33"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96</w:t>
            </w:r>
            <w:r w:rsidR="00391C69" w:rsidRPr="00A87222">
              <w:rPr>
                <w:rFonts w:ascii="Calibri" w:eastAsia="Times New Roman" w:hAnsi="Calibri" w:cs="Times New Roman"/>
                <w:color w:val="000000"/>
                <w:sz w:val="18"/>
                <w:szCs w:val="18"/>
              </w:rPr>
              <w:t>%</w:t>
            </w:r>
          </w:p>
        </w:tc>
        <w:tc>
          <w:tcPr>
            <w:tcW w:w="1260" w:type="dxa"/>
            <w:noWrap/>
            <w:hideMark/>
          </w:tcPr>
          <w:p w14:paraId="361FE8B1" w14:textId="5DDB32CC"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91C69" w:rsidRPr="00A87222">
              <w:rPr>
                <w:rFonts w:ascii="Calibri" w:eastAsia="Times New Roman" w:hAnsi="Calibri" w:cs="Times New Roman"/>
                <w:color w:val="000000"/>
                <w:sz w:val="18"/>
                <w:szCs w:val="18"/>
              </w:rPr>
              <w:t>%</w:t>
            </w:r>
          </w:p>
        </w:tc>
        <w:tc>
          <w:tcPr>
            <w:tcW w:w="1350" w:type="dxa"/>
            <w:noWrap/>
            <w:hideMark/>
          </w:tcPr>
          <w:p w14:paraId="012E9A82" w14:textId="3E678241" w:rsidR="00391C69" w:rsidRPr="00A87222" w:rsidRDefault="0081643D"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w:t>
            </w:r>
            <w:r w:rsidR="00F411B9">
              <w:rPr>
                <w:rFonts w:ascii="Calibri" w:eastAsia="Times New Roman" w:hAnsi="Calibri" w:cs="Times New Roman"/>
                <w:sz w:val="18"/>
                <w:szCs w:val="18"/>
              </w:rPr>
              <w:t>0</w:t>
            </w:r>
          </w:p>
        </w:tc>
        <w:tc>
          <w:tcPr>
            <w:tcW w:w="1355" w:type="dxa"/>
            <w:noWrap/>
            <w:hideMark/>
          </w:tcPr>
          <w:p w14:paraId="73EA1649" w14:textId="1EA683CF" w:rsidR="00391C69" w:rsidRPr="00A87222" w:rsidRDefault="00F411B9" w:rsidP="00391C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51</w:t>
            </w:r>
          </w:p>
        </w:tc>
      </w:tr>
    </w:tbl>
    <w:p w14:paraId="3CDDAB04" w14:textId="77777777" w:rsidR="00A97C01" w:rsidRPr="000A28AD" w:rsidRDefault="00A97C01" w:rsidP="009B3DF5">
      <w:pPr>
        <w:spacing w:after="0" w:line="72" w:lineRule="auto"/>
        <w:rPr>
          <w:sz w:val="18"/>
          <w:szCs w:val="18"/>
        </w:rPr>
      </w:pPr>
    </w:p>
    <w:tbl>
      <w:tblPr>
        <w:tblStyle w:val="PlainTable4"/>
        <w:tblW w:w="10526"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Indicators for Labor Indicators Expectations Following Year"/>
        <w:tblDescription w:val="Table showing that 42 percent of respondents expecting no changes in wages per worker. Sixty-three percent expect no changes in benefits per worker."/>
      </w:tblPr>
      <w:tblGrid>
        <w:gridCol w:w="2885"/>
        <w:gridCol w:w="902"/>
        <w:gridCol w:w="1334"/>
        <w:gridCol w:w="1440"/>
        <w:gridCol w:w="1170"/>
        <w:gridCol w:w="1350"/>
        <w:gridCol w:w="1445"/>
      </w:tblGrid>
      <w:tr w:rsidR="00E647F4" w:rsidRPr="00C2294E" w14:paraId="04A3E3C5"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2885" w:type="dxa"/>
            <w:tcBorders>
              <w:top w:val="single" w:sz="4" w:space="0" w:color="auto"/>
              <w:bottom w:val="single" w:sz="4" w:space="0" w:color="auto"/>
            </w:tcBorders>
            <w:shd w:val="clear" w:color="auto" w:fill="BDD6EE" w:themeFill="accent1" w:themeFillTint="66"/>
            <w:noWrap/>
            <w:hideMark/>
          </w:tcPr>
          <w:p w14:paraId="1EF67EF7" w14:textId="7B6C6CB2" w:rsidR="00A97C01" w:rsidRPr="000A28AD" w:rsidRDefault="000A28AD" w:rsidP="000A28A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Expected l</w:t>
            </w:r>
            <w:r w:rsidR="00722892" w:rsidRPr="000A28AD">
              <w:rPr>
                <w:rFonts w:ascii="Calibri" w:eastAsia="Times New Roman" w:hAnsi="Calibri" w:cs="Times New Roman"/>
                <w:color w:val="000000"/>
                <w:sz w:val="18"/>
                <w:szCs w:val="18"/>
              </w:rPr>
              <w:t>abor i</w:t>
            </w:r>
            <w:r w:rsidR="0023223B">
              <w:rPr>
                <w:rFonts w:ascii="Calibri" w:eastAsia="Times New Roman" w:hAnsi="Calibri" w:cs="Times New Roman"/>
                <w:color w:val="000000"/>
                <w:sz w:val="18"/>
                <w:szCs w:val="18"/>
              </w:rPr>
              <w:t>ndi</w:t>
            </w:r>
            <w:r w:rsidR="00391C69">
              <w:rPr>
                <w:rFonts w:ascii="Calibri" w:eastAsia="Times New Roman" w:hAnsi="Calibri" w:cs="Times New Roman"/>
                <w:color w:val="000000"/>
                <w:sz w:val="18"/>
                <w:szCs w:val="18"/>
              </w:rPr>
              <w:t xml:space="preserve">cators during next </w:t>
            </w:r>
            <w:r w:rsidR="007C7CDC">
              <w:rPr>
                <w:rFonts w:ascii="Calibri" w:eastAsia="Times New Roman" w:hAnsi="Calibri" w:cs="Times New Roman"/>
                <w:color w:val="000000"/>
                <w:sz w:val="18"/>
                <w:szCs w:val="18"/>
              </w:rPr>
              <w:t>year</w:t>
            </w:r>
          </w:p>
        </w:tc>
        <w:tc>
          <w:tcPr>
            <w:tcW w:w="902" w:type="dxa"/>
            <w:tcBorders>
              <w:top w:val="single" w:sz="4" w:space="0" w:color="auto"/>
              <w:bottom w:val="single" w:sz="4" w:space="0" w:color="auto"/>
            </w:tcBorders>
            <w:shd w:val="clear" w:color="auto" w:fill="BDD6EE" w:themeFill="accent1" w:themeFillTint="66"/>
            <w:noWrap/>
            <w:hideMark/>
          </w:tcPr>
          <w:p w14:paraId="71717A48"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14:paraId="296D10F9"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0</w:t>
            </w:r>
          </w:p>
        </w:tc>
        <w:tc>
          <w:tcPr>
            <w:tcW w:w="1440" w:type="dxa"/>
            <w:tcBorders>
              <w:top w:val="single" w:sz="4" w:space="0" w:color="auto"/>
              <w:bottom w:val="single" w:sz="4" w:space="0" w:color="auto"/>
            </w:tcBorders>
            <w:shd w:val="clear" w:color="auto" w:fill="BDD6EE" w:themeFill="accent1" w:themeFillTint="66"/>
            <w:noWrap/>
            <w:hideMark/>
          </w:tcPr>
          <w:p w14:paraId="5830DAD3"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1-2%</w:t>
            </w:r>
          </w:p>
        </w:tc>
        <w:tc>
          <w:tcPr>
            <w:tcW w:w="1170" w:type="dxa"/>
            <w:tcBorders>
              <w:top w:val="single" w:sz="4" w:space="0" w:color="auto"/>
              <w:bottom w:val="single" w:sz="4" w:space="0" w:color="auto"/>
            </w:tcBorders>
            <w:shd w:val="clear" w:color="auto" w:fill="BDD6EE" w:themeFill="accent1" w:themeFillTint="66"/>
            <w:noWrap/>
            <w:hideMark/>
          </w:tcPr>
          <w:p w14:paraId="6547BD99"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14:paraId="0C417478"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6-9%</w:t>
            </w:r>
          </w:p>
        </w:tc>
        <w:tc>
          <w:tcPr>
            <w:tcW w:w="1445" w:type="dxa"/>
            <w:tcBorders>
              <w:top w:val="single" w:sz="4" w:space="0" w:color="auto"/>
              <w:bottom w:val="single" w:sz="4" w:space="0" w:color="auto"/>
            </w:tcBorders>
            <w:shd w:val="clear" w:color="auto" w:fill="BDD6EE" w:themeFill="accent1" w:themeFillTint="66"/>
            <w:noWrap/>
            <w:hideMark/>
          </w:tcPr>
          <w:p w14:paraId="461DE9EC"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&gt;10%</w:t>
            </w:r>
          </w:p>
        </w:tc>
      </w:tr>
      <w:tr w:rsidR="00E647F4" w:rsidRPr="00C2294E" w14:paraId="16B28540" w14:textId="77777777" w:rsidTr="000A28AD">
        <w:trPr>
          <w:trHeight w:val="144"/>
          <w:jc w:val="center"/>
        </w:trPr>
        <w:tc>
          <w:tcPr>
            <w:tcW w:w="2885" w:type="dxa"/>
            <w:tcBorders>
              <w:top w:val="single" w:sz="4" w:space="0" w:color="auto"/>
            </w:tcBorders>
            <w:noWrap/>
            <w:hideMark/>
          </w:tcPr>
          <w:p w14:paraId="1E65B8A9" w14:textId="77777777" w:rsidR="00A97C01" w:rsidRPr="000A28AD" w:rsidRDefault="00A97C01" w:rsidP="001631F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Wages per worker</w:t>
            </w:r>
          </w:p>
        </w:tc>
        <w:tc>
          <w:tcPr>
            <w:tcW w:w="902" w:type="dxa"/>
            <w:tcBorders>
              <w:top w:val="single" w:sz="4" w:space="0" w:color="auto"/>
            </w:tcBorders>
            <w:noWrap/>
            <w:hideMark/>
          </w:tcPr>
          <w:p w14:paraId="3F69F8CC" w14:textId="34D7C57E" w:rsidR="00A97C01"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A87222">
              <w:rPr>
                <w:rFonts w:ascii="Calibri" w:eastAsia="Times New Roman" w:hAnsi="Calibri" w:cs="Times New Roman"/>
                <w:color w:val="000000"/>
                <w:sz w:val="18"/>
                <w:szCs w:val="18"/>
              </w:rPr>
              <w:t>%</w:t>
            </w:r>
          </w:p>
        </w:tc>
        <w:tc>
          <w:tcPr>
            <w:tcW w:w="1334" w:type="dxa"/>
            <w:tcBorders>
              <w:top w:val="single" w:sz="4" w:space="0" w:color="auto"/>
            </w:tcBorders>
            <w:noWrap/>
            <w:hideMark/>
          </w:tcPr>
          <w:p w14:paraId="5F7A75EF" w14:textId="3B3062BE" w:rsidR="00A97C01" w:rsidRPr="00A87222" w:rsidRDefault="00F411B9"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w:t>
            </w:r>
            <w:r w:rsidR="00A97C01" w:rsidRPr="00A87222">
              <w:rPr>
                <w:rFonts w:ascii="Calibri" w:eastAsia="Times New Roman" w:hAnsi="Calibri" w:cs="Times New Roman"/>
                <w:color w:val="000000"/>
                <w:sz w:val="18"/>
                <w:szCs w:val="18"/>
              </w:rPr>
              <w:t>%</w:t>
            </w:r>
          </w:p>
        </w:tc>
        <w:tc>
          <w:tcPr>
            <w:tcW w:w="1440" w:type="dxa"/>
            <w:tcBorders>
              <w:top w:val="single" w:sz="4" w:space="0" w:color="auto"/>
            </w:tcBorders>
            <w:noWrap/>
            <w:hideMark/>
          </w:tcPr>
          <w:p w14:paraId="780B4B21" w14:textId="1DB763C8" w:rsidR="00A97C01" w:rsidRPr="00A87222" w:rsidRDefault="00F411B9"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A97C01" w:rsidRPr="00A87222">
              <w:rPr>
                <w:rFonts w:ascii="Calibri" w:eastAsia="Times New Roman" w:hAnsi="Calibri" w:cs="Times New Roman"/>
                <w:color w:val="000000"/>
                <w:sz w:val="18"/>
                <w:szCs w:val="18"/>
              </w:rPr>
              <w:t>%</w:t>
            </w:r>
          </w:p>
        </w:tc>
        <w:tc>
          <w:tcPr>
            <w:tcW w:w="1170" w:type="dxa"/>
            <w:tcBorders>
              <w:top w:val="single" w:sz="4" w:space="0" w:color="auto"/>
            </w:tcBorders>
            <w:noWrap/>
            <w:hideMark/>
          </w:tcPr>
          <w:p w14:paraId="644E341C" w14:textId="699AAE11" w:rsidR="00A97C01" w:rsidRPr="00A87222" w:rsidRDefault="0081643D"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F411B9">
              <w:rPr>
                <w:rFonts w:ascii="Calibri" w:eastAsia="Times New Roman" w:hAnsi="Calibri" w:cs="Times New Roman"/>
                <w:color w:val="000000"/>
                <w:sz w:val="18"/>
                <w:szCs w:val="18"/>
              </w:rPr>
              <w:t>5</w:t>
            </w:r>
            <w:r w:rsidR="00A97C01" w:rsidRPr="00A87222">
              <w:rPr>
                <w:rFonts w:ascii="Calibri" w:eastAsia="Times New Roman" w:hAnsi="Calibri" w:cs="Times New Roman"/>
                <w:color w:val="000000"/>
                <w:sz w:val="18"/>
                <w:szCs w:val="18"/>
              </w:rPr>
              <w:t>%</w:t>
            </w:r>
          </w:p>
        </w:tc>
        <w:tc>
          <w:tcPr>
            <w:tcW w:w="1350" w:type="dxa"/>
            <w:tcBorders>
              <w:top w:val="single" w:sz="4" w:space="0" w:color="auto"/>
            </w:tcBorders>
            <w:noWrap/>
            <w:hideMark/>
          </w:tcPr>
          <w:p w14:paraId="27321195" w14:textId="2B836B28" w:rsidR="00A97C01" w:rsidRPr="00A87222" w:rsidRDefault="0081643D"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F411B9">
              <w:rPr>
                <w:rFonts w:ascii="Calibri" w:eastAsia="Times New Roman" w:hAnsi="Calibri" w:cs="Times New Roman"/>
                <w:color w:val="000000"/>
                <w:sz w:val="18"/>
                <w:szCs w:val="18"/>
              </w:rPr>
              <w:t>1</w:t>
            </w:r>
            <w:r w:rsidR="00A97C01" w:rsidRPr="00A87222">
              <w:rPr>
                <w:rFonts w:ascii="Calibri" w:eastAsia="Times New Roman" w:hAnsi="Calibri" w:cs="Times New Roman"/>
                <w:color w:val="000000"/>
                <w:sz w:val="18"/>
                <w:szCs w:val="18"/>
              </w:rPr>
              <w:t>%</w:t>
            </w:r>
          </w:p>
        </w:tc>
        <w:tc>
          <w:tcPr>
            <w:tcW w:w="1445" w:type="dxa"/>
            <w:tcBorders>
              <w:top w:val="single" w:sz="4" w:space="0" w:color="auto"/>
            </w:tcBorders>
            <w:noWrap/>
            <w:hideMark/>
          </w:tcPr>
          <w:p w14:paraId="46D93AD3" w14:textId="628E84D8" w:rsidR="00A97C01" w:rsidRPr="00A87222" w:rsidRDefault="00532ED4" w:rsidP="001631FC">
            <w:pPr>
              <w:jc w:val="center"/>
              <w:rPr>
                <w:rFonts w:ascii="Calibri" w:eastAsia="Times New Roman" w:hAnsi="Calibri" w:cs="Times New Roman"/>
                <w:color w:val="000000"/>
                <w:sz w:val="18"/>
                <w:szCs w:val="18"/>
              </w:rPr>
            </w:pPr>
            <w:r w:rsidRPr="00A87222">
              <w:rPr>
                <w:rFonts w:ascii="Calibri" w:eastAsia="Times New Roman" w:hAnsi="Calibri" w:cs="Times New Roman"/>
                <w:color w:val="000000"/>
                <w:sz w:val="18"/>
                <w:szCs w:val="18"/>
              </w:rPr>
              <w:t>7</w:t>
            </w:r>
            <w:r w:rsidR="00A97C01" w:rsidRPr="00A87222">
              <w:rPr>
                <w:rFonts w:ascii="Calibri" w:eastAsia="Times New Roman" w:hAnsi="Calibri" w:cs="Times New Roman"/>
                <w:color w:val="000000"/>
                <w:sz w:val="18"/>
                <w:szCs w:val="18"/>
              </w:rPr>
              <w:t>%</w:t>
            </w:r>
          </w:p>
        </w:tc>
      </w:tr>
      <w:tr w:rsidR="00E647F4" w:rsidRPr="00C2294E" w14:paraId="1AE1A806" w14:textId="77777777" w:rsidTr="000A28AD">
        <w:trPr>
          <w:trHeight w:val="144"/>
          <w:jc w:val="center"/>
        </w:trPr>
        <w:tc>
          <w:tcPr>
            <w:tcW w:w="2885" w:type="dxa"/>
            <w:noWrap/>
            <w:hideMark/>
          </w:tcPr>
          <w:p w14:paraId="59AE9E7F" w14:textId="77777777" w:rsidR="00A97C01" w:rsidRPr="000A28AD" w:rsidRDefault="00A97C01" w:rsidP="001631F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Benefits per worker</w:t>
            </w:r>
          </w:p>
        </w:tc>
        <w:tc>
          <w:tcPr>
            <w:tcW w:w="902" w:type="dxa"/>
            <w:noWrap/>
            <w:hideMark/>
          </w:tcPr>
          <w:p w14:paraId="1B035B76" w14:textId="3F23AC5C" w:rsidR="00A97C01" w:rsidRPr="00A87222" w:rsidRDefault="00F411B9"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A97C01" w:rsidRPr="00A87222">
              <w:rPr>
                <w:rFonts w:ascii="Calibri" w:eastAsia="Times New Roman" w:hAnsi="Calibri" w:cs="Times New Roman"/>
                <w:color w:val="000000"/>
                <w:sz w:val="18"/>
                <w:szCs w:val="18"/>
              </w:rPr>
              <w:t>%</w:t>
            </w:r>
          </w:p>
        </w:tc>
        <w:tc>
          <w:tcPr>
            <w:tcW w:w="1334" w:type="dxa"/>
            <w:noWrap/>
            <w:hideMark/>
          </w:tcPr>
          <w:p w14:paraId="6AD871DD" w14:textId="2BFD05CF" w:rsidR="00A97C01" w:rsidRPr="00A87222" w:rsidRDefault="00F411B9"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r w:rsidR="00A97C01" w:rsidRPr="00A87222">
              <w:rPr>
                <w:rFonts w:ascii="Calibri" w:eastAsia="Times New Roman" w:hAnsi="Calibri" w:cs="Times New Roman"/>
                <w:color w:val="000000"/>
                <w:sz w:val="18"/>
                <w:szCs w:val="18"/>
              </w:rPr>
              <w:t>%</w:t>
            </w:r>
          </w:p>
        </w:tc>
        <w:tc>
          <w:tcPr>
            <w:tcW w:w="1440" w:type="dxa"/>
            <w:noWrap/>
            <w:hideMark/>
          </w:tcPr>
          <w:p w14:paraId="0C952DBD" w14:textId="66503B25" w:rsidR="00A97C01" w:rsidRPr="00A87222" w:rsidRDefault="0081643D"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A97C01" w:rsidRPr="00A87222">
              <w:rPr>
                <w:rFonts w:ascii="Calibri" w:eastAsia="Times New Roman" w:hAnsi="Calibri" w:cs="Times New Roman"/>
                <w:color w:val="000000"/>
                <w:sz w:val="18"/>
                <w:szCs w:val="18"/>
              </w:rPr>
              <w:t>%</w:t>
            </w:r>
          </w:p>
        </w:tc>
        <w:tc>
          <w:tcPr>
            <w:tcW w:w="1170" w:type="dxa"/>
            <w:noWrap/>
            <w:hideMark/>
          </w:tcPr>
          <w:p w14:paraId="52086847" w14:textId="0CD453EE" w:rsidR="00A97C01" w:rsidRPr="00A87222" w:rsidRDefault="0081643D"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F411B9">
              <w:rPr>
                <w:rFonts w:ascii="Calibri" w:eastAsia="Times New Roman" w:hAnsi="Calibri" w:cs="Times New Roman"/>
                <w:color w:val="000000"/>
                <w:sz w:val="18"/>
                <w:szCs w:val="18"/>
              </w:rPr>
              <w:t>2</w:t>
            </w:r>
            <w:r w:rsidR="00A97C01" w:rsidRPr="00A87222">
              <w:rPr>
                <w:rFonts w:ascii="Calibri" w:eastAsia="Times New Roman" w:hAnsi="Calibri" w:cs="Times New Roman"/>
                <w:color w:val="000000"/>
                <w:sz w:val="18"/>
                <w:szCs w:val="18"/>
              </w:rPr>
              <w:t>%</w:t>
            </w:r>
          </w:p>
        </w:tc>
        <w:tc>
          <w:tcPr>
            <w:tcW w:w="1350" w:type="dxa"/>
            <w:noWrap/>
            <w:hideMark/>
          </w:tcPr>
          <w:p w14:paraId="2795439C" w14:textId="6D2D5E98" w:rsidR="00A97C01" w:rsidRPr="00A87222" w:rsidRDefault="00F411B9"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A97C01" w:rsidRPr="00A87222">
              <w:rPr>
                <w:rFonts w:ascii="Calibri" w:eastAsia="Times New Roman" w:hAnsi="Calibri" w:cs="Times New Roman"/>
                <w:color w:val="000000"/>
                <w:sz w:val="18"/>
                <w:szCs w:val="18"/>
              </w:rPr>
              <w:t>%</w:t>
            </w:r>
          </w:p>
        </w:tc>
        <w:tc>
          <w:tcPr>
            <w:tcW w:w="1445" w:type="dxa"/>
            <w:noWrap/>
            <w:hideMark/>
          </w:tcPr>
          <w:p w14:paraId="244F8D04" w14:textId="1ED0A3D0" w:rsidR="00A97C01" w:rsidRPr="00A87222" w:rsidRDefault="00F411B9" w:rsidP="001631F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A97C01" w:rsidRPr="00A87222">
              <w:rPr>
                <w:rFonts w:ascii="Calibri" w:eastAsia="Times New Roman" w:hAnsi="Calibri" w:cs="Times New Roman"/>
                <w:color w:val="000000"/>
                <w:sz w:val="18"/>
                <w:szCs w:val="18"/>
              </w:rPr>
              <w:t>%</w:t>
            </w:r>
          </w:p>
        </w:tc>
      </w:tr>
    </w:tbl>
    <w:p w14:paraId="5DF7B24A" w14:textId="77777777" w:rsidR="00A97C01" w:rsidRDefault="00A97C01" w:rsidP="009B3DF5">
      <w:pPr>
        <w:spacing w:after="0" w:line="72" w:lineRule="auto"/>
      </w:pPr>
    </w:p>
    <w:tbl>
      <w:tblPr>
        <w:tblStyle w:val="PlainTable4"/>
        <w:tblW w:w="10540"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Economic outlook for the next year"/>
        <w:tblDescription w:val="Minnesota business services firms expect mostly contracting conditions. Fifty-two percent expect a decline in consumer spending and corporate profits. Additionally, 44 percent anticipate a drop in employment.  &#10;Nearly half of respondents indicated they expect unchanged inflation while a similar percentage (46 percent) expect an increase.&#10;"/>
      </w:tblPr>
      <w:tblGrid>
        <w:gridCol w:w="3875"/>
        <w:gridCol w:w="1252"/>
        <w:gridCol w:w="1293"/>
        <w:gridCol w:w="1561"/>
        <w:gridCol w:w="1204"/>
        <w:gridCol w:w="1355"/>
      </w:tblGrid>
      <w:tr w:rsidR="001D0139" w:rsidRPr="00623BC4" w14:paraId="458BD290" w14:textId="77777777" w:rsidTr="00B86180">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75" w:type="dxa"/>
            <w:tcBorders>
              <w:top w:val="single" w:sz="4" w:space="0" w:color="auto"/>
              <w:bottom w:val="single" w:sz="4" w:space="0" w:color="auto"/>
            </w:tcBorders>
            <w:shd w:val="clear" w:color="auto" w:fill="BDD6EE" w:themeFill="accent1" w:themeFillTint="66"/>
            <w:noWrap/>
            <w:hideMark/>
          </w:tcPr>
          <w:p w14:paraId="027F9EFF" w14:textId="11790CDC" w:rsidR="00A97C01" w:rsidRPr="000A28AD" w:rsidRDefault="00033FB0" w:rsidP="001631F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w:t>
            </w:r>
            <w:r w:rsidR="00BE474F" w:rsidRPr="000A28AD">
              <w:rPr>
                <w:rFonts w:ascii="Calibri" w:eastAsia="Times New Roman" w:hAnsi="Calibri" w:cs="Times New Roman"/>
                <w:color w:val="000000"/>
                <w:sz w:val="18"/>
                <w:szCs w:val="18"/>
              </w:rPr>
              <w:t xml:space="preserve">utlook on the following state economic indicators during the next year </w:t>
            </w:r>
          </w:p>
        </w:tc>
        <w:tc>
          <w:tcPr>
            <w:tcW w:w="1252" w:type="dxa"/>
            <w:tcBorders>
              <w:top w:val="single" w:sz="4" w:space="0" w:color="auto"/>
              <w:bottom w:val="single" w:sz="4" w:space="0" w:color="auto"/>
            </w:tcBorders>
            <w:shd w:val="clear" w:color="auto" w:fill="BDD6EE" w:themeFill="accent1" w:themeFillTint="66"/>
            <w:noWrap/>
            <w:hideMark/>
          </w:tcPr>
          <w:p w14:paraId="75035581"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Up</w:t>
            </w:r>
          </w:p>
        </w:tc>
        <w:tc>
          <w:tcPr>
            <w:tcW w:w="1293" w:type="dxa"/>
            <w:tcBorders>
              <w:top w:val="single" w:sz="4" w:space="0" w:color="auto"/>
              <w:bottom w:val="single" w:sz="4" w:space="0" w:color="auto"/>
            </w:tcBorders>
            <w:shd w:val="clear" w:color="auto" w:fill="BDD6EE" w:themeFill="accent1" w:themeFillTint="66"/>
            <w:noWrap/>
            <w:hideMark/>
          </w:tcPr>
          <w:p w14:paraId="1BF430E7"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Same</w:t>
            </w:r>
          </w:p>
        </w:tc>
        <w:tc>
          <w:tcPr>
            <w:tcW w:w="1561" w:type="dxa"/>
            <w:tcBorders>
              <w:top w:val="single" w:sz="4" w:space="0" w:color="auto"/>
              <w:bottom w:val="single" w:sz="4" w:space="0" w:color="auto"/>
            </w:tcBorders>
            <w:shd w:val="clear" w:color="auto" w:fill="BDD6EE" w:themeFill="accent1" w:themeFillTint="66"/>
            <w:noWrap/>
            <w:hideMark/>
          </w:tcPr>
          <w:p w14:paraId="0204BBDA" w14:textId="77777777" w:rsidR="00A97C01" w:rsidRPr="000A28AD" w:rsidRDefault="00A97C01" w:rsidP="001631F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Down</w:t>
            </w:r>
          </w:p>
        </w:tc>
        <w:tc>
          <w:tcPr>
            <w:tcW w:w="1204" w:type="dxa"/>
            <w:tcBorders>
              <w:top w:val="single" w:sz="4" w:space="0" w:color="auto"/>
              <w:bottom w:val="single" w:sz="4" w:space="0" w:color="auto"/>
            </w:tcBorders>
            <w:shd w:val="clear" w:color="auto" w:fill="BDD6EE" w:themeFill="accent1" w:themeFillTint="66"/>
            <w:noWrap/>
            <w:hideMark/>
          </w:tcPr>
          <w:p w14:paraId="0AA75AF0" w14:textId="4A5843D2" w:rsidR="00A97C01" w:rsidRPr="00A72C89" w:rsidRDefault="00391C69" w:rsidP="001631FC">
            <w:pPr>
              <w:jc w:val="center"/>
              <w:rPr>
                <w:rFonts w:ascii="Calibri" w:eastAsia="Times New Roman" w:hAnsi="Calibri" w:cs="Times New Roman"/>
                <w:sz w:val="18"/>
                <w:szCs w:val="18"/>
              </w:rPr>
            </w:pPr>
            <w:r w:rsidRPr="00A72C89">
              <w:rPr>
                <w:rFonts w:ascii="Calibri" w:eastAsia="Times New Roman" w:hAnsi="Calibri" w:cs="Times New Roman"/>
                <w:sz w:val="18"/>
                <w:szCs w:val="18"/>
              </w:rPr>
              <w:t xml:space="preserve">Diffusion </w:t>
            </w:r>
            <w:r w:rsidR="00A47862">
              <w:rPr>
                <w:rFonts w:ascii="Calibri" w:eastAsia="Times New Roman" w:hAnsi="Calibri" w:cs="Times New Roman"/>
                <w:sz w:val="18"/>
                <w:szCs w:val="18"/>
              </w:rPr>
              <w:t>i</w:t>
            </w:r>
            <w:r w:rsidRPr="00A72C89">
              <w:rPr>
                <w:rFonts w:ascii="Calibri" w:eastAsia="Times New Roman" w:hAnsi="Calibri" w:cs="Times New Roman"/>
                <w:sz w:val="18"/>
                <w:szCs w:val="18"/>
              </w:rPr>
              <w:t>ndex 202</w:t>
            </w:r>
            <w:r w:rsidR="00F411B9">
              <w:rPr>
                <w:rFonts w:ascii="Calibri" w:eastAsia="Times New Roman" w:hAnsi="Calibri" w:cs="Times New Roman"/>
                <w:sz w:val="18"/>
                <w:szCs w:val="18"/>
              </w:rPr>
              <w:t>3</w:t>
            </w:r>
            <w:r w:rsidR="00AE0EFF" w:rsidRPr="00A72C89">
              <w:rPr>
                <w:rFonts w:ascii="Calibri" w:eastAsia="Times New Roman" w:hAnsi="Calibri" w:cs="Times New Roman"/>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14:paraId="51585A44" w14:textId="14EA1F5A" w:rsidR="00A97C01" w:rsidRPr="003B7BDF" w:rsidRDefault="00AE0EFF" w:rsidP="001631FC">
            <w:pPr>
              <w:jc w:val="center"/>
              <w:rPr>
                <w:rFonts w:ascii="Calibri" w:eastAsia="Times New Roman" w:hAnsi="Calibri" w:cs="Times New Roman"/>
                <w:sz w:val="18"/>
                <w:szCs w:val="18"/>
              </w:rPr>
            </w:pPr>
            <w:r w:rsidRPr="003B7BDF">
              <w:rPr>
                <w:rFonts w:ascii="Calibri" w:eastAsia="Times New Roman" w:hAnsi="Calibri" w:cs="Times New Roman"/>
                <w:sz w:val="18"/>
                <w:szCs w:val="18"/>
              </w:rPr>
              <w:t xml:space="preserve">Diffusion </w:t>
            </w:r>
            <w:r w:rsidR="00A47862">
              <w:rPr>
                <w:rFonts w:ascii="Calibri" w:eastAsia="Times New Roman" w:hAnsi="Calibri" w:cs="Times New Roman"/>
                <w:sz w:val="18"/>
                <w:szCs w:val="18"/>
              </w:rPr>
              <w:t>i</w:t>
            </w:r>
            <w:r w:rsidR="00391C69" w:rsidRPr="003B7BDF">
              <w:rPr>
                <w:rFonts w:ascii="Calibri" w:eastAsia="Times New Roman" w:hAnsi="Calibri" w:cs="Times New Roman"/>
                <w:sz w:val="18"/>
                <w:szCs w:val="18"/>
              </w:rPr>
              <w:t>ndex 20</w:t>
            </w:r>
            <w:r w:rsidR="003B7BDF" w:rsidRPr="003B7BDF">
              <w:rPr>
                <w:rFonts w:ascii="Calibri" w:eastAsia="Times New Roman" w:hAnsi="Calibri" w:cs="Times New Roman"/>
                <w:sz w:val="18"/>
                <w:szCs w:val="18"/>
              </w:rPr>
              <w:t>2</w:t>
            </w:r>
            <w:r w:rsidR="00F411B9">
              <w:rPr>
                <w:rFonts w:ascii="Calibri" w:eastAsia="Times New Roman" w:hAnsi="Calibri" w:cs="Times New Roman"/>
                <w:sz w:val="18"/>
                <w:szCs w:val="18"/>
              </w:rPr>
              <w:t>2</w:t>
            </w:r>
            <w:r w:rsidRPr="003B7BDF">
              <w:rPr>
                <w:rFonts w:ascii="Calibri" w:eastAsia="Times New Roman" w:hAnsi="Calibri" w:cs="Times New Roman"/>
                <w:sz w:val="18"/>
                <w:szCs w:val="18"/>
                <w:vertAlign w:val="superscript"/>
              </w:rPr>
              <w:t>(2)</w:t>
            </w:r>
          </w:p>
        </w:tc>
      </w:tr>
      <w:tr w:rsidR="00391C69" w:rsidRPr="00623BC4" w14:paraId="028C6388" w14:textId="77777777" w:rsidTr="00B86180">
        <w:trPr>
          <w:trHeight w:val="144"/>
          <w:jc w:val="center"/>
        </w:trPr>
        <w:tc>
          <w:tcPr>
            <w:tcW w:w="3875" w:type="dxa"/>
            <w:tcBorders>
              <w:top w:val="single" w:sz="4" w:space="0" w:color="auto"/>
            </w:tcBorders>
            <w:noWrap/>
            <w:hideMark/>
          </w:tcPr>
          <w:p w14:paraId="2019B023" w14:textId="77777777" w:rsidR="00391C69" w:rsidRPr="000A28AD" w:rsidRDefault="00391C69" w:rsidP="00391C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Employment</w:t>
            </w:r>
          </w:p>
        </w:tc>
        <w:tc>
          <w:tcPr>
            <w:tcW w:w="1252" w:type="dxa"/>
            <w:tcBorders>
              <w:top w:val="single" w:sz="4" w:space="0" w:color="auto"/>
            </w:tcBorders>
            <w:noWrap/>
            <w:hideMark/>
          </w:tcPr>
          <w:p w14:paraId="1486EFAE" w14:textId="013F3D49" w:rsidR="00391C69" w:rsidRPr="00A87222" w:rsidRDefault="0081643D"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F411B9">
              <w:rPr>
                <w:rFonts w:ascii="Calibri" w:eastAsia="Times New Roman" w:hAnsi="Calibri" w:cs="Times New Roman"/>
                <w:color w:val="000000"/>
                <w:sz w:val="18"/>
                <w:szCs w:val="18"/>
              </w:rPr>
              <w:t>4</w:t>
            </w:r>
            <w:r w:rsidR="00391C69" w:rsidRPr="00A87222">
              <w:rPr>
                <w:rFonts w:ascii="Calibri" w:eastAsia="Times New Roman" w:hAnsi="Calibri" w:cs="Times New Roman"/>
                <w:color w:val="000000"/>
                <w:sz w:val="18"/>
                <w:szCs w:val="18"/>
              </w:rPr>
              <w:t>%</w:t>
            </w:r>
          </w:p>
        </w:tc>
        <w:tc>
          <w:tcPr>
            <w:tcW w:w="1293" w:type="dxa"/>
            <w:tcBorders>
              <w:top w:val="single" w:sz="4" w:space="0" w:color="auto"/>
            </w:tcBorders>
            <w:noWrap/>
            <w:hideMark/>
          </w:tcPr>
          <w:p w14:paraId="17A5AC32" w14:textId="6725E5D3"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56</w:t>
            </w:r>
            <w:r w:rsidR="00391C69" w:rsidRPr="00A87222">
              <w:rPr>
                <w:rFonts w:ascii="Calibri" w:eastAsia="Times New Roman" w:hAnsi="Calibri" w:cs="Times New Roman"/>
                <w:color w:val="000000"/>
                <w:sz w:val="18"/>
                <w:szCs w:val="18"/>
              </w:rPr>
              <w:t>%</w:t>
            </w:r>
          </w:p>
        </w:tc>
        <w:tc>
          <w:tcPr>
            <w:tcW w:w="1561" w:type="dxa"/>
            <w:tcBorders>
              <w:top w:val="single" w:sz="4" w:space="0" w:color="auto"/>
            </w:tcBorders>
            <w:noWrap/>
            <w:hideMark/>
          </w:tcPr>
          <w:p w14:paraId="49CBC6AA" w14:textId="2D921EC0"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20</w:t>
            </w:r>
            <w:r w:rsidR="00391C69" w:rsidRPr="00A87222">
              <w:rPr>
                <w:rFonts w:ascii="Calibri" w:eastAsia="Times New Roman" w:hAnsi="Calibri" w:cs="Times New Roman"/>
                <w:color w:val="000000"/>
                <w:sz w:val="18"/>
                <w:szCs w:val="18"/>
              </w:rPr>
              <w:t>%</w:t>
            </w:r>
          </w:p>
        </w:tc>
        <w:tc>
          <w:tcPr>
            <w:tcW w:w="1204" w:type="dxa"/>
            <w:tcBorders>
              <w:top w:val="single" w:sz="4" w:space="0" w:color="auto"/>
            </w:tcBorders>
            <w:noWrap/>
            <w:hideMark/>
          </w:tcPr>
          <w:p w14:paraId="2991530F" w14:textId="2DB96630" w:rsidR="00391C69" w:rsidRPr="00A87222" w:rsidRDefault="0081643D" w:rsidP="00391C69">
            <w:pPr>
              <w:jc w:val="center"/>
              <w:rPr>
                <w:rFonts w:ascii="Calibri" w:eastAsia="Times New Roman" w:hAnsi="Calibri" w:cs="Times New Roman"/>
                <w:sz w:val="18"/>
                <w:szCs w:val="18"/>
              </w:rPr>
            </w:pPr>
            <w:r>
              <w:rPr>
                <w:rFonts w:ascii="Calibri" w:eastAsia="Times New Roman" w:hAnsi="Calibri" w:cs="Times New Roman"/>
                <w:sz w:val="18"/>
                <w:szCs w:val="18"/>
              </w:rPr>
              <w:t>5</w:t>
            </w:r>
            <w:r w:rsidR="00F411B9">
              <w:rPr>
                <w:rFonts w:ascii="Calibri" w:eastAsia="Times New Roman" w:hAnsi="Calibri" w:cs="Times New Roman"/>
                <w:sz w:val="18"/>
                <w:szCs w:val="18"/>
              </w:rPr>
              <w:t>2</w:t>
            </w:r>
          </w:p>
        </w:tc>
        <w:tc>
          <w:tcPr>
            <w:tcW w:w="1355" w:type="dxa"/>
            <w:tcBorders>
              <w:top w:val="single" w:sz="4" w:space="0" w:color="auto"/>
            </w:tcBorders>
            <w:noWrap/>
            <w:hideMark/>
          </w:tcPr>
          <w:p w14:paraId="472C1E1F" w14:textId="5A507ADF"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53</w:t>
            </w:r>
          </w:p>
        </w:tc>
      </w:tr>
      <w:tr w:rsidR="00391C69" w:rsidRPr="00623BC4" w14:paraId="64409582" w14:textId="77777777" w:rsidTr="00B86180">
        <w:trPr>
          <w:trHeight w:val="144"/>
          <w:jc w:val="center"/>
        </w:trPr>
        <w:tc>
          <w:tcPr>
            <w:tcW w:w="3875" w:type="dxa"/>
            <w:noWrap/>
            <w:hideMark/>
          </w:tcPr>
          <w:p w14:paraId="5ED30AD5" w14:textId="77777777" w:rsidR="00391C69" w:rsidRPr="000A28AD" w:rsidRDefault="00391C69" w:rsidP="00391C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Consumer spending</w:t>
            </w:r>
          </w:p>
        </w:tc>
        <w:tc>
          <w:tcPr>
            <w:tcW w:w="1252" w:type="dxa"/>
            <w:noWrap/>
            <w:hideMark/>
          </w:tcPr>
          <w:p w14:paraId="61537096" w14:textId="7D3E27FE"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r w:rsidR="00391C69" w:rsidRPr="00A87222">
              <w:rPr>
                <w:rFonts w:ascii="Calibri" w:eastAsia="Times New Roman" w:hAnsi="Calibri" w:cs="Times New Roman"/>
                <w:color w:val="000000"/>
                <w:sz w:val="18"/>
                <w:szCs w:val="18"/>
              </w:rPr>
              <w:t>%</w:t>
            </w:r>
          </w:p>
        </w:tc>
        <w:tc>
          <w:tcPr>
            <w:tcW w:w="1293" w:type="dxa"/>
            <w:noWrap/>
            <w:hideMark/>
          </w:tcPr>
          <w:p w14:paraId="591307DA" w14:textId="67DE0355"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41</w:t>
            </w:r>
            <w:r w:rsidR="00391C69" w:rsidRPr="00A87222">
              <w:rPr>
                <w:rFonts w:ascii="Calibri" w:eastAsia="Times New Roman" w:hAnsi="Calibri" w:cs="Times New Roman"/>
                <w:color w:val="000000"/>
                <w:sz w:val="18"/>
                <w:szCs w:val="18"/>
              </w:rPr>
              <w:t>%</w:t>
            </w:r>
          </w:p>
        </w:tc>
        <w:tc>
          <w:tcPr>
            <w:tcW w:w="1561" w:type="dxa"/>
            <w:noWrap/>
            <w:hideMark/>
          </w:tcPr>
          <w:p w14:paraId="4A211C79" w14:textId="75D43442" w:rsidR="00391C69" w:rsidRPr="00A87222" w:rsidRDefault="0081643D"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F411B9">
              <w:rPr>
                <w:rFonts w:ascii="Calibri" w:eastAsia="Times New Roman" w:hAnsi="Calibri" w:cs="Times New Roman"/>
                <w:color w:val="000000"/>
                <w:sz w:val="18"/>
                <w:szCs w:val="18"/>
              </w:rPr>
              <w:t>0</w:t>
            </w:r>
            <w:r w:rsidR="00391C69" w:rsidRPr="00A87222">
              <w:rPr>
                <w:rFonts w:ascii="Calibri" w:eastAsia="Times New Roman" w:hAnsi="Calibri" w:cs="Times New Roman"/>
                <w:color w:val="000000"/>
                <w:sz w:val="18"/>
                <w:szCs w:val="18"/>
              </w:rPr>
              <w:t>%</w:t>
            </w:r>
          </w:p>
        </w:tc>
        <w:tc>
          <w:tcPr>
            <w:tcW w:w="1204" w:type="dxa"/>
            <w:noWrap/>
            <w:hideMark/>
          </w:tcPr>
          <w:p w14:paraId="734E2578" w14:textId="35574781"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40</w:t>
            </w:r>
          </w:p>
        </w:tc>
        <w:tc>
          <w:tcPr>
            <w:tcW w:w="1355" w:type="dxa"/>
            <w:noWrap/>
            <w:hideMark/>
          </w:tcPr>
          <w:p w14:paraId="180072CB" w14:textId="681A8360"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39</w:t>
            </w:r>
          </w:p>
        </w:tc>
      </w:tr>
      <w:tr w:rsidR="00391C69" w:rsidRPr="00623BC4" w14:paraId="511ECD78" w14:textId="77777777" w:rsidTr="00B86180">
        <w:trPr>
          <w:trHeight w:val="144"/>
          <w:jc w:val="center"/>
        </w:trPr>
        <w:tc>
          <w:tcPr>
            <w:tcW w:w="3875" w:type="dxa"/>
            <w:noWrap/>
            <w:hideMark/>
          </w:tcPr>
          <w:p w14:paraId="1CB48C2C" w14:textId="77777777" w:rsidR="00391C69" w:rsidRPr="000A28AD" w:rsidRDefault="00391C69" w:rsidP="00391C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Inflation</w:t>
            </w:r>
          </w:p>
        </w:tc>
        <w:tc>
          <w:tcPr>
            <w:tcW w:w="1252" w:type="dxa"/>
            <w:noWrap/>
            <w:hideMark/>
          </w:tcPr>
          <w:p w14:paraId="557235B2" w14:textId="4FE96CF5"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65</w:t>
            </w:r>
            <w:r w:rsidR="00391C69" w:rsidRPr="00A87222">
              <w:rPr>
                <w:rFonts w:ascii="Calibri" w:eastAsia="Times New Roman" w:hAnsi="Calibri" w:cs="Times New Roman"/>
                <w:color w:val="000000"/>
                <w:sz w:val="18"/>
                <w:szCs w:val="18"/>
              </w:rPr>
              <w:t>%</w:t>
            </w:r>
          </w:p>
        </w:tc>
        <w:tc>
          <w:tcPr>
            <w:tcW w:w="1293" w:type="dxa"/>
            <w:noWrap/>
            <w:hideMark/>
          </w:tcPr>
          <w:p w14:paraId="1982D2F8" w14:textId="05D21F83"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r w:rsidR="00391C69" w:rsidRPr="00A87222">
              <w:rPr>
                <w:rFonts w:ascii="Calibri" w:eastAsia="Times New Roman" w:hAnsi="Calibri" w:cs="Times New Roman"/>
                <w:color w:val="000000"/>
                <w:sz w:val="18"/>
                <w:szCs w:val="18"/>
              </w:rPr>
              <w:t>%</w:t>
            </w:r>
          </w:p>
        </w:tc>
        <w:tc>
          <w:tcPr>
            <w:tcW w:w="1561" w:type="dxa"/>
            <w:noWrap/>
            <w:hideMark/>
          </w:tcPr>
          <w:p w14:paraId="4AE43DBF" w14:textId="14FF04B9" w:rsidR="00391C69" w:rsidRPr="0081643D"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391C69" w:rsidRPr="0081643D">
              <w:rPr>
                <w:rFonts w:ascii="Calibri" w:eastAsia="Times New Roman" w:hAnsi="Calibri" w:cs="Times New Roman"/>
                <w:color w:val="000000"/>
                <w:sz w:val="18"/>
                <w:szCs w:val="18"/>
              </w:rPr>
              <w:t>%</w:t>
            </w:r>
          </w:p>
        </w:tc>
        <w:tc>
          <w:tcPr>
            <w:tcW w:w="1204" w:type="dxa"/>
            <w:noWrap/>
            <w:hideMark/>
          </w:tcPr>
          <w:p w14:paraId="3121B76F" w14:textId="3B162A81"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79</w:t>
            </w:r>
          </w:p>
        </w:tc>
        <w:tc>
          <w:tcPr>
            <w:tcW w:w="1355" w:type="dxa"/>
            <w:noWrap/>
            <w:hideMark/>
          </w:tcPr>
          <w:p w14:paraId="7586D824" w14:textId="7FC3D24D"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93</w:t>
            </w:r>
          </w:p>
        </w:tc>
      </w:tr>
      <w:tr w:rsidR="00391C69" w:rsidRPr="00623BC4" w14:paraId="592255BD" w14:textId="77777777" w:rsidTr="00B86180">
        <w:trPr>
          <w:trHeight w:val="144"/>
          <w:jc w:val="center"/>
        </w:trPr>
        <w:tc>
          <w:tcPr>
            <w:tcW w:w="3875" w:type="dxa"/>
            <w:noWrap/>
            <w:hideMark/>
          </w:tcPr>
          <w:p w14:paraId="25BD601E" w14:textId="77777777" w:rsidR="00391C69" w:rsidRPr="000A28AD" w:rsidRDefault="00391C69" w:rsidP="00391C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Corporate profits</w:t>
            </w:r>
          </w:p>
        </w:tc>
        <w:tc>
          <w:tcPr>
            <w:tcW w:w="1252" w:type="dxa"/>
            <w:noWrap/>
            <w:hideMark/>
          </w:tcPr>
          <w:p w14:paraId="6D1D2B79" w14:textId="366283F3"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r w:rsidR="00391C69" w:rsidRPr="00A87222">
              <w:rPr>
                <w:rFonts w:ascii="Calibri" w:eastAsia="Times New Roman" w:hAnsi="Calibri" w:cs="Times New Roman"/>
                <w:color w:val="000000"/>
                <w:sz w:val="18"/>
                <w:szCs w:val="18"/>
              </w:rPr>
              <w:t>%</w:t>
            </w:r>
          </w:p>
        </w:tc>
        <w:tc>
          <w:tcPr>
            <w:tcW w:w="1293" w:type="dxa"/>
            <w:noWrap/>
            <w:hideMark/>
          </w:tcPr>
          <w:p w14:paraId="1319B33A" w14:textId="44B7494A" w:rsidR="00391C69" w:rsidRPr="00A87222" w:rsidRDefault="0081643D"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39</w:t>
            </w:r>
            <w:r w:rsidR="00391C69" w:rsidRPr="00A87222">
              <w:rPr>
                <w:rFonts w:ascii="Calibri" w:eastAsia="Times New Roman" w:hAnsi="Calibri" w:cs="Times New Roman"/>
                <w:color w:val="000000"/>
                <w:sz w:val="18"/>
                <w:szCs w:val="18"/>
              </w:rPr>
              <w:t>%</w:t>
            </w:r>
          </w:p>
        </w:tc>
        <w:tc>
          <w:tcPr>
            <w:tcW w:w="1561" w:type="dxa"/>
            <w:noWrap/>
            <w:hideMark/>
          </w:tcPr>
          <w:p w14:paraId="5BFD6BB2" w14:textId="77182680" w:rsidR="00391C69" w:rsidRPr="00A87222" w:rsidRDefault="00F411B9"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r w:rsidR="00391C69" w:rsidRPr="00A87222">
              <w:rPr>
                <w:rFonts w:ascii="Calibri" w:eastAsia="Times New Roman" w:hAnsi="Calibri" w:cs="Times New Roman"/>
                <w:color w:val="000000"/>
                <w:sz w:val="18"/>
                <w:szCs w:val="18"/>
              </w:rPr>
              <w:t>%</w:t>
            </w:r>
          </w:p>
        </w:tc>
        <w:tc>
          <w:tcPr>
            <w:tcW w:w="1204" w:type="dxa"/>
            <w:noWrap/>
            <w:hideMark/>
          </w:tcPr>
          <w:p w14:paraId="24196B46" w14:textId="03C43EDE"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45</w:t>
            </w:r>
          </w:p>
        </w:tc>
        <w:tc>
          <w:tcPr>
            <w:tcW w:w="1355" w:type="dxa"/>
            <w:noWrap/>
            <w:hideMark/>
          </w:tcPr>
          <w:p w14:paraId="7E352D93" w14:textId="1B446BAF"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38</w:t>
            </w:r>
          </w:p>
        </w:tc>
      </w:tr>
      <w:tr w:rsidR="00391C69" w:rsidRPr="00623BC4" w14:paraId="585A7D94" w14:textId="77777777" w:rsidTr="00B86180">
        <w:trPr>
          <w:trHeight w:val="144"/>
          <w:jc w:val="center"/>
        </w:trPr>
        <w:tc>
          <w:tcPr>
            <w:tcW w:w="3875" w:type="dxa"/>
            <w:noWrap/>
            <w:hideMark/>
          </w:tcPr>
          <w:p w14:paraId="15401EE3" w14:textId="6738F523" w:rsidR="00391C69" w:rsidRPr="000A28AD" w:rsidRDefault="00391C69" w:rsidP="00391C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Mergers and </w:t>
            </w:r>
            <w:r w:rsidR="00097993">
              <w:rPr>
                <w:rFonts w:ascii="Calibri" w:eastAsia="Times New Roman" w:hAnsi="Calibri" w:cs="Times New Roman"/>
                <w:color w:val="000000"/>
                <w:sz w:val="18"/>
                <w:szCs w:val="18"/>
              </w:rPr>
              <w:t>a</w:t>
            </w:r>
            <w:r>
              <w:rPr>
                <w:rFonts w:ascii="Calibri" w:eastAsia="Times New Roman" w:hAnsi="Calibri" w:cs="Times New Roman"/>
                <w:color w:val="000000"/>
                <w:sz w:val="18"/>
                <w:szCs w:val="18"/>
              </w:rPr>
              <w:t>cquisitions</w:t>
            </w:r>
          </w:p>
        </w:tc>
        <w:tc>
          <w:tcPr>
            <w:tcW w:w="1252" w:type="dxa"/>
            <w:noWrap/>
            <w:hideMark/>
          </w:tcPr>
          <w:p w14:paraId="57ED9B2B" w14:textId="01FACAAC" w:rsidR="00391C69" w:rsidRPr="00A87222" w:rsidRDefault="0081643D"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F411B9">
              <w:rPr>
                <w:rFonts w:ascii="Calibri" w:eastAsia="Times New Roman" w:hAnsi="Calibri" w:cs="Times New Roman"/>
                <w:color w:val="000000"/>
                <w:sz w:val="18"/>
                <w:szCs w:val="18"/>
              </w:rPr>
              <w:t>3</w:t>
            </w:r>
            <w:r w:rsidR="00391C69" w:rsidRPr="00A87222">
              <w:rPr>
                <w:rFonts w:ascii="Calibri" w:eastAsia="Times New Roman" w:hAnsi="Calibri" w:cs="Times New Roman"/>
                <w:color w:val="000000"/>
                <w:sz w:val="18"/>
                <w:szCs w:val="18"/>
              </w:rPr>
              <w:t>%</w:t>
            </w:r>
          </w:p>
        </w:tc>
        <w:tc>
          <w:tcPr>
            <w:tcW w:w="1293" w:type="dxa"/>
            <w:noWrap/>
            <w:hideMark/>
          </w:tcPr>
          <w:p w14:paraId="51669D02" w14:textId="18D601ED" w:rsidR="00391C69" w:rsidRPr="00A87222" w:rsidRDefault="00532ED4" w:rsidP="00391C69">
            <w:pPr>
              <w:jc w:val="center"/>
              <w:rPr>
                <w:rFonts w:ascii="Calibri" w:eastAsia="Times New Roman" w:hAnsi="Calibri" w:cs="Times New Roman"/>
                <w:color w:val="000000"/>
                <w:sz w:val="18"/>
                <w:szCs w:val="18"/>
              </w:rPr>
            </w:pPr>
            <w:r w:rsidRPr="00A87222">
              <w:rPr>
                <w:rFonts w:ascii="Calibri" w:eastAsia="Times New Roman" w:hAnsi="Calibri" w:cs="Times New Roman"/>
                <w:color w:val="000000"/>
                <w:sz w:val="18"/>
                <w:szCs w:val="18"/>
              </w:rPr>
              <w:t>5</w:t>
            </w:r>
            <w:r w:rsidR="00F411B9">
              <w:rPr>
                <w:rFonts w:ascii="Calibri" w:eastAsia="Times New Roman" w:hAnsi="Calibri" w:cs="Times New Roman"/>
                <w:color w:val="000000"/>
                <w:sz w:val="18"/>
                <w:szCs w:val="18"/>
              </w:rPr>
              <w:t>3</w:t>
            </w:r>
            <w:r w:rsidR="00391C69" w:rsidRPr="00A87222">
              <w:rPr>
                <w:rFonts w:ascii="Calibri" w:eastAsia="Times New Roman" w:hAnsi="Calibri" w:cs="Times New Roman"/>
                <w:color w:val="000000"/>
                <w:sz w:val="18"/>
                <w:szCs w:val="18"/>
              </w:rPr>
              <w:t>%</w:t>
            </w:r>
          </w:p>
        </w:tc>
        <w:tc>
          <w:tcPr>
            <w:tcW w:w="1561" w:type="dxa"/>
            <w:noWrap/>
            <w:hideMark/>
          </w:tcPr>
          <w:p w14:paraId="68A22E24" w14:textId="607D6DA5" w:rsidR="00391C69" w:rsidRPr="00A87222" w:rsidRDefault="0081643D" w:rsidP="00391C6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F411B9">
              <w:rPr>
                <w:rFonts w:ascii="Calibri" w:eastAsia="Times New Roman" w:hAnsi="Calibri" w:cs="Times New Roman"/>
                <w:color w:val="000000"/>
                <w:sz w:val="18"/>
                <w:szCs w:val="18"/>
              </w:rPr>
              <w:t>4</w:t>
            </w:r>
            <w:r w:rsidR="00391C69" w:rsidRPr="00A87222">
              <w:rPr>
                <w:rFonts w:ascii="Calibri" w:eastAsia="Times New Roman" w:hAnsi="Calibri" w:cs="Times New Roman"/>
                <w:color w:val="000000"/>
                <w:sz w:val="18"/>
                <w:szCs w:val="18"/>
              </w:rPr>
              <w:t>%</w:t>
            </w:r>
          </w:p>
        </w:tc>
        <w:tc>
          <w:tcPr>
            <w:tcW w:w="1204" w:type="dxa"/>
            <w:noWrap/>
            <w:hideMark/>
          </w:tcPr>
          <w:p w14:paraId="30D101CE" w14:textId="64D145A0"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60</w:t>
            </w:r>
          </w:p>
        </w:tc>
        <w:tc>
          <w:tcPr>
            <w:tcW w:w="1355" w:type="dxa"/>
            <w:noWrap/>
            <w:hideMark/>
          </w:tcPr>
          <w:p w14:paraId="5D3F16CC" w14:textId="13D6B5E1" w:rsidR="00391C69" w:rsidRPr="00A87222" w:rsidRDefault="00F411B9" w:rsidP="00391C69">
            <w:pPr>
              <w:jc w:val="center"/>
              <w:rPr>
                <w:rFonts w:ascii="Calibri" w:eastAsia="Times New Roman" w:hAnsi="Calibri" w:cs="Times New Roman"/>
                <w:sz w:val="18"/>
                <w:szCs w:val="18"/>
              </w:rPr>
            </w:pPr>
            <w:r>
              <w:rPr>
                <w:rFonts w:ascii="Calibri" w:eastAsia="Times New Roman" w:hAnsi="Calibri" w:cs="Times New Roman"/>
                <w:sz w:val="18"/>
                <w:szCs w:val="18"/>
              </w:rPr>
              <w:t>3</w:t>
            </w:r>
            <w:r w:rsidR="0081643D">
              <w:rPr>
                <w:rFonts w:ascii="Calibri" w:eastAsia="Times New Roman" w:hAnsi="Calibri" w:cs="Times New Roman"/>
                <w:sz w:val="18"/>
                <w:szCs w:val="18"/>
              </w:rPr>
              <w:t>3</w:t>
            </w:r>
          </w:p>
        </w:tc>
      </w:tr>
    </w:tbl>
    <w:p w14:paraId="22907F11" w14:textId="77777777" w:rsidR="00C2607A" w:rsidRDefault="00C2607A" w:rsidP="009B3DF5">
      <w:pPr>
        <w:spacing w:after="0" w:line="72" w:lineRule="auto"/>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Caption w:val="Changes in credit conditions"/>
        <w:tblDescription w:val="Table showing that 68 percent of respondents did not experience changes in credit conditions."/>
      </w:tblPr>
      <w:tblGrid>
        <w:gridCol w:w="2241"/>
        <w:gridCol w:w="848"/>
        <w:gridCol w:w="848"/>
        <w:gridCol w:w="974"/>
        <w:gridCol w:w="1275"/>
        <w:gridCol w:w="1023"/>
        <w:gridCol w:w="1107"/>
        <w:gridCol w:w="1016"/>
        <w:gridCol w:w="1198"/>
      </w:tblGrid>
      <w:tr w:rsidR="00AF157E" w:rsidRPr="000A28AD" w14:paraId="52D09CE3" w14:textId="4C86D685" w:rsidTr="00531B4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bottom w:val="single" w:sz="4" w:space="0" w:color="auto"/>
            </w:tcBorders>
            <w:shd w:val="clear" w:color="auto" w:fill="BDD6EE" w:themeFill="accent1" w:themeFillTint="66"/>
            <w:noWrap/>
            <w:hideMark/>
          </w:tcPr>
          <w:p w14:paraId="46F1B1A1" w14:textId="6CA292A4" w:rsidR="00AF157E" w:rsidRDefault="00AF157E" w:rsidP="00AF157E">
            <w:pPr>
              <w:tabs>
                <w:tab w:val="left" w:pos="1791"/>
              </w:tabs>
              <w:rPr>
                <w:rFonts w:ascii="Calibri" w:eastAsia="Times New Roman" w:hAnsi="Calibri" w:cs="Times New Roman"/>
                <w:b w:val="0"/>
                <w:bCs w:val="0"/>
                <w:color w:val="000000"/>
                <w:sz w:val="18"/>
                <w:szCs w:val="18"/>
              </w:rPr>
            </w:pPr>
            <w:r>
              <w:rPr>
                <w:rFonts w:ascii="Calibri" w:eastAsia="Times New Roman" w:hAnsi="Calibri" w:cs="Times New Roman"/>
                <w:color w:val="000000"/>
                <w:sz w:val="18"/>
                <w:szCs w:val="18"/>
              </w:rPr>
              <w:t>Have changes  in</w:t>
            </w:r>
          </w:p>
          <w:p w14:paraId="74DE0154" w14:textId="6996DD7B" w:rsidR="00AF157E" w:rsidRDefault="00AF157E" w:rsidP="001631FC">
            <w:pPr>
              <w:rPr>
                <w:rFonts w:ascii="Calibri" w:eastAsia="Times New Roman" w:hAnsi="Calibri" w:cs="Times New Roman"/>
                <w:b w:val="0"/>
                <w:bCs w:val="0"/>
                <w:color w:val="000000"/>
                <w:sz w:val="18"/>
                <w:szCs w:val="18"/>
              </w:rPr>
            </w:pPr>
            <w:r>
              <w:rPr>
                <w:rFonts w:ascii="Calibri" w:eastAsia="Times New Roman" w:hAnsi="Calibri" w:cs="Times New Roman"/>
                <w:color w:val="000000"/>
                <w:sz w:val="18"/>
                <w:szCs w:val="18"/>
              </w:rPr>
              <w:t>in credit conditions</w:t>
            </w:r>
            <w:r>
              <w:rPr>
                <w:rFonts w:ascii="Calibri" w:eastAsia="Times New Roman" w:hAnsi="Calibri" w:cs="Times New Roman"/>
                <w:color w:val="000000"/>
                <w:sz w:val="18"/>
                <w:szCs w:val="18"/>
              </w:rPr>
              <w:br/>
              <w:t>in the last 4 quarters</w:t>
            </w:r>
          </w:p>
          <w:p w14:paraId="1C678306" w14:textId="49B8A616" w:rsidR="00AF157E" w:rsidRPr="000A28AD" w:rsidRDefault="00AF157E" w:rsidP="001631F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affected your firm?</w:t>
            </w:r>
          </w:p>
        </w:tc>
        <w:tc>
          <w:tcPr>
            <w:tcW w:w="848" w:type="dxa"/>
            <w:tcBorders>
              <w:top w:val="single" w:sz="4" w:space="0" w:color="auto"/>
              <w:bottom w:val="single" w:sz="4" w:space="0" w:color="auto"/>
            </w:tcBorders>
            <w:shd w:val="clear" w:color="auto" w:fill="BDD6EE" w:themeFill="accent1" w:themeFillTint="66"/>
          </w:tcPr>
          <w:p w14:paraId="70119573" w14:textId="77777777" w:rsidR="00AF157E"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Pr>
                <w:rFonts w:ascii="Calibri" w:eastAsia="Times New Roman" w:hAnsi="Calibri" w:cs="Times New Roman"/>
                <w:color w:val="000000"/>
                <w:sz w:val="18"/>
                <w:szCs w:val="18"/>
              </w:rPr>
              <w:t xml:space="preserve">Higher </w:t>
            </w:r>
          </w:p>
          <w:p w14:paraId="2D7D57A1" w14:textId="77777777" w:rsidR="00AF157E"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Pr>
                <w:rFonts w:ascii="Calibri" w:eastAsia="Times New Roman" w:hAnsi="Calibri" w:cs="Times New Roman"/>
                <w:color w:val="000000"/>
                <w:sz w:val="18"/>
                <w:szCs w:val="18"/>
              </w:rPr>
              <w:t xml:space="preserve">Interest </w:t>
            </w:r>
          </w:p>
          <w:p w14:paraId="3C2B90CC" w14:textId="6D9BDEE4" w:rsidR="00AF157E"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rates</w:t>
            </w:r>
          </w:p>
        </w:tc>
        <w:tc>
          <w:tcPr>
            <w:tcW w:w="848" w:type="dxa"/>
            <w:tcBorders>
              <w:top w:val="single" w:sz="4" w:space="0" w:color="auto"/>
              <w:bottom w:val="single" w:sz="4" w:space="0" w:color="auto"/>
            </w:tcBorders>
            <w:shd w:val="clear" w:color="auto" w:fill="BDD6EE" w:themeFill="accent1" w:themeFillTint="66"/>
            <w:noWrap/>
            <w:hideMark/>
          </w:tcPr>
          <w:p w14:paraId="4A1A3A79" w14:textId="12C21EFD" w:rsidR="00AF157E" w:rsidRPr="000A28AD"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w:t>
            </w:r>
            <w:r>
              <w:rPr>
                <w:rFonts w:ascii="Calibri" w:eastAsia="Times New Roman" w:hAnsi="Calibri" w:cs="Times New Roman"/>
                <w:color w:val="000000"/>
                <w:sz w:val="18"/>
                <w:szCs w:val="18"/>
              </w:rPr>
              <w:br/>
              <w:t>Changes</w:t>
            </w:r>
          </w:p>
        </w:tc>
        <w:tc>
          <w:tcPr>
            <w:tcW w:w="974" w:type="dxa"/>
            <w:tcBorders>
              <w:top w:val="single" w:sz="4" w:space="0" w:color="auto"/>
              <w:bottom w:val="single" w:sz="4" w:space="0" w:color="auto"/>
            </w:tcBorders>
            <w:shd w:val="clear" w:color="auto" w:fill="BDD6EE" w:themeFill="accent1" w:themeFillTint="66"/>
            <w:noWrap/>
            <w:hideMark/>
          </w:tcPr>
          <w:p w14:paraId="6B41FDC2" w14:textId="589D9A40" w:rsidR="00AF157E" w:rsidRPr="000A28AD"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Increased Hiring</w:t>
            </w:r>
          </w:p>
        </w:tc>
        <w:tc>
          <w:tcPr>
            <w:tcW w:w="1275" w:type="dxa"/>
            <w:tcBorders>
              <w:top w:val="single" w:sz="4" w:space="0" w:color="auto"/>
              <w:bottom w:val="single" w:sz="4" w:space="0" w:color="auto"/>
            </w:tcBorders>
            <w:shd w:val="clear" w:color="auto" w:fill="BDD6EE" w:themeFill="accent1" w:themeFillTint="66"/>
            <w:noWrap/>
            <w:hideMark/>
          </w:tcPr>
          <w:p w14:paraId="5DB0F875" w14:textId="77777777" w:rsidR="00AF157E"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Increased</w:t>
            </w:r>
          </w:p>
          <w:p w14:paraId="69387971" w14:textId="77777777" w:rsidR="00AF157E" w:rsidRPr="000A28AD"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Capital Expenditures</w:t>
            </w:r>
          </w:p>
        </w:tc>
        <w:tc>
          <w:tcPr>
            <w:tcW w:w="1023" w:type="dxa"/>
            <w:tcBorders>
              <w:top w:val="single" w:sz="4" w:space="0" w:color="auto"/>
              <w:bottom w:val="single" w:sz="4" w:space="0" w:color="auto"/>
            </w:tcBorders>
            <w:shd w:val="clear" w:color="auto" w:fill="BDD6EE" w:themeFill="accent1" w:themeFillTint="66"/>
            <w:noWrap/>
            <w:hideMark/>
          </w:tcPr>
          <w:p w14:paraId="3697D532" w14:textId="313377D8" w:rsidR="00AF157E" w:rsidRPr="000A28AD"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Decreased</w:t>
            </w:r>
            <w:r>
              <w:rPr>
                <w:rFonts w:ascii="Calibri" w:eastAsia="Times New Roman" w:hAnsi="Calibri" w:cs="Times New Roman"/>
                <w:color w:val="000000"/>
                <w:sz w:val="18"/>
                <w:szCs w:val="18"/>
              </w:rPr>
              <w:br/>
              <w:t>Hiring</w:t>
            </w:r>
          </w:p>
        </w:tc>
        <w:tc>
          <w:tcPr>
            <w:tcW w:w="1107" w:type="dxa"/>
            <w:tcBorders>
              <w:top w:val="single" w:sz="4" w:space="0" w:color="auto"/>
              <w:bottom w:val="single" w:sz="4" w:space="0" w:color="auto"/>
            </w:tcBorders>
            <w:shd w:val="clear" w:color="auto" w:fill="BDD6EE" w:themeFill="accent1" w:themeFillTint="66"/>
            <w:noWrap/>
            <w:hideMark/>
          </w:tcPr>
          <w:p w14:paraId="79DA9D47" w14:textId="238A2564" w:rsidR="00AF157E" w:rsidRPr="000A28AD"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Decreased </w:t>
            </w:r>
            <w:r>
              <w:rPr>
                <w:rFonts w:ascii="Calibri" w:eastAsia="Times New Roman" w:hAnsi="Calibri" w:cs="Times New Roman"/>
                <w:color w:val="000000"/>
                <w:sz w:val="18"/>
                <w:szCs w:val="18"/>
              </w:rPr>
              <w:br/>
              <w:t>Capital Expend.</w:t>
            </w:r>
          </w:p>
        </w:tc>
        <w:tc>
          <w:tcPr>
            <w:tcW w:w="1016" w:type="dxa"/>
            <w:tcBorders>
              <w:top w:val="single" w:sz="4" w:space="0" w:color="auto"/>
              <w:bottom w:val="single" w:sz="4" w:space="0" w:color="auto"/>
            </w:tcBorders>
            <w:shd w:val="clear" w:color="auto" w:fill="BDD6EE" w:themeFill="accent1" w:themeFillTint="66"/>
          </w:tcPr>
          <w:p w14:paraId="6BE091D8" w14:textId="1636236B" w:rsidR="00AF157E"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No</w:t>
            </w:r>
            <w:r>
              <w:rPr>
                <w:rFonts w:ascii="Calibri" w:eastAsia="Times New Roman" w:hAnsi="Calibri" w:cs="Times New Roman"/>
                <w:color w:val="000000"/>
                <w:sz w:val="18"/>
                <w:szCs w:val="18"/>
              </w:rPr>
              <w:br/>
              <w:t>Diff.</w:t>
            </w:r>
            <w:r>
              <w:rPr>
                <w:rFonts w:ascii="Calibri" w:eastAsia="Times New Roman" w:hAnsi="Calibri" w:cs="Times New Roman"/>
                <w:color w:val="000000"/>
                <w:sz w:val="18"/>
                <w:szCs w:val="18"/>
              </w:rPr>
              <w:br/>
              <w:t>accessing credit</w:t>
            </w:r>
          </w:p>
        </w:tc>
        <w:tc>
          <w:tcPr>
            <w:tcW w:w="1198" w:type="dxa"/>
            <w:tcBorders>
              <w:top w:val="single" w:sz="4" w:space="0" w:color="auto"/>
              <w:bottom w:val="single" w:sz="4" w:space="0" w:color="auto"/>
            </w:tcBorders>
            <w:shd w:val="clear" w:color="auto" w:fill="BDD6EE" w:themeFill="accent1" w:themeFillTint="66"/>
          </w:tcPr>
          <w:p w14:paraId="4FDDB9C1" w14:textId="10ADEE86" w:rsidR="00AF157E" w:rsidRDefault="00AF157E" w:rsidP="006322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Difficulties</w:t>
            </w:r>
            <w:r>
              <w:rPr>
                <w:rFonts w:ascii="Calibri" w:eastAsia="Times New Roman" w:hAnsi="Calibri" w:cs="Times New Roman"/>
                <w:color w:val="000000"/>
                <w:sz w:val="18"/>
                <w:szCs w:val="18"/>
              </w:rPr>
              <w:br/>
              <w:t xml:space="preserve">accessing </w:t>
            </w:r>
            <w:r>
              <w:rPr>
                <w:rFonts w:ascii="Calibri" w:eastAsia="Times New Roman" w:hAnsi="Calibri" w:cs="Times New Roman"/>
                <w:color w:val="000000"/>
                <w:sz w:val="18"/>
                <w:szCs w:val="18"/>
              </w:rPr>
              <w:br/>
              <w:t>credit</w:t>
            </w:r>
          </w:p>
        </w:tc>
      </w:tr>
      <w:tr w:rsidR="00AF157E" w:rsidRPr="000A28AD" w14:paraId="56C6D4DB" w14:textId="1AD6EDD9" w:rsidTr="00531B4E">
        <w:trPr>
          <w:trHeight w:val="144"/>
          <w:jc w:val="cent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tcBorders>
            <w:noWrap/>
            <w:hideMark/>
          </w:tcPr>
          <w:p w14:paraId="281F801E" w14:textId="1E6E4B6E" w:rsidR="00AF157E" w:rsidRPr="000A28AD" w:rsidRDefault="006F6BE5" w:rsidP="001631FC">
            <w:pPr>
              <w:rPr>
                <w:rFonts w:ascii="Calibri" w:eastAsia="Times New Roman" w:hAnsi="Calibri" w:cs="Times New Roman"/>
                <w:b w:val="0"/>
                <w:color w:val="000000"/>
                <w:sz w:val="18"/>
                <w:szCs w:val="18"/>
              </w:rPr>
            </w:pPr>
            <w:r w:rsidRPr="00A47862">
              <w:rPr>
                <w:rFonts w:ascii="Calibri" w:eastAsia="Times New Roman" w:hAnsi="Calibri" w:cs="Times New Roman"/>
                <w:b w:val="0"/>
                <w:color w:val="000000"/>
                <w:sz w:val="18"/>
                <w:szCs w:val="18"/>
              </w:rPr>
              <w:t>Percent</w:t>
            </w:r>
          </w:p>
        </w:tc>
        <w:tc>
          <w:tcPr>
            <w:tcW w:w="848" w:type="dxa"/>
            <w:tcBorders>
              <w:top w:val="single" w:sz="4" w:space="0" w:color="auto"/>
            </w:tcBorders>
          </w:tcPr>
          <w:p w14:paraId="4517D708" w14:textId="2F26B6D1" w:rsidR="00AF157E"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35%</w:t>
            </w:r>
          </w:p>
        </w:tc>
        <w:tc>
          <w:tcPr>
            <w:tcW w:w="848" w:type="dxa"/>
            <w:tcBorders>
              <w:top w:val="single" w:sz="4" w:space="0" w:color="auto"/>
            </w:tcBorders>
            <w:noWrap/>
            <w:hideMark/>
          </w:tcPr>
          <w:p w14:paraId="5B82B598" w14:textId="0F4FD376" w:rsidR="00AF157E" w:rsidRPr="00A87222"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53</w:t>
            </w:r>
            <w:r w:rsidRPr="00A87222">
              <w:rPr>
                <w:rFonts w:ascii="Calibri" w:eastAsia="Times New Roman" w:hAnsi="Calibri" w:cs="Times New Roman"/>
                <w:color w:val="000000"/>
                <w:sz w:val="18"/>
                <w:szCs w:val="18"/>
              </w:rPr>
              <w:t>%</w:t>
            </w:r>
          </w:p>
        </w:tc>
        <w:tc>
          <w:tcPr>
            <w:tcW w:w="974" w:type="dxa"/>
            <w:tcBorders>
              <w:top w:val="single" w:sz="4" w:space="0" w:color="auto"/>
            </w:tcBorders>
            <w:noWrap/>
            <w:hideMark/>
          </w:tcPr>
          <w:p w14:paraId="407D78FC" w14:textId="5A2BBABE" w:rsidR="00AF157E" w:rsidRPr="00A87222"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Pr="00A87222">
              <w:rPr>
                <w:rFonts w:ascii="Calibri" w:eastAsia="Times New Roman" w:hAnsi="Calibri" w:cs="Times New Roman"/>
                <w:color w:val="000000"/>
                <w:sz w:val="18"/>
                <w:szCs w:val="18"/>
              </w:rPr>
              <w:t>%</w:t>
            </w:r>
          </w:p>
        </w:tc>
        <w:tc>
          <w:tcPr>
            <w:tcW w:w="1275" w:type="dxa"/>
            <w:tcBorders>
              <w:top w:val="single" w:sz="4" w:space="0" w:color="auto"/>
            </w:tcBorders>
            <w:noWrap/>
            <w:hideMark/>
          </w:tcPr>
          <w:p w14:paraId="2897438D" w14:textId="769EFCF8" w:rsidR="00AF157E" w:rsidRPr="00A87222"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Pr="00A87222">
              <w:rPr>
                <w:rFonts w:ascii="Calibri" w:eastAsia="Times New Roman" w:hAnsi="Calibri" w:cs="Times New Roman"/>
                <w:color w:val="000000"/>
                <w:sz w:val="18"/>
                <w:szCs w:val="18"/>
              </w:rPr>
              <w:t>%</w:t>
            </w:r>
          </w:p>
        </w:tc>
        <w:tc>
          <w:tcPr>
            <w:tcW w:w="1023" w:type="dxa"/>
            <w:tcBorders>
              <w:top w:val="single" w:sz="4" w:space="0" w:color="auto"/>
            </w:tcBorders>
            <w:noWrap/>
            <w:hideMark/>
          </w:tcPr>
          <w:p w14:paraId="4E073032" w14:textId="588B5FEB" w:rsidR="00AF157E" w:rsidRPr="00A87222"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Pr="00A87222">
              <w:rPr>
                <w:rFonts w:ascii="Calibri" w:eastAsia="Times New Roman" w:hAnsi="Calibri" w:cs="Times New Roman"/>
                <w:color w:val="000000"/>
                <w:sz w:val="18"/>
                <w:szCs w:val="18"/>
              </w:rPr>
              <w:t>%</w:t>
            </w:r>
          </w:p>
        </w:tc>
        <w:tc>
          <w:tcPr>
            <w:tcW w:w="1107" w:type="dxa"/>
            <w:tcBorders>
              <w:top w:val="single" w:sz="4" w:space="0" w:color="auto"/>
            </w:tcBorders>
            <w:noWrap/>
            <w:hideMark/>
          </w:tcPr>
          <w:p w14:paraId="04D0BBF2" w14:textId="6CAF8A1C" w:rsidR="00AF157E" w:rsidRPr="00A87222"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20</w:t>
            </w:r>
            <w:r w:rsidRPr="00A87222">
              <w:rPr>
                <w:rFonts w:ascii="Calibri" w:eastAsia="Times New Roman" w:hAnsi="Calibri" w:cs="Times New Roman"/>
                <w:color w:val="000000"/>
                <w:sz w:val="18"/>
                <w:szCs w:val="18"/>
              </w:rPr>
              <w:t>%</w:t>
            </w:r>
          </w:p>
        </w:tc>
        <w:tc>
          <w:tcPr>
            <w:tcW w:w="1016" w:type="dxa"/>
            <w:tcBorders>
              <w:top w:val="single" w:sz="4" w:space="0" w:color="auto"/>
            </w:tcBorders>
          </w:tcPr>
          <w:p w14:paraId="426F68FC" w14:textId="5D85F3D8" w:rsidR="00AF157E"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p>
        </w:tc>
        <w:tc>
          <w:tcPr>
            <w:tcW w:w="1198" w:type="dxa"/>
            <w:tcBorders>
              <w:top w:val="single" w:sz="4" w:space="0" w:color="auto"/>
            </w:tcBorders>
          </w:tcPr>
          <w:p w14:paraId="471B6C81" w14:textId="5215181A" w:rsidR="00AF157E"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p>
        </w:tc>
      </w:tr>
    </w:tbl>
    <w:bookmarkEnd w:id="0"/>
    <w:p w14:paraId="6D6EFC57" w14:textId="527E0D25" w:rsidR="005D08DD" w:rsidRDefault="008A5EF8" w:rsidP="008A5EF8">
      <w:pPr>
        <w:spacing w:after="0" w:line="240" w:lineRule="auto"/>
        <w:ind w:left="86"/>
      </w:pPr>
      <w:r w:rsidRPr="00FA5554">
        <w:rPr>
          <w:sz w:val="16"/>
          <w:szCs w:val="16"/>
        </w:rPr>
        <w:t>1) Based on responses from 22</w:t>
      </w:r>
      <w:r>
        <w:rPr>
          <w:sz w:val="16"/>
          <w:szCs w:val="16"/>
        </w:rPr>
        <w:t>9</w:t>
      </w:r>
      <w:r w:rsidRPr="00FA5554">
        <w:rPr>
          <w:sz w:val="16"/>
          <w:szCs w:val="16"/>
        </w:rPr>
        <w:t xml:space="preserve"> Minnesota business service firms, for a response rate of 1</w:t>
      </w:r>
      <w:r>
        <w:rPr>
          <w:sz w:val="16"/>
          <w:szCs w:val="16"/>
        </w:rPr>
        <w:t>9.</w:t>
      </w:r>
      <w:r w:rsidR="00F87D08">
        <w:rPr>
          <w:sz w:val="16"/>
          <w:szCs w:val="16"/>
        </w:rPr>
        <w:t>0</w:t>
      </w:r>
      <w:r w:rsidRPr="00FA5554">
        <w:rPr>
          <w:sz w:val="16"/>
          <w:szCs w:val="16"/>
        </w:rPr>
        <w:t xml:space="preserve">%.  Percentages might not add to 100% due to rounding. </w:t>
      </w:r>
      <w:r w:rsidRPr="00FA5554">
        <w:rPr>
          <w:sz w:val="16"/>
          <w:szCs w:val="16"/>
        </w:rPr>
        <w:br/>
        <w:t xml:space="preserve">(2) A diffusion index greater than 50 indicates expansion, lower than 50 indicates contraction. </w:t>
      </w:r>
      <w:r w:rsidRPr="00FA5554">
        <w:rPr>
          <w:sz w:val="16"/>
          <w:szCs w:val="16"/>
        </w:rPr>
        <w:br/>
        <w:t>Prepared by the Economic Analysis Unit, Minnesota Department of Employment and Economic Development, June 202</w:t>
      </w:r>
      <w:r>
        <w:rPr>
          <w:sz w:val="16"/>
          <w:szCs w:val="16"/>
        </w:rPr>
        <w:t>3</w:t>
      </w:r>
      <w:r w:rsidRPr="00FA5554">
        <w:rPr>
          <w:sz w:val="16"/>
          <w:szCs w:val="16"/>
        </w:rPr>
        <w:t>.</w:t>
      </w:r>
      <w:r w:rsidRPr="00FA5554">
        <w:rPr>
          <w:sz w:val="16"/>
          <w:szCs w:val="16"/>
        </w:rPr>
        <w:br/>
      </w:r>
    </w:p>
    <w:p w14:paraId="5C567AF9" w14:textId="6913AE4B" w:rsidR="00B86180" w:rsidRDefault="00B86180" w:rsidP="008A5EF8">
      <w:pPr>
        <w:spacing w:before="120" w:after="120" w:line="240" w:lineRule="auto"/>
        <w:sectPr w:rsidR="00B86180" w:rsidSect="009969EB">
          <w:type w:val="continuous"/>
          <w:pgSz w:w="12240" w:h="15840"/>
          <w:pgMar w:top="720" w:right="720" w:bottom="720" w:left="720" w:header="720" w:footer="720" w:gutter="0"/>
          <w:cols w:space="720"/>
          <w:docGrid w:linePitch="360"/>
        </w:sectPr>
      </w:pPr>
    </w:p>
    <w:p w14:paraId="59B7FE3A" w14:textId="05180665" w:rsidR="00AF157E" w:rsidRPr="008A5EF8" w:rsidRDefault="008A5EF8" w:rsidP="00531B4E">
      <w:pPr>
        <w:tabs>
          <w:tab w:val="left" w:pos="180"/>
        </w:tabs>
        <w:rPr>
          <w:i/>
          <w:iCs/>
          <w:sz w:val="16"/>
          <w:szCs w:val="16"/>
        </w:rPr>
      </w:pPr>
      <w:r>
        <w:rPr>
          <w:i/>
          <w:iCs/>
          <w:sz w:val="28"/>
          <w:szCs w:val="28"/>
        </w:rPr>
        <w:tab/>
      </w:r>
    </w:p>
    <w:p w14:paraId="6A4837D8" w14:textId="77777777" w:rsidR="00E1535A" w:rsidRDefault="00E1535A" w:rsidP="00563908">
      <w:pPr>
        <w:pStyle w:val="Title"/>
        <w:rPr>
          <w:b/>
          <w:bCs/>
          <w:color w:val="1F4E79" w:themeColor="accent1" w:themeShade="80"/>
          <w:sz w:val="22"/>
          <w:szCs w:val="22"/>
        </w:rPr>
      </w:pPr>
      <w:r>
        <w:rPr>
          <w:b/>
          <w:bCs/>
          <w:color w:val="1F4E79" w:themeColor="accent1" w:themeShade="80"/>
          <w:sz w:val="22"/>
          <w:szCs w:val="22"/>
        </w:rPr>
        <w:br w:type="page"/>
      </w:r>
    </w:p>
    <w:p w14:paraId="3C51F250" w14:textId="1366D00D" w:rsidR="00AF157E" w:rsidRPr="00043FE7" w:rsidRDefault="00563908" w:rsidP="00563908">
      <w:pPr>
        <w:pStyle w:val="Title"/>
        <w:rPr>
          <w:b/>
          <w:bCs/>
          <w:color w:val="1F4E79" w:themeColor="accent1" w:themeShade="80"/>
          <w:sz w:val="22"/>
          <w:szCs w:val="22"/>
        </w:rPr>
      </w:pPr>
      <w:r w:rsidRPr="00043FE7">
        <w:rPr>
          <w:b/>
          <w:bCs/>
          <w:color w:val="1F4E79" w:themeColor="accent1" w:themeShade="80"/>
          <w:sz w:val="22"/>
          <w:szCs w:val="22"/>
        </w:rPr>
        <w:t>Sources of Inflation Pressure Compared to The Previous Year</w:t>
      </w:r>
    </w:p>
    <w:tbl>
      <w:tblPr>
        <w:tblStyle w:val="TableGrid"/>
        <w:tblW w:w="10885" w:type="dxa"/>
        <w:tblLook w:val="04A0" w:firstRow="1" w:lastRow="0" w:firstColumn="1" w:lastColumn="0" w:noHBand="0" w:noVBand="1"/>
      </w:tblPr>
      <w:tblGrid>
        <w:gridCol w:w="3502"/>
        <w:gridCol w:w="1803"/>
        <w:gridCol w:w="1800"/>
        <w:gridCol w:w="1890"/>
        <w:gridCol w:w="1890"/>
      </w:tblGrid>
      <w:tr w:rsidR="008A5EF8" w14:paraId="2931BDAF" w14:textId="77777777" w:rsidTr="008A5EF8">
        <w:tc>
          <w:tcPr>
            <w:tcW w:w="3502" w:type="dxa"/>
            <w:shd w:val="clear" w:color="auto" w:fill="9CC2E5" w:themeFill="accent1" w:themeFillTint="99"/>
          </w:tcPr>
          <w:p w14:paraId="6727DE49" w14:textId="7F79BD59" w:rsidR="00531B4E" w:rsidRPr="00531B4E" w:rsidRDefault="00531B4E" w:rsidP="00531B4E">
            <w:pPr>
              <w:rPr>
                <w:b/>
                <w:bCs/>
                <w:sz w:val="16"/>
                <w:szCs w:val="16"/>
              </w:rPr>
            </w:pPr>
            <w:r w:rsidRPr="00531B4E">
              <w:rPr>
                <w:b/>
                <w:bCs/>
                <w:sz w:val="16"/>
                <w:szCs w:val="16"/>
              </w:rPr>
              <w:t>Compared to 2022, how the following source of inflation pressure changed?</w:t>
            </w:r>
          </w:p>
        </w:tc>
        <w:tc>
          <w:tcPr>
            <w:tcW w:w="1803" w:type="dxa"/>
            <w:shd w:val="clear" w:color="auto" w:fill="9CC2E5" w:themeFill="accent1" w:themeFillTint="99"/>
          </w:tcPr>
          <w:p w14:paraId="7F878363" w14:textId="235C0434" w:rsidR="00531B4E" w:rsidRPr="00531B4E" w:rsidRDefault="00531B4E" w:rsidP="00531B4E">
            <w:pPr>
              <w:jc w:val="center"/>
              <w:rPr>
                <w:b/>
                <w:bCs/>
                <w:sz w:val="16"/>
                <w:szCs w:val="16"/>
              </w:rPr>
            </w:pPr>
            <w:r w:rsidRPr="00531B4E">
              <w:rPr>
                <w:b/>
                <w:bCs/>
                <w:sz w:val="16"/>
                <w:szCs w:val="16"/>
              </w:rPr>
              <w:t>Worse</w:t>
            </w:r>
          </w:p>
        </w:tc>
        <w:tc>
          <w:tcPr>
            <w:tcW w:w="1800" w:type="dxa"/>
            <w:shd w:val="clear" w:color="auto" w:fill="9CC2E5" w:themeFill="accent1" w:themeFillTint="99"/>
          </w:tcPr>
          <w:p w14:paraId="0CC86A40" w14:textId="60634412" w:rsidR="00531B4E" w:rsidRPr="00531B4E" w:rsidRDefault="00531B4E" w:rsidP="00531B4E">
            <w:pPr>
              <w:jc w:val="center"/>
              <w:rPr>
                <w:b/>
                <w:bCs/>
                <w:sz w:val="16"/>
                <w:szCs w:val="16"/>
              </w:rPr>
            </w:pPr>
            <w:r w:rsidRPr="00531B4E">
              <w:rPr>
                <w:b/>
                <w:bCs/>
                <w:sz w:val="16"/>
                <w:szCs w:val="16"/>
              </w:rPr>
              <w:t>Same</w:t>
            </w:r>
          </w:p>
        </w:tc>
        <w:tc>
          <w:tcPr>
            <w:tcW w:w="1890" w:type="dxa"/>
            <w:shd w:val="clear" w:color="auto" w:fill="9CC2E5" w:themeFill="accent1" w:themeFillTint="99"/>
          </w:tcPr>
          <w:p w14:paraId="7FA0C155" w14:textId="77EC2E88" w:rsidR="00531B4E" w:rsidRPr="00531B4E" w:rsidRDefault="00531B4E" w:rsidP="00531B4E">
            <w:pPr>
              <w:jc w:val="center"/>
              <w:rPr>
                <w:b/>
                <w:bCs/>
                <w:sz w:val="16"/>
                <w:szCs w:val="16"/>
              </w:rPr>
            </w:pPr>
            <w:r w:rsidRPr="00531B4E">
              <w:rPr>
                <w:b/>
                <w:bCs/>
                <w:sz w:val="16"/>
                <w:szCs w:val="16"/>
              </w:rPr>
              <w:t>Better</w:t>
            </w:r>
          </w:p>
        </w:tc>
        <w:tc>
          <w:tcPr>
            <w:tcW w:w="1890" w:type="dxa"/>
            <w:shd w:val="clear" w:color="auto" w:fill="9CC2E5" w:themeFill="accent1" w:themeFillTint="99"/>
          </w:tcPr>
          <w:p w14:paraId="5525E0E6" w14:textId="6DA717AE" w:rsidR="00531B4E" w:rsidRPr="00531B4E" w:rsidRDefault="00531B4E" w:rsidP="00531B4E">
            <w:pPr>
              <w:jc w:val="center"/>
              <w:rPr>
                <w:b/>
                <w:bCs/>
                <w:sz w:val="16"/>
                <w:szCs w:val="16"/>
              </w:rPr>
            </w:pPr>
            <w:r w:rsidRPr="00531B4E">
              <w:rPr>
                <w:b/>
                <w:bCs/>
                <w:sz w:val="16"/>
                <w:szCs w:val="16"/>
              </w:rPr>
              <w:t>Not applicable</w:t>
            </w:r>
          </w:p>
        </w:tc>
      </w:tr>
      <w:tr w:rsidR="008A5EF8" w14:paraId="13DFD4A5" w14:textId="77777777" w:rsidTr="008A5EF8">
        <w:tc>
          <w:tcPr>
            <w:tcW w:w="3502" w:type="dxa"/>
          </w:tcPr>
          <w:p w14:paraId="7446AC27" w14:textId="042FF47E" w:rsidR="00531B4E" w:rsidRDefault="00531B4E" w:rsidP="00706D70">
            <w:pPr>
              <w:rPr>
                <w:sz w:val="16"/>
                <w:szCs w:val="16"/>
              </w:rPr>
            </w:pPr>
            <w:r>
              <w:rPr>
                <w:sz w:val="16"/>
                <w:szCs w:val="16"/>
              </w:rPr>
              <w:t>Wages</w:t>
            </w:r>
          </w:p>
        </w:tc>
        <w:tc>
          <w:tcPr>
            <w:tcW w:w="1803" w:type="dxa"/>
          </w:tcPr>
          <w:p w14:paraId="56473C3E" w14:textId="1C748711" w:rsidR="00531B4E" w:rsidRDefault="008A5EF8" w:rsidP="008A5EF8">
            <w:pPr>
              <w:jc w:val="center"/>
              <w:rPr>
                <w:sz w:val="16"/>
                <w:szCs w:val="16"/>
              </w:rPr>
            </w:pPr>
            <w:r>
              <w:rPr>
                <w:sz w:val="16"/>
                <w:szCs w:val="16"/>
              </w:rPr>
              <w:t>48%</w:t>
            </w:r>
          </w:p>
        </w:tc>
        <w:tc>
          <w:tcPr>
            <w:tcW w:w="1800" w:type="dxa"/>
          </w:tcPr>
          <w:p w14:paraId="05DEFBE8" w14:textId="6BAE18FD" w:rsidR="00531B4E" w:rsidRDefault="008A5EF8" w:rsidP="008A5EF8">
            <w:pPr>
              <w:jc w:val="center"/>
              <w:rPr>
                <w:sz w:val="16"/>
                <w:szCs w:val="16"/>
              </w:rPr>
            </w:pPr>
            <w:r>
              <w:rPr>
                <w:sz w:val="16"/>
                <w:szCs w:val="16"/>
              </w:rPr>
              <w:t>41%</w:t>
            </w:r>
          </w:p>
        </w:tc>
        <w:tc>
          <w:tcPr>
            <w:tcW w:w="1890" w:type="dxa"/>
          </w:tcPr>
          <w:p w14:paraId="56729D8A" w14:textId="052E15E0" w:rsidR="00531B4E" w:rsidRDefault="008A5EF8" w:rsidP="008A5EF8">
            <w:pPr>
              <w:jc w:val="center"/>
              <w:rPr>
                <w:sz w:val="16"/>
                <w:szCs w:val="16"/>
              </w:rPr>
            </w:pPr>
            <w:r>
              <w:rPr>
                <w:sz w:val="16"/>
                <w:szCs w:val="16"/>
              </w:rPr>
              <w:t>5%</w:t>
            </w:r>
          </w:p>
        </w:tc>
        <w:tc>
          <w:tcPr>
            <w:tcW w:w="1890" w:type="dxa"/>
          </w:tcPr>
          <w:p w14:paraId="0612A20F" w14:textId="197EDC7C" w:rsidR="00531B4E" w:rsidRDefault="008A5EF8" w:rsidP="008A5EF8">
            <w:pPr>
              <w:jc w:val="center"/>
              <w:rPr>
                <w:sz w:val="16"/>
                <w:szCs w:val="16"/>
              </w:rPr>
            </w:pPr>
            <w:r>
              <w:rPr>
                <w:sz w:val="16"/>
                <w:szCs w:val="16"/>
              </w:rPr>
              <w:t>6%</w:t>
            </w:r>
          </w:p>
        </w:tc>
      </w:tr>
      <w:tr w:rsidR="008A5EF8" w14:paraId="4BA8EB4C" w14:textId="77777777" w:rsidTr="008A5EF8">
        <w:tc>
          <w:tcPr>
            <w:tcW w:w="3502" w:type="dxa"/>
          </w:tcPr>
          <w:p w14:paraId="0CED8474" w14:textId="2578234E" w:rsidR="00531B4E" w:rsidRDefault="00531B4E" w:rsidP="00706D70">
            <w:pPr>
              <w:rPr>
                <w:sz w:val="16"/>
                <w:szCs w:val="16"/>
              </w:rPr>
            </w:pPr>
            <w:r>
              <w:rPr>
                <w:sz w:val="16"/>
                <w:szCs w:val="16"/>
              </w:rPr>
              <w:t>Benefits</w:t>
            </w:r>
          </w:p>
        </w:tc>
        <w:tc>
          <w:tcPr>
            <w:tcW w:w="1803" w:type="dxa"/>
          </w:tcPr>
          <w:p w14:paraId="0EFF06B3" w14:textId="3C3B567A" w:rsidR="00531B4E" w:rsidRDefault="008A5EF8" w:rsidP="008A5EF8">
            <w:pPr>
              <w:jc w:val="center"/>
              <w:rPr>
                <w:sz w:val="16"/>
                <w:szCs w:val="16"/>
              </w:rPr>
            </w:pPr>
            <w:r>
              <w:rPr>
                <w:sz w:val="16"/>
                <w:szCs w:val="16"/>
              </w:rPr>
              <w:t>40%</w:t>
            </w:r>
          </w:p>
        </w:tc>
        <w:tc>
          <w:tcPr>
            <w:tcW w:w="1800" w:type="dxa"/>
          </w:tcPr>
          <w:p w14:paraId="68B0A91D" w14:textId="49948798" w:rsidR="00531B4E" w:rsidRDefault="008A5EF8" w:rsidP="008A5EF8">
            <w:pPr>
              <w:jc w:val="center"/>
              <w:rPr>
                <w:sz w:val="16"/>
                <w:szCs w:val="16"/>
              </w:rPr>
            </w:pPr>
            <w:r>
              <w:rPr>
                <w:sz w:val="16"/>
                <w:szCs w:val="16"/>
              </w:rPr>
              <w:t>49%</w:t>
            </w:r>
          </w:p>
        </w:tc>
        <w:tc>
          <w:tcPr>
            <w:tcW w:w="1890" w:type="dxa"/>
          </w:tcPr>
          <w:p w14:paraId="5C549E31" w14:textId="6A688801" w:rsidR="00531B4E" w:rsidRDefault="008A5EF8" w:rsidP="008A5EF8">
            <w:pPr>
              <w:jc w:val="center"/>
              <w:rPr>
                <w:sz w:val="16"/>
                <w:szCs w:val="16"/>
              </w:rPr>
            </w:pPr>
            <w:r>
              <w:rPr>
                <w:sz w:val="16"/>
                <w:szCs w:val="16"/>
              </w:rPr>
              <w:t>3%</w:t>
            </w:r>
          </w:p>
        </w:tc>
        <w:tc>
          <w:tcPr>
            <w:tcW w:w="1890" w:type="dxa"/>
          </w:tcPr>
          <w:p w14:paraId="3545A3C7" w14:textId="0E313A17" w:rsidR="00531B4E" w:rsidRDefault="008A5EF8" w:rsidP="008A5EF8">
            <w:pPr>
              <w:jc w:val="center"/>
              <w:rPr>
                <w:sz w:val="16"/>
                <w:szCs w:val="16"/>
              </w:rPr>
            </w:pPr>
            <w:r>
              <w:rPr>
                <w:sz w:val="16"/>
                <w:szCs w:val="16"/>
              </w:rPr>
              <w:t>9%</w:t>
            </w:r>
          </w:p>
        </w:tc>
      </w:tr>
      <w:tr w:rsidR="008A5EF8" w14:paraId="4A17537C" w14:textId="77777777" w:rsidTr="008A5EF8">
        <w:tc>
          <w:tcPr>
            <w:tcW w:w="3502" w:type="dxa"/>
          </w:tcPr>
          <w:p w14:paraId="2A57B2EE" w14:textId="0ACBE564" w:rsidR="00531B4E" w:rsidRDefault="00531B4E" w:rsidP="00706D70">
            <w:pPr>
              <w:rPr>
                <w:sz w:val="16"/>
                <w:szCs w:val="16"/>
              </w:rPr>
            </w:pPr>
            <w:r>
              <w:rPr>
                <w:sz w:val="16"/>
                <w:szCs w:val="16"/>
              </w:rPr>
              <w:t>Rent</w:t>
            </w:r>
          </w:p>
        </w:tc>
        <w:tc>
          <w:tcPr>
            <w:tcW w:w="1803" w:type="dxa"/>
          </w:tcPr>
          <w:p w14:paraId="017812A8" w14:textId="4110720A" w:rsidR="00531B4E" w:rsidRDefault="008A5EF8" w:rsidP="008A5EF8">
            <w:pPr>
              <w:jc w:val="center"/>
              <w:rPr>
                <w:sz w:val="16"/>
                <w:szCs w:val="16"/>
              </w:rPr>
            </w:pPr>
            <w:r>
              <w:rPr>
                <w:sz w:val="16"/>
                <w:szCs w:val="16"/>
              </w:rPr>
              <w:t>23%</w:t>
            </w:r>
          </w:p>
        </w:tc>
        <w:tc>
          <w:tcPr>
            <w:tcW w:w="1800" w:type="dxa"/>
          </w:tcPr>
          <w:p w14:paraId="7670615D" w14:textId="29847C72" w:rsidR="00531B4E" w:rsidRDefault="008A5EF8" w:rsidP="008A5EF8">
            <w:pPr>
              <w:jc w:val="center"/>
              <w:rPr>
                <w:sz w:val="16"/>
                <w:szCs w:val="16"/>
              </w:rPr>
            </w:pPr>
            <w:r>
              <w:rPr>
                <w:sz w:val="16"/>
                <w:szCs w:val="16"/>
              </w:rPr>
              <w:t>66%</w:t>
            </w:r>
          </w:p>
        </w:tc>
        <w:tc>
          <w:tcPr>
            <w:tcW w:w="1890" w:type="dxa"/>
          </w:tcPr>
          <w:p w14:paraId="50541EAD" w14:textId="4F55C893" w:rsidR="00531B4E" w:rsidRDefault="008A5EF8" w:rsidP="008A5EF8">
            <w:pPr>
              <w:jc w:val="center"/>
              <w:rPr>
                <w:sz w:val="16"/>
                <w:szCs w:val="16"/>
              </w:rPr>
            </w:pPr>
            <w:r>
              <w:rPr>
                <w:sz w:val="16"/>
                <w:szCs w:val="16"/>
              </w:rPr>
              <w:t>0%</w:t>
            </w:r>
          </w:p>
        </w:tc>
        <w:tc>
          <w:tcPr>
            <w:tcW w:w="1890" w:type="dxa"/>
          </w:tcPr>
          <w:p w14:paraId="4629BBD2" w14:textId="7AEB7C19" w:rsidR="00531B4E" w:rsidRDefault="008A5EF8" w:rsidP="008A5EF8">
            <w:pPr>
              <w:jc w:val="center"/>
              <w:rPr>
                <w:sz w:val="16"/>
                <w:szCs w:val="16"/>
              </w:rPr>
            </w:pPr>
            <w:r>
              <w:rPr>
                <w:sz w:val="16"/>
                <w:szCs w:val="16"/>
              </w:rPr>
              <w:t>11%</w:t>
            </w:r>
          </w:p>
        </w:tc>
      </w:tr>
      <w:tr w:rsidR="008A5EF8" w14:paraId="2EE3249C" w14:textId="77777777" w:rsidTr="008A5EF8">
        <w:tc>
          <w:tcPr>
            <w:tcW w:w="3502" w:type="dxa"/>
          </w:tcPr>
          <w:p w14:paraId="7BEAA0F9" w14:textId="37CDB371" w:rsidR="00531B4E" w:rsidRDefault="00531B4E" w:rsidP="00706D70">
            <w:pPr>
              <w:rPr>
                <w:sz w:val="16"/>
                <w:szCs w:val="16"/>
              </w:rPr>
            </w:pPr>
            <w:r>
              <w:rPr>
                <w:sz w:val="16"/>
                <w:szCs w:val="16"/>
              </w:rPr>
              <w:t>Utilities’ cost</w:t>
            </w:r>
          </w:p>
        </w:tc>
        <w:tc>
          <w:tcPr>
            <w:tcW w:w="1803" w:type="dxa"/>
          </w:tcPr>
          <w:p w14:paraId="732E63FE" w14:textId="79A8D6C0" w:rsidR="00531B4E" w:rsidRDefault="008A5EF8" w:rsidP="008A5EF8">
            <w:pPr>
              <w:jc w:val="center"/>
              <w:rPr>
                <w:sz w:val="16"/>
                <w:szCs w:val="16"/>
              </w:rPr>
            </w:pPr>
            <w:r>
              <w:rPr>
                <w:sz w:val="16"/>
                <w:szCs w:val="16"/>
              </w:rPr>
              <w:t>65%</w:t>
            </w:r>
          </w:p>
        </w:tc>
        <w:tc>
          <w:tcPr>
            <w:tcW w:w="1800" w:type="dxa"/>
          </w:tcPr>
          <w:p w14:paraId="55BF0B12" w14:textId="254411BB" w:rsidR="00531B4E" w:rsidRDefault="008A5EF8" w:rsidP="008A5EF8">
            <w:pPr>
              <w:jc w:val="center"/>
              <w:rPr>
                <w:sz w:val="16"/>
                <w:szCs w:val="16"/>
              </w:rPr>
            </w:pPr>
            <w:r>
              <w:rPr>
                <w:sz w:val="16"/>
                <w:szCs w:val="16"/>
              </w:rPr>
              <w:t>29%</w:t>
            </w:r>
          </w:p>
        </w:tc>
        <w:tc>
          <w:tcPr>
            <w:tcW w:w="1890" w:type="dxa"/>
          </w:tcPr>
          <w:p w14:paraId="1D189EDD" w14:textId="388419FD" w:rsidR="00531B4E" w:rsidRDefault="008A5EF8" w:rsidP="008A5EF8">
            <w:pPr>
              <w:jc w:val="center"/>
              <w:rPr>
                <w:sz w:val="16"/>
                <w:szCs w:val="16"/>
              </w:rPr>
            </w:pPr>
            <w:r>
              <w:rPr>
                <w:sz w:val="16"/>
                <w:szCs w:val="16"/>
              </w:rPr>
              <w:t>0%</w:t>
            </w:r>
          </w:p>
        </w:tc>
        <w:tc>
          <w:tcPr>
            <w:tcW w:w="1890" w:type="dxa"/>
          </w:tcPr>
          <w:p w14:paraId="54933849" w14:textId="1373E705" w:rsidR="00531B4E" w:rsidRDefault="008A5EF8" w:rsidP="008A5EF8">
            <w:pPr>
              <w:jc w:val="center"/>
              <w:rPr>
                <w:sz w:val="16"/>
                <w:szCs w:val="16"/>
              </w:rPr>
            </w:pPr>
            <w:r>
              <w:rPr>
                <w:sz w:val="16"/>
                <w:szCs w:val="16"/>
              </w:rPr>
              <w:t>6%</w:t>
            </w:r>
          </w:p>
        </w:tc>
      </w:tr>
      <w:tr w:rsidR="008A5EF8" w14:paraId="6226A7DD" w14:textId="77777777" w:rsidTr="008A5EF8">
        <w:tc>
          <w:tcPr>
            <w:tcW w:w="3502" w:type="dxa"/>
          </w:tcPr>
          <w:p w14:paraId="5B003136" w14:textId="6260E72B" w:rsidR="00531B4E" w:rsidRDefault="00531B4E" w:rsidP="00706D70">
            <w:pPr>
              <w:rPr>
                <w:sz w:val="16"/>
                <w:szCs w:val="16"/>
              </w:rPr>
            </w:pPr>
            <w:r>
              <w:rPr>
                <w:sz w:val="16"/>
                <w:szCs w:val="16"/>
              </w:rPr>
              <w:t>Transportation cost</w:t>
            </w:r>
          </w:p>
        </w:tc>
        <w:tc>
          <w:tcPr>
            <w:tcW w:w="1803" w:type="dxa"/>
          </w:tcPr>
          <w:p w14:paraId="316CDBD4" w14:textId="1B06326F" w:rsidR="00531B4E" w:rsidRDefault="008A5EF8" w:rsidP="008A5EF8">
            <w:pPr>
              <w:jc w:val="center"/>
              <w:rPr>
                <w:sz w:val="16"/>
                <w:szCs w:val="16"/>
              </w:rPr>
            </w:pPr>
            <w:r>
              <w:rPr>
                <w:sz w:val="16"/>
                <w:szCs w:val="16"/>
              </w:rPr>
              <w:t>54%</w:t>
            </w:r>
          </w:p>
        </w:tc>
        <w:tc>
          <w:tcPr>
            <w:tcW w:w="1800" w:type="dxa"/>
          </w:tcPr>
          <w:p w14:paraId="383A2D7B" w14:textId="1FA91D29" w:rsidR="00531B4E" w:rsidRDefault="008A5EF8" w:rsidP="008A5EF8">
            <w:pPr>
              <w:jc w:val="center"/>
              <w:rPr>
                <w:sz w:val="16"/>
                <w:szCs w:val="16"/>
              </w:rPr>
            </w:pPr>
            <w:r>
              <w:rPr>
                <w:sz w:val="16"/>
                <w:szCs w:val="16"/>
              </w:rPr>
              <w:t>29%</w:t>
            </w:r>
          </w:p>
        </w:tc>
        <w:tc>
          <w:tcPr>
            <w:tcW w:w="1890" w:type="dxa"/>
          </w:tcPr>
          <w:p w14:paraId="2AEF9CE1" w14:textId="181CF533" w:rsidR="00531B4E" w:rsidRDefault="008A5EF8" w:rsidP="008A5EF8">
            <w:pPr>
              <w:jc w:val="center"/>
              <w:rPr>
                <w:sz w:val="16"/>
                <w:szCs w:val="16"/>
              </w:rPr>
            </w:pPr>
            <w:r>
              <w:rPr>
                <w:sz w:val="16"/>
                <w:szCs w:val="16"/>
              </w:rPr>
              <w:t>3%</w:t>
            </w:r>
          </w:p>
        </w:tc>
        <w:tc>
          <w:tcPr>
            <w:tcW w:w="1890" w:type="dxa"/>
          </w:tcPr>
          <w:p w14:paraId="45622B5F" w14:textId="10D00AFD" w:rsidR="00531B4E" w:rsidRDefault="008A5EF8" w:rsidP="008A5EF8">
            <w:pPr>
              <w:jc w:val="center"/>
              <w:rPr>
                <w:sz w:val="16"/>
                <w:szCs w:val="16"/>
              </w:rPr>
            </w:pPr>
            <w:r>
              <w:rPr>
                <w:sz w:val="16"/>
                <w:szCs w:val="16"/>
              </w:rPr>
              <w:t>15%</w:t>
            </w:r>
          </w:p>
        </w:tc>
      </w:tr>
      <w:tr w:rsidR="008A5EF8" w14:paraId="2361308C" w14:textId="77777777" w:rsidTr="008A5EF8">
        <w:tc>
          <w:tcPr>
            <w:tcW w:w="3502" w:type="dxa"/>
          </w:tcPr>
          <w:p w14:paraId="0002A6A6" w14:textId="7F0AD4FF" w:rsidR="00531B4E" w:rsidRDefault="00531B4E" w:rsidP="00706D70">
            <w:pPr>
              <w:rPr>
                <w:sz w:val="16"/>
                <w:szCs w:val="16"/>
              </w:rPr>
            </w:pPr>
            <w:r>
              <w:rPr>
                <w:sz w:val="16"/>
                <w:szCs w:val="16"/>
              </w:rPr>
              <w:t>Administrative cost</w:t>
            </w:r>
          </w:p>
        </w:tc>
        <w:tc>
          <w:tcPr>
            <w:tcW w:w="1803" w:type="dxa"/>
          </w:tcPr>
          <w:p w14:paraId="00BFEE39" w14:textId="30F49D56" w:rsidR="00531B4E" w:rsidRDefault="00F87D08" w:rsidP="008A5EF8">
            <w:pPr>
              <w:jc w:val="center"/>
              <w:rPr>
                <w:sz w:val="16"/>
                <w:szCs w:val="16"/>
              </w:rPr>
            </w:pPr>
            <w:r>
              <w:rPr>
                <w:sz w:val="16"/>
                <w:szCs w:val="16"/>
              </w:rPr>
              <w:t>46%</w:t>
            </w:r>
          </w:p>
        </w:tc>
        <w:tc>
          <w:tcPr>
            <w:tcW w:w="1800" w:type="dxa"/>
          </w:tcPr>
          <w:p w14:paraId="5E22B1DC" w14:textId="2B751338" w:rsidR="00531B4E" w:rsidRDefault="00F87D08" w:rsidP="008A5EF8">
            <w:pPr>
              <w:jc w:val="center"/>
              <w:rPr>
                <w:sz w:val="16"/>
                <w:szCs w:val="16"/>
              </w:rPr>
            </w:pPr>
            <w:r>
              <w:rPr>
                <w:sz w:val="16"/>
                <w:szCs w:val="16"/>
              </w:rPr>
              <w:t>49%</w:t>
            </w:r>
          </w:p>
        </w:tc>
        <w:tc>
          <w:tcPr>
            <w:tcW w:w="1890" w:type="dxa"/>
          </w:tcPr>
          <w:p w14:paraId="740E3296" w14:textId="536853F4" w:rsidR="00531B4E" w:rsidRDefault="00F87D08" w:rsidP="008A5EF8">
            <w:pPr>
              <w:jc w:val="center"/>
              <w:rPr>
                <w:sz w:val="16"/>
                <w:szCs w:val="16"/>
              </w:rPr>
            </w:pPr>
            <w:r>
              <w:rPr>
                <w:sz w:val="16"/>
                <w:szCs w:val="16"/>
              </w:rPr>
              <w:t>1%</w:t>
            </w:r>
          </w:p>
        </w:tc>
        <w:tc>
          <w:tcPr>
            <w:tcW w:w="1890" w:type="dxa"/>
          </w:tcPr>
          <w:p w14:paraId="5FB7A5D1" w14:textId="41D3A3C9" w:rsidR="00531B4E" w:rsidRDefault="00F87D08" w:rsidP="008A5EF8">
            <w:pPr>
              <w:jc w:val="center"/>
              <w:rPr>
                <w:sz w:val="16"/>
                <w:szCs w:val="16"/>
              </w:rPr>
            </w:pPr>
            <w:r>
              <w:rPr>
                <w:sz w:val="16"/>
                <w:szCs w:val="16"/>
              </w:rPr>
              <w:t>5%</w:t>
            </w:r>
          </w:p>
        </w:tc>
      </w:tr>
      <w:tr w:rsidR="008A5EF8" w14:paraId="16E8402A" w14:textId="77777777" w:rsidTr="008A5EF8">
        <w:tc>
          <w:tcPr>
            <w:tcW w:w="3502" w:type="dxa"/>
          </w:tcPr>
          <w:p w14:paraId="62903ABB" w14:textId="57D07C5D" w:rsidR="00531B4E" w:rsidRDefault="00531B4E" w:rsidP="00706D70">
            <w:pPr>
              <w:rPr>
                <w:sz w:val="16"/>
                <w:szCs w:val="16"/>
              </w:rPr>
            </w:pPr>
            <w:r>
              <w:rPr>
                <w:sz w:val="16"/>
                <w:szCs w:val="16"/>
              </w:rPr>
              <w:t>Technology cost</w:t>
            </w:r>
          </w:p>
        </w:tc>
        <w:tc>
          <w:tcPr>
            <w:tcW w:w="1803" w:type="dxa"/>
          </w:tcPr>
          <w:p w14:paraId="522A09E6" w14:textId="736AD292" w:rsidR="00531B4E" w:rsidRDefault="00F87D08" w:rsidP="008A5EF8">
            <w:pPr>
              <w:jc w:val="center"/>
              <w:rPr>
                <w:sz w:val="16"/>
                <w:szCs w:val="16"/>
              </w:rPr>
            </w:pPr>
            <w:r>
              <w:rPr>
                <w:sz w:val="16"/>
                <w:szCs w:val="16"/>
              </w:rPr>
              <w:t>63%</w:t>
            </w:r>
          </w:p>
        </w:tc>
        <w:tc>
          <w:tcPr>
            <w:tcW w:w="1800" w:type="dxa"/>
          </w:tcPr>
          <w:p w14:paraId="31CAA0F6" w14:textId="54246DF4" w:rsidR="00531B4E" w:rsidRDefault="00F87D08" w:rsidP="008A5EF8">
            <w:pPr>
              <w:jc w:val="center"/>
              <w:rPr>
                <w:sz w:val="16"/>
                <w:szCs w:val="16"/>
              </w:rPr>
            </w:pPr>
            <w:r>
              <w:rPr>
                <w:sz w:val="16"/>
                <w:szCs w:val="16"/>
              </w:rPr>
              <w:t>33%</w:t>
            </w:r>
          </w:p>
        </w:tc>
        <w:tc>
          <w:tcPr>
            <w:tcW w:w="1890" w:type="dxa"/>
          </w:tcPr>
          <w:p w14:paraId="458DC021" w14:textId="1882A723" w:rsidR="00531B4E" w:rsidRDefault="00F87D08" w:rsidP="008A5EF8">
            <w:pPr>
              <w:jc w:val="center"/>
              <w:rPr>
                <w:sz w:val="16"/>
                <w:szCs w:val="16"/>
              </w:rPr>
            </w:pPr>
            <w:r>
              <w:rPr>
                <w:sz w:val="16"/>
                <w:szCs w:val="16"/>
              </w:rPr>
              <w:t>1%</w:t>
            </w:r>
          </w:p>
        </w:tc>
        <w:tc>
          <w:tcPr>
            <w:tcW w:w="1890" w:type="dxa"/>
          </w:tcPr>
          <w:p w14:paraId="6A1085C2" w14:textId="67EF2C43" w:rsidR="00531B4E" w:rsidRDefault="00F87D08" w:rsidP="008A5EF8">
            <w:pPr>
              <w:jc w:val="center"/>
              <w:rPr>
                <w:sz w:val="16"/>
                <w:szCs w:val="16"/>
              </w:rPr>
            </w:pPr>
            <w:r>
              <w:rPr>
                <w:sz w:val="16"/>
                <w:szCs w:val="16"/>
              </w:rPr>
              <w:t>3%</w:t>
            </w:r>
          </w:p>
        </w:tc>
      </w:tr>
      <w:tr w:rsidR="008A5EF8" w14:paraId="23092ECF" w14:textId="77777777" w:rsidTr="008A5EF8">
        <w:tc>
          <w:tcPr>
            <w:tcW w:w="3502" w:type="dxa"/>
          </w:tcPr>
          <w:p w14:paraId="66F2592E" w14:textId="6809B54A" w:rsidR="00531B4E" w:rsidRDefault="00531B4E" w:rsidP="00706D70">
            <w:pPr>
              <w:rPr>
                <w:sz w:val="16"/>
                <w:szCs w:val="16"/>
              </w:rPr>
            </w:pPr>
            <w:r>
              <w:rPr>
                <w:sz w:val="16"/>
                <w:szCs w:val="16"/>
              </w:rPr>
              <w:t>Materials or other input cost</w:t>
            </w:r>
          </w:p>
        </w:tc>
        <w:tc>
          <w:tcPr>
            <w:tcW w:w="1803" w:type="dxa"/>
          </w:tcPr>
          <w:p w14:paraId="7A543650" w14:textId="4CCDBC6A" w:rsidR="00531B4E" w:rsidRDefault="00F87D08" w:rsidP="008A5EF8">
            <w:pPr>
              <w:jc w:val="center"/>
              <w:rPr>
                <w:sz w:val="16"/>
                <w:szCs w:val="16"/>
              </w:rPr>
            </w:pPr>
            <w:r>
              <w:rPr>
                <w:sz w:val="16"/>
                <w:szCs w:val="16"/>
              </w:rPr>
              <w:t>65%</w:t>
            </w:r>
          </w:p>
        </w:tc>
        <w:tc>
          <w:tcPr>
            <w:tcW w:w="1800" w:type="dxa"/>
          </w:tcPr>
          <w:p w14:paraId="0BB49DE4" w14:textId="56A99DBC" w:rsidR="00531B4E" w:rsidRDefault="00F87D08" w:rsidP="008A5EF8">
            <w:pPr>
              <w:jc w:val="center"/>
              <w:rPr>
                <w:sz w:val="16"/>
                <w:szCs w:val="16"/>
              </w:rPr>
            </w:pPr>
            <w:r>
              <w:rPr>
                <w:sz w:val="16"/>
                <w:szCs w:val="16"/>
              </w:rPr>
              <w:t>26%</w:t>
            </w:r>
          </w:p>
        </w:tc>
        <w:tc>
          <w:tcPr>
            <w:tcW w:w="1890" w:type="dxa"/>
          </w:tcPr>
          <w:p w14:paraId="2B19ED00" w14:textId="76DB846B" w:rsidR="00531B4E" w:rsidRDefault="00F87D08" w:rsidP="008A5EF8">
            <w:pPr>
              <w:jc w:val="center"/>
              <w:rPr>
                <w:sz w:val="16"/>
                <w:szCs w:val="16"/>
              </w:rPr>
            </w:pPr>
            <w:r>
              <w:rPr>
                <w:sz w:val="16"/>
                <w:szCs w:val="16"/>
              </w:rPr>
              <w:t>1%</w:t>
            </w:r>
          </w:p>
        </w:tc>
        <w:tc>
          <w:tcPr>
            <w:tcW w:w="1890" w:type="dxa"/>
          </w:tcPr>
          <w:p w14:paraId="1CA5E32E" w14:textId="21E05DBD" w:rsidR="00531B4E" w:rsidRDefault="00F87D08" w:rsidP="008A5EF8">
            <w:pPr>
              <w:jc w:val="center"/>
              <w:rPr>
                <w:sz w:val="16"/>
                <w:szCs w:val="16"/>
              </w:rPr>
            </w:pPr>
            <w:r>
              <w:rPr>
                <w:sz w:val="16"/>
                <w:szCs w:val="16"/>
              </w:rPr>
              <w:t>8%</w:t>
            </w:r>
          </w:p>
        </w:tc>
      </w:tr>
      <w:tr w:rsidR="008A5EF8" w14:paraId="7C31451C" w14:textId="77777777" w:rsidTr="008A5EF8">
        <w:tc>
          <w:tcPr>
            <w:tcW w:w="3502" w:type="dxa"/>
          </w:tcPr>
          <w:p w14:paraId="32557F89" w14:textId="5FE3CB83" w:rsidR="00531B4E" w:rsidRDefault="00531B4E" w:rsidP="00706D70">
            <w:pPr>
              <w:rPr>
                <w:sz w:val="16"/>
                <w:szCs w:val="16"/>
              </w:rPr>
            </w:pPr>
            <w:r>
              <w:rPr>
                <w:sz w:val="16"/>
                <w:szCs w:val="16"/>
              </w:rPr>
              <w:t>Supply change disruptions</w:t>
            </w:r>
          </w:p>
        </w:tc>
        <w:tc>
          <w:tcPr>
            <w:tcW w:w="1803" w:type="dxa"/>
          </w:tcPr>
          <w:p w14:paraId="150A776D" w14:textId="5A0341A1" w:rsidR="00531B4E" w:rsidRDefault="00F87D08" w:rsidP="008A5EF8">
            <w:pPr>
              <w:jc w:val="center"/>
              <w:rPr>
                <w:sz w:val="16"/>
                <w:szCs w:val="16"/>
              </w:rPr>
            </w:pPr>
            <w:r>
              <w:rPr>
                <w:sz w:val="16"/>
                <w:szCs w:val="16"/>
              </w:rPr>
              <w:t>36%</w:t>
            </w:r>
          </w:p>
        </w:tc>
        <w:tc>
          <w:tcPr>
            <w:tcW w:w="1800" w:type="dxa"/>
          </w:tcPr>
          <w:p w14:paraId="4D943D1B" w14:textId="155ADD1F" w:rsidR="00531B4E" w:rsidRDefault="00F87D08" w:rsidP="008A5EF8">
            <w:pPr>
              <w:jc w:val="center"/>
              <w:rPr>
                <w:sz w:val="16"/>
                <w:szCs w:val="16"/>
              </w:rPr>
            </w:pPr>
            <w:r>
              <w:rPr>
                <w:sz w:val="16"/>
                <w:szCs w:val="16"/>
              </w:rPr>
              <w:t>33%</w:t>
            </w:r>
          </w:p>
        </w:tc>
        <w:tc>
          <w:tcPr>
            <w:tcW w:w="1890" w:type="dxa"/>
          </w:tcPr>
          <w:p w14:paraId="4AF90A9A" w14:textId="5A7D9C22" w:rsidR="00531B4E" w:rsidRDefault="00F87D08" w:rsidP="008A5EF8">
            <w:pPr>
              <w:jc w:val="center"/>
              <w:rPr>
                <w:sz w:val="16"/>
                <w:szCs w:val="16"/>
              </w:rPr>
            </w:pPr>
            <w:r>
              <w:rPr>
                <w:sz w:val="16"/>
                <w:szCs w:val="16"/>
              </w:rPr>
              <w:t>14%</w:t>
            </w:r>
          </w:p>
        </w:tc>
        <w:tc>
          <w:tcPr>
            <w:tcW w:w="1890" w:type="dxa"/>
          </w:tcPr>
          <w:p w14:paraId="4F188EF6" w14:textId="021F62AC" w:rsidR="00531B4E" w:rsidRDefault="00F87D08" w:rsidP="008A5EF8">
            <w:pPr>
              <w:jc w:val="center"/>
              <w:rPr>
                <w:sz w:val="16"/>
                <w:szCs w:val="16"/>
              </w:rPr>
            </w:pPr>
            <w:r>
              <w:rPr>
                <w:sz w:val="16"/>
                <w:szCs w:val="16"/>
              </w:rPr>
              <w:t>18%</w:t>
            </w:r>
          </w:p>
        </w:tc>
      </w:tr>
      <w:tr w:rsidR="008A5EF8" w14:paraId="5468577B" w14:textId="77777777" w:rsidTr="008A5EF8">
        <w:tc>
          <w:tcPr>
            <w:tcW w:w="3502" w:type="dxa"/>
          </w:tcPr>
          <w:p w14:paraId="093549E6" w14:textId="06F0297A" w:rsidR="00531B4E" w:rsidRDefault="00531B4E" w:rsidP="00706D70">
            <w:pPr>
              <w:rPr>
                <w:sz w:val="16"/>
                <w:szCs w:val="16"/>
              </w:rPr>
            </w:pPr>
            <w:r>
              <w:rPr>
                <w:sz w:val="16"/>
                <w:szCs w:val="16"/>
              </w:rPr>
              <w:t>Falling demand</w:t>
            </w:r>
            <w:r w:rsidR="008A5EF8">
              <w:rPr>
                <w:sz w:val="16"/>
                <w:szCs w:val="16"/>
              </w:rPr>
              <w:t xml:space="preserve"> for your companies’ services</w:t>
            </w:r>
          </w:p>
        </w:tc>
        <w:tc>
          <w:tcPr>
            <w:tcW w:w="1803" w:type="dxa"/>
          </w:tcPr>
          <w:p w14:paraId="5C60A072" w14:textId="390F5CE3" w:rsidR="00531B4E" w:rsidRDefault="00F87D08" w:rsidP="00F87D08">
            <w:pPr>
              <w:ind w:left="-736" w:right="-104"/>
              <w:jc w:val="center"/>
              <w:rPr>
                <w:sz w:val="16"/>
                <w:szCs w:val="16"/>
              </w:rPr>
            </w:pPr>
            <w:r>
              <w:rPr>
                <w:sz w:val="16"/>
                <w:szCs w:val="16"/>
              </w:rPr>
              <w:t xml:space="preserve">                 25%</w:t>
            </w:r>
          </w:p>
        </w:tc>
        <w:tc>
          <w:tcPr>
            <w:tcW w:w="1800" w:type="dxa"/>
          </w:tcPr>
          <w:p w14:paraId="01F80F7B" w14:textId="05E0B550" w:rsidR="00531B4E" w:rsidRDefault="00F87D08" w:rsidP="008A5EF8">
            <w:pPr>
              <w:jc w:val="center"/>
              <w:rPr>
                <w:sz w:val="16"/>
                <w:szCs w:val="16"/>
              </w:rPr>
            </w:pPr>
            <w:r>
              <w:rPr>
                <w:sz w:val="16"/>
                <w:szCs w:val="16"/>
              </w:rPr>
              <w:t>47%</w:t>
            </w:r>
          </w:p>
        </w:tc>
        <w:tc>
          <w:tcPr>
            <w:tcW w:w="1890" w:type="dxa"/>
          </w:tcPr>
          <w:p w14:paraId="2476A1E6" w14:textId="681E45AF" w:rsidR="00531B4E" w:rsidRDefault="00F87D08" w:rsidP="008A5EF8">
            <w:pPr>
              <w:jc w:val="center"/>
              <w:rPr>
                <w:sz w:val="16"/>
                <w:szCs w:val="16"/>
              </w:rPr>
            </w:pPr>
            <w:r>
              <w:rPr>
                <w:sz w:val="16"/>
                <w:szCs w:val="16"/>
              </w:rPr>
              <w:t>16%</w:t>
            </w:r>
          </w:p>
        </w:tc>
        <w:tc>
          <w:tcPr>
            <w:tcW w:w="1890" w:type="dxa"/>
          </w:tcPr>
          <w:p w14:paraId="762DC195" w14:textId="6EAC186E" w:rsidR="00531B4E" w:rsidRDefault="00F87D08" w:rsidP="008A5EF8">
            <w:pPr>
              <w:jc w:val="center"/>
              <w:rPr>
                <w:sz w:val="16"/>
                <w:szCs w:val="16"/>
              </w:rPr>
            </w:pPr>
            <w:r>
              <w:rPr>
                <w:sz w:val="16"/>
                <w:szCs w:val="16"/>
              </w:rPr>
              <w:t>13%</w:t>
            </w:r>
          </w:p>
        </w:tc>
      </w:tr>
      <w:tr w:rsidR="008A5EF8" w14:paraId="1519BA26" w14:textId="77777777" w:rsidTr="008A5EF8">
        <w:tc>
          <w:tcPr>
            <w:tcW w:w="3502" w:type="dxa"/>
          </w:tcPr>
          <w:p w14:paraId="41F0E851" w14:textId="1C6CBB6E" w:rsidR="00531B4E" w:rsidRDefault="008A5EF8" w:rsidP="00706D70">
            <w:pPr>
              <w:rPr>
                <w:sz w:val="16"/>
                <w:szCs w:val="16"/>
              </w:rPr>
            </w:pPr>
            <w:r>
              <w:rPr>
                <w:sz w:val="16"/>
                <w:szCs w:val="16"/>
              </w:rPr>
              <w:t>Inability to acquire/repair property/equipment</w:t>
            </w:r>
          </w:p>
        </w:tc>
        <w:tc>
          <w:tcPr>
            <w:tcW w:w="1803" w:type="dxa"/>
          </w:tcPr>
          <w:p w14:paraId="520D5513" w14:textId="0D3BBDD3" w:rsidR="00531B4E" w:rsidRDefault="00F87D08" w:rsidP="008A5EF8">
            <w:pPr>
              <w:jc w:val="center"/>
              <w:rPr>
                <w:sz w:val="16"/>
                <w:szCs w:val="16"/>
              </w:rPr>
            </w:pPr>
            <w:r>
              <w:rPr>
                <w:sz w:val="16"/>
                <w:szCs w:val="16"/>
              </w:rPr>
              <w:t>18%</w:t>
            </w:r>
          </w:p>
        </w:tc>
        <w:tc>
          <w:tcPr>
            <w:tcW w:w="1800" w:type="dxa"/>
          </w:tcPr>
          <w:p w14:paraId="64859816" w14:textId="030C6CF0" w:rsidR="00531B4E" w:rsidRDefault="00F87D08" w:rsidP="008A5EF8">
            <w:pPr>
              <w:jc w:val="center"/>
              <w:rPr>
                <w:sz w:val="16"/>
                <w:szCs w:val="16"/>
              </w:rPr>
            </w:pPr>
            <w:r>
              <w:rPr>
                <w:sz w:val="16"/>
                <w:szCs w:val="16"/>
              </w:rPr>
              <w:t>45%</w:t>
            </w:r>
          </w:p>
        </w:tc>
        <w:tc>
          <w:tcPr>
            <w:tcW w:w="1890" w:type="dxa"/>
          </w:tcPr>
          <w:p w14:paraId="74286A31" w14:textId="59FCF463" w:rsidR="00531B4E" w:rsidRDefault="00F87D08" w:rsidP="008A5EF8">
            <w:pPr>
              <w:jc w:val="center"/>
              <w:rPr>
                <w:sz w:val="16"/>
                <w:szCs w:val="16"/>
              </w:rPr>
            </w:pPr>
            <w:r>
              <w:rPr>
                <w:sz w:val="16"/>
                <w:szCs w:val="16"/>
              </w:rPr>
              <w:t>6%</w:t>
            </w:r>
          </w:p>
        </w:tc>
        <w:tc>
          <w:tcPr>
            <w:tcW w:w="1890" w:type="dxa"/>
          </w:tcPr>
          <w:p w14:paraId="4D7ED0B6" w14:textId="1CBBD150" w:rsidR="00531B4E" w:rsidRDefault="00F87D08" w:rsidP="008A5EF8">
            <w:pPr>
              <w:jc w:val="center"/>
              <w:rPr>
                <w:sz w:val="16"/>
                <w:szCs w:val="16"/>
              </w:rPr>
            </w:pPr>
            <w:r>
              <w:rPr>
                <w:sz w:val="16"/>
                <w:szCs w:val="16"/>
              </w:rPr>
              <w:t>31%</w:t>
            </w:r>
          </w:p>
        </w:tc>
      </w:tr>
      <w:tr w:rsidR="008A5EF8" w14:paraId="239B5C2E" w14:textId="77777777" w:rsidTr="008A5EF8">
        <w:tc>
          <w:tcPr>
            <w:tcW w:w="3502" w:type="dxa"/>
          </w:tcPr>
          <w:p w14:paraId="17070A17" w14:textId="1662AA8C" w:rsidR="00531B4E" w:rsidRDefault="008A5EF8" w:rsidP="00706D70">
            <w:pPr>
              <w:rPr>
                <w:sz w:val="16"/>
                <w:szCs w:val="16"/>
              </w:rPr>
            </w:pPr>
            <w:r>
              <w:rPr>
                <w:sz w:val="16"/>
                <w:szCs w:val="16"/>
              </w:rPr>
              <w:t>Other</w:t>
            </w:r>
          </w:p>
        </w:tc>
        <w:tc>
          <w:tcPr>
            <w:tcW w:w="1803" w:type="dxa"/>
          </w:tcPr>
          <w:p w14:paraId="041AD65F" w14:textId="5C8E23B4" w:rsidR="00531B4E" w:rsidRDefault="00F87D08" w:rsidP="008A5EF8">
            <w:pPr>
              <w:jc w:val="center"/>
              <w:rPr>
                <w:sz w:val="16"/>
                <w:szCs w:val="16"/>
              </w:rPr>
            </w:pPr>
            <w:r>
              <w:rPr>
                <w:sz w:val="16"/>
                <w:szCs w:val="16"/>
              </w:rPr>
              <w:t>11%</w:t>
            </w:r>
          </w:p>
        </w:tc>
        <w:tc>
          <w:tcPr>
            <w:tcW w:w="1800" w:type="dxa"/>
          </w:tcPr>
          <w:p w14:paraId="149EAEF7" w14:textId="721EB7F0" w:rsidR="00531B4E" w:rsidRDefault="00F87D08" w:rsidP="008A5EF8">
            <w:pPr>
              <w:jc w:val="center"/>
              <w:rPr>
                <w:sz w:val="16"/>
                <w:szCs w:val="16"/>
              </w:rPr>
            </w:pPr>
            <w:r>
              <w:rPr>
                <w:sz w:val="16"/>
                <w:szCs w:val="16"/>
              </w:rPr>
              <w:t>21%</w:t>
            </w:r>
          </w:p>
        </w:tc>
        <w:tc>
          <w:tcPr>
            <w:tcW w:w="1890" w:type="dxa"/>
          </w:tcPr>
          <w:p w14:paraId="26AAF2E7" w14:textId="0CEB6491" w:rsidR="00531B4E" w:rsidRDefault="00F87D08" w:rsidP="008A5EF8">
            <w:pPr>
              <w:jc w:val="center"/>
              <w:rPr>
                <w:sz w:val="16"/>
                <w:szCs w:val="16"/>
              </w:rPr>
            </w:pPr>
            <w:r>
              <w:rPr>
                <w:sz w:val="16"/>
                <w:szCs w:val="16"/>
              </w:rPr>
              <w:t>0%</w:t>
            </w:r>
          </w:p>
        </w:tc>
        <w:tc>
          <w:tcPr>
            <w:tcW w:w="1890" w:type="dxa"/>
          </w:tcPr>
          <w:p w14:paraId="0735521A" w14:textId="3755D79C" w:rsidR="00531B4E" w:rsidRDefault="00F87D08" w:rsidP="008A5EF8">
            <w:pPr>
              <w:jc w:val="center"/>
              <w:rPr>
                <w:sz w:val="16"/>
                <w:szCs w:val="16"/>
              </w:rPr>
            </w:pPr>
            <w:r>
              <w:rPr>
                <w:sz w:val="16"/>
                <w:szCs w:val="16"/>
              </w:rPr>
              <w:t>68%</w:t>
            </w:r>
          </w:p>
        </w:tc>
      </w:tr>
    </w:tbl>
    <w:p w14:paraId="583BC760" w14:textId="1D1BD016" w:rsidR="00B20EAA" w:rsidRPr="00F87D08" w:rsidRDefault="00877E6A" w:rsidP="00F87D08">
      <w:pPr>
        <w:rPr>
          <w:sz w:val="16"/>
          <w:szCs w:val="16"/>
        </w:rPr>
        <w:sectPr w:rsidR="00B20EAA" w:rsidRPr="00F87D08" w:rsidSect="00BE1B88">
          <w:type w:val="continuous"/>
          <w:pgSz w:w="12240" w:h="15840"/>
          <w:pgMar w:top="720" w:right="720" w:bottom="720" w:left="720" w:header="720" w:footer="720" w:gutter="0"/>
          <w:cols w:space="720"/>
          <w:docGrid w:linePitch="360"/>
        </w:sectPr>
      </w:pPr>
      <w:r w:rsidRPr="00FA5554">
        <w:rPr>
          <w:sz w:val="16"/>
          <w:szCs w:val="16"/>
        </w:rPr>
        <w:t xml:space="preserve">1) </w:t>
      </w:r>
      <w:r w:rsidR="00411327" w:rsidRPr="00FA5554">
        <w:rPr>
          <w:sz w:val="16"/>
          <w:szCs w:val="16"/>
        </w:rPr>
        <w:t xml:space="preserve">Based on responses from </w:t>
      </w:r>
      <w:r w:rsidR="00E25CD3" w:rsidRPr="00FA5554">
        <w:rPr>
          <w:sz w:val="16"/>
          <w:szCs w:val="16"/>
        </w:rPr>
        <w:t>2</w:t>
      </w:r>
      <w:r w:rsidR="00680156" w:rsidRPr="00FA5554">
        <w:rPr>
          <w:sz w:val="16"/>
          <w:szCs w:val="16"/>
        </w:rPr>
        <w:t>2</w:t>
      </w:r>
      <w:r w:rsidR="00F87D08">
        <w:rPr>
          <w:sz w:val="16"/>
          <w:szCs w:val="16"/>
        </w:rPr>
        <w:t>9</w:t>
      </w:r>
      <w:r w:rsidR="00FF76A7" w:rsidRPr="00FA5554">
        <w:rPr>
          <w:sz w:val="16"/>
          <w:szCs w:val="16"/>
        </w:rPr>
        <w:t xml:space="preserve"> Minnesota</w:t>
      </w:r>
      <w:r w:rsidRPr="00FA5554">
        <w:rPr>
          <w:sz w:val="16"/>
          <w:szCs w:val="16"/>
        </w:rPr>
        <w:t xml:space="preserve"> busines</w:t>
      </w:r>
      <w:r w:rsidR="000A65D8" w:rsidRPr="00FA5554">
        <w:rPr>
          <w:sz w:val="16"/>
          <w:szCs w:val="16"/>
        </w:rPr>
        <w:t>s service firms</w:t>
      </w:r>
      <w:r w:rsidR="00411327" w:rsidRPr="00FA5554">
        <w:rPr>
          <w:sz w:val="16"/>
          <w:szCs w:val="16"/>
        </w:rPr>
        <w:t>, for a response rate of</w:t>
      </w:r>
      <w:r w:rsidR="00897DC0" w:rsidRPr="00FA5554">
        <w:rPr>
          <w:sz w:val="16"/>
          <w:szCs w:val="16"/>
        </w:rPr>
        <w:t xml:space="preserve"> </w:t>
      </w:r>
      <w:r w:rsidR="00706D70" w:rsidRPr="00FA5554">
        <w:rPr>
          <w:sz w:val="16"/>
          <w:szCs w:val="16"/>
        </w:rPr>
        <w:t>1</w:t>
      </w:r>
      <w:r w:rsidR="00F87D08">
        <w:rPr>
          <w:sz w:val="16"/>
          <w:szCs w:val="16"/>
        </w:rPr>
        <w:t>9.0</w:t>
      </w:r>
      <w:r w:rsidR="009B7A08" w:rsidRPr="00FA5554">
        <w:rPr>
          <w:sz w:val="16"/>
          <w:szCs w:val="16"/>
        </w:rPr>
        <w:t>%</w:t>
      </w:r>
      <w:r w:rsidR="00557CBF" w:rsidRPr="00FA5554">
        <w:rPr>
          <w:sz w:val="16"/>
          <w:szCs w:val="16"/>
        </w:rPr>
        <w:t xml:space="preserve">. </w:t>
      </w:r>
      <w:r w:rsidRPr="00FA5554">
        <w:rPr>
          <w:sz w:val="16"/>
          <w:szCs w:val="16"/>
        </w:rPr>
        <w:t xml:space="preserve"> P</w:t>
      </w:r>
      <w:r w:rsidR="009B7A08" w:rsidRPr="00FA5554">
        <w:rPr>
          <w:sz w:val="16"/>
          <w:szCs w:val="16"/>
        </w:rPr>
        <w:t>ercentages might not add to 100</w:t>
      </w:r>
      <w:r w:rsidR="004F0B64" w:rsidRPr="00FA5554">
        <w:rPr>
          <w:sz w:val="16"/>
          <w:szCs w:val="16"/>
        </w:rPr>
        <w:t>%</w:t>
      </w:r>
      <w:r w:rsidRPr="00FA5554">
        <w:rPr>
          <w:sz w:val="16"/>
          <w:szCs w:val="16"/>
        </w:rPr>
        <w:t xml:space="preserve"> due to rounding. </w:t>
      </w:r>
      <w:r w:rsidRPr="00FA5554">
        <w:rPr>
          <w:sz w:val="16"/>
          <w:szCs w:val="16"/>
        </w:rPr>
        <w:br/>
        <w:t xml:space="preserve">(2) A diffusion index greater than 50 indicates expansion, lower than 50 indicates contraction. </w:t>
      </w:r>
      <w:r w:rsidRPr="00FA5554">
        <w:rPr>
          <w:sz w:val="16"/>
          <w:szCs w:val="16"/>
        </w:rPr>
        <w:br/>
        <w:t>Prepar</w:t>
      </w:r>
      <w:r w:rsidR="00411327" w:rsidRPr="00FA5554">
        <w:rPr>
          <w:sz w:val="16"/>
          <w:szCs w:val="16"/>
        </w:rPr>
        <w:t xml:space="preserve">ed by the Economic Analysis </w:t>
      </w:r>
      <w:r w:rsidR="009E4192" w:rsidRPr="00FA5554">
        <w:rPr>
          <w:sz w:val="16"/>
          <w:szCs w:val="16"/>
        </w:rPr>
        <w:t>Unit</w:t>
      </w:r>
      <w:r w:rsidRPr="00FA5554">
        <w:rPr>
          <w:sz w:val="16"/>
          <w:szCs w:val="16"/>
        </w:rPr>
        <w:t xml:space="preserve">, Minnesota Department of Employment and Economic </w:t>
      </w:r>
      <w:r w:rsidR="00EC6FBE" w:rsidRPr="00FA5554">
        <w:rPr>
          <w:sz w:val="16"/>
          <w:szCs w:val="16"/>
        </w:rPr>
        <w:t>Develop</w:t>
      </w:r>
      <w:r w:rsidR="002065A8" w:rsidRPr="00FA5554">
        <w:rPr>
          <w:sz w:val="16"/>
          <w:szCs w:val="16"/>
        </w:rPr>
        <w:t>ment</w:t>
      </w:r>
      <w:r w:rsidR="00706D70" w:rsidRPr="00FA5554">
        <w:rPr>
          <w:sz w:val="16"/>
          <w:szCs w:val="16"/>
        </w:rPr>
        <w:t>, June 202</w:t>
      </w:r>
      <w:r w:rsidR="00F87D08">
        <w:rPr>
          <w:sz w:val="16"/>
          <w:szCs w:val="16"/>
        </w:rPr>
        <w:t>3</w:t>
      </w:r>
      <w:r w:rsidR="00706D70" w:rsidRPr="00FA5554">
        <w:rPr>
          <w:sz w:val="16"/>
          <w:szCs w:val="16"/>
        </w:rPr>
        <w:t>.</w:t>
      </w:r>
      <w:r w:rsidR="00B20EAA" w:rsidRPr="00FA5554">
        <w:rPr>
          <w:sz w:val="16"/>
          <w:szCs w:val="16"/>
        </w:rPr>
        <w:br/>
      </w:r>
    </w:p>
    <w:p w14:paraId="038C72B3" w14:textId="209C974E" w:rsidR="007C6BE2" w:rsidRDefault="00AF5CB2" w:rsidP="00FA5554">
      <w:pPr>
        <w:spacing w:after="0" w:line="240" w:lineRule="auto"/>
      </w:pPr>
      <w:r w:rsidRPr="00AF5CB2">
        <w:rPr>
          <w:rStyle w:val="Heading2Char"/>
          <w:b/>
          <w:bCs/>
        </w:rPr>
        <w:t>Business Ownership</w:t>
      </w:r>
      <w:r w:rsidRPr="00AF5CB2">
        <w:rPr>
          <w:rStyle w:val="Heading2Char"/>
          <w:b/>
          <w:bCs/>
        </w:rPr>
        <w:br/>
      </w:r>
      <w:r w:rsidR="007C6BE2">
        <w:t xml:space="preserve">Beginning </w:t>
      </w:r>
      <w:r w:rsidR="001A409D">
        <w:t xml:space="preserve">in </w:t>
      </w:r>
      <w:r w:rsidR="007C6BE2">
        <w:t xml:space="preserve">2022, DEED </w:t>
      </w:r>
      <w:r w:rsidR="001A409D">
        <w:t>began</w:t>
      </w:r>
      <w:r w:rsidR="007C6BE2">
        <w:t xml:space="preserve"> </w:t>
      </w:r>
      <w:r w:rsidR="001A409D">
        <w:t>asking</w:t>
      </w:r>
      <w:r w:rsidR="007C6BE2">
        <w:t xml:space="preserve"> </w:t>
      </w:r>
      <w:r w:rsidR="00254717">
        <w:t xml:space="preserve">questions about </w:t>
      </w:r>
      <w:r w:rsidR="007C6BE2">
        <w:t>business ownership</w:t>
      </w:r>
      <w:r w:rsidR="00990882">
        <w:t xml:space="preserve"> </w:t>
      </w:r>
      <w:r w:rsidR="00254717">
        <w:t xml:space="preserve">demographics </w:t>
      </w:r>
      <w:r w:rsidR="001A409D">
        <w:t>in the</w:t>
      </w:r>
      <w:r w:rsidR="00990882">
        <w:t xml:space="preserve"> business conditions</w:t>
      </w:r>
      <w:r w:rsidR="00FA5554">
        <w:t xml:space="preserve"> surveys</w:t>
      </w:r>
      <w:r w:rsidR="007C6BE2">
        <w:t>. Responses show</w:t>
      </w:r>
      <w:r w:rsidR="001A409D">
        <w:t>ed</w:t>
      </w:r>
      <w:r w:rsidR="007C6BE2">
        <w:t xml:space="preserve"> that Minnesota </w:t>
      </w:r>
      <w:r w:rsidR="00B20EAA">
        <w:t>b</w:t>
      </w:r>
      <w:r w:rsidR="007C6BE2">
        <w:t xml:space="preserve">usiness services firms </w:t>
      </w:r>
      <w:r w:rsidR="00254717">
        <w:t>remain overwhelmingly white</w:t>
      </w:r>
      <w:r w:rsidR="002B5C36">
        <w:t xml:space="preserve"> and</w:t>
      </w:r>
      <w:r w:rsidR="00254717">
        <w:t xml:space="preserve"> non-Hispanic owned</w:t>
      </w:r>
      <w:r w:rsidR="007C6BE2">
        <w:t xml:space="preserve">. </w:t>
      </w:r>
      <w:r w:rsidR="00254717">
        <w:t>Non-white or</w:t>
      </w:r>
      <w:r w:rsidR="004F237A">
        <w:t xml:space="preserve"> Hispanic</w:t>
      </w:r>
      <w:r w:rsidR="002B5C36">
        <w:t>-</w:t>
      </w:r>
      <w:r w:rsidR="004F237A">
        <w:t>owned business owners</w:t>
      </w:r>
      <w:r w:rsidR="00254717">
        <w:t xml:space="preserve"> </w:t>
      </w:r>
      <w:r w:rsidR="00DF1687">
        <w:t xml:space="preserve">represented </w:t>
      </w:r>
      <w:r w:rsidR="007C6BE2">
        <w:t xml:space="preserve">only 5% of the state’s business services firms but </w:t>
      </w:r>
      <w:r w:rsidR="00B20EAA">
        <w:t>18</w:t>
      </w:r>
      <w:r w:rsidR="00BE319F">
        <w:t>%</w:t>
      </w:r>
      <w:r w:rsidR="007C6BE2">
        <w:t xml:space="preserve"> of Minnesota’s population.</w:t>
      </w:r>
      <w:r w:rsidR="002C1382">
        <w:t xml:space="preserve"> Women </w:t>
      </w:r>
      <w:r w:rsidR="007B6783">
        <w:t>represent</w:t>
      </w:r>
      <w:r w:rsidR="00DF1687">
        <w:t>ed</w:t>
      </w:r>
      <w:r w:rsidR="002C1382">
        <w:t xml:space="preserve"> </w:t>
      </w:r>
      <w:r w:rsidR="00F87D08">
        <w:t>28</w:t>
      </w:r>
      <w:r w:rsidR="002C1382">
        <w:t>%</w:t>
      </w:r>
      <w:r w:rsidR="001F3A8F">
        <w:t xml:space="preserve"> of firms</w:t>
      </w:r>
      <w:r w:rsidR="007B6783">
        <w:t xml:space="preserve"> but 50% of the state’s population</w:t>
      </w:r>
      <w:r w:rsidR="002C1382">
        <w:t>.</w:t>
      </w:r>
    </w:p>
    <w:p w14:paraId="0BB376E5" w14:textId="4B5F3D58" w:rsidR="007C6BE2" w:rsidRDefault="00276903" w:rsidP="00FA5554">
      <w:pPr>
        <w:spacing w:after="0" w:line="240" w:lineRule="auto"/>
      </w:pPr>
      <w:r>
        <w:rPr>
          <w:noProof/>
        </w:rPr>
        <mc:AlternateContent>
          <mc:Choice Requires="cx2">
            <w:drawing>
              <wp:inline distT="0" distB="0" distL="0" distR="0" wp14:anchorId="7FF77D17" wp14:editId="5992F625">
                <wp:extent cx="2955340" cy="1433195"/>
                <wp:effectExtent l="0" t="0" r="16510" b="14605"/>
                <wp:docPr id="4" name="Chart 4" descr="Business Ownership: Chart showing minority owned at 5%; veteran-owned at 9%, prefer not to answer at 12%, women owned at 28% and non of the above at 51%.">
                  <a:extLst xmlns:a="http://schemas.openxmlformats.org/drawingml/2006/main">
                    <a:ext uri="{FF2B5EF4-FFF2-40B4-BE49-F238E27FC236}">
                      <a16:creationId xmlns:a16="http://schemas.microsoft.com/office/drawing/2014/main" id="{5232C203-1AF4-4CB0-9724-32F58460A05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7FF77D17" wp14:editId="5992F625">
                <wp:extent cx="2955340" cy="1433195"/>
                <wp:effectExtent l="0" t="0" r="16510" b="14605"/>
                <wp:docPr id="4" name="Chart 4" descr="Business Ownership: Chart showing minority owned at 5%; veteran-owned at 9%, prefer not to answer at 12%, women owned at 28% and non of the above at 51%.">
                  <a:extLst xmlns:a="http://schemas.openxmlformats.org/drawingml/2006/main">
                    <a:ext uri="{FF2B5EF4-FFF2-40B4-BE49-F238E27FC236}">
                      <a16:creationId xmlns:a16="http://schemas.microsoft.com/office/drawing/2014/main" id="{5232C203-1AF4-4CB0-9724-32F58460A05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descr="Business Ownership: Chart showing minority owned at 5%; veteran-owned at 9%, prefer not to answer at 12%, women owned at 28% and non of the above at 51%.">
                          <a:extLst>
                            <a:ext uri="{FF2B5EF4-FFF2-40B4-BE49-F238E27FC236}">
                              <a16:creationId xmlns:a16="http://schemas.microsoft.com/office/drawing/2014/main" id="{5232C203-1AF4-4CB0-9724-32F58460A052}"/>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2955290" cy="1433195"/>
                        </a:xfrm>
                        <a:prstGeom prst="rect">
                          <a:avLst/>
                        </a:prstGeom>
                      </pic:spPr>
                    </pic:pic>
                  </a:graphicData>
                </a:graphic>
              </wp:inline>
            </w:drawing>
          </mc:Fallback>
        </mc:AlternateContent>
      </w:r>
    </w:p>
    <w:p w14:paraId="1FC14338" w14:textId="09A943A0" w:rsidR="00990882" w:rsidRPr="00FA5554" w:rsidRDefault="00990882" w:rsidP="00FA5554">
      <w:pPr>
        <w:spacing w:after="0" w:line="240" w:lineRule="auto"/>
        <w:rPr>
          <w:sz w:val="16"/>
          <w:szCs w:val="16"/>
        </w:rPr>
      </w:pPr>
      <w:r w:rsidRPr="00FA5554">
        <w:rPr>
          <w:sz w:val="16"/>
          <w:szCs w:val="16"/>
        </w:rPr>
        <w:t>Note: Percentages do not add to 100% due to multiple choice selection.</w:t>
      </w:r>
    </w:p>
    <w:p w14:paraId="2B87062C" w14:textId="77777777" w:rsidR="00276903" w:rsidRDefault="00276903" w:rsidP="00276903">
      <w:pPr>
        <w:sectPr w:rsidR="00276903" w:rsidSect="00276903">
          <w:type w:val="continuous"/>
          <w:pgSz w:w="12240" w:h="15840"/>
          <w:pgMar w:top="720" w:right="720" w:bottom="720" w:left="720" w:header="720" w:footer="720" w:gutter="0"/>
          <w:cols w:num="2" w:space="720"/>
          <w:docGrid w:linePitch="360"/>
        </w:sectPr>
      </w:pPr>
    </w:p>
    <w:p w14:paraId="26C83D9E" w14:textId="77777777" w:rsidR="00276903" w:rsidRDefault="00276903" w:rsidP="00276903">
      <w:pPr>
        <w:sectPr w:rsidR="00276903" w:rsidSect="00BE1B88">
          <w:type w:val="continuous"/>
          <w:pgSz w:w="12240" w:h="15840"/>
          <w:pgMar w:top="720" w:right="720" w:bottom="720" w:left="720" w:header="720" w:footer="720" w:gutter="0"/>
          <w:cols w:space="720"/>
          <w:docGrid w:linePitch="360"/>
        </w:sectPr>
      </w:pPr>
    </w:p>
    <w:p w14:paraId="3BDF94E4" w14:textId="5149A058" w:rsidR="00990882" w:rsidRDefault="008A7855" w:rsidP="00276903">
      <w:pPr>
        <w:rPr>
          <w:rStyle w:val="Heading3Char"/>
        </w:rPr>
        <w:sectPr w:rsidR="00990882" w:rsidSect="00BE1B88">
          <w:type w:val="continuous"/>
          <w:pgSz w:w="12240" w:h="15840"/>
          <w:pgMar w:top="720" w:right="720" w:bottom="720" w:left="720" w:header="720" w:footer="720" w:gutter="0"/>
          <w:cols w:space="720"/>
          <w:docGrid w:linePitch="360"/>
        </w:sectPr>
      </w:pPr>
      <w:r w:rsidRPr="008A7855">
        <w:t xml:space="preserve">Respondents were asked to provide </w:t>
      </w:r>
      <w:r w:rsidR="00DE2B27">
        <w:t xml:space="preserve">additional </w:t>
      </w:r>
      <w:r w:rsidRPr="008A7855">
        <w:t>commen</w:t>
      </w:r>
      <w:r w:rsidR="00DE2B27">
        <w:t>ts. Several participants indicated concern</w:t>
      </w:r>
      <w:r w:rsidR="00A53866">
        <w:t>s</w:t>
      </w:r>
      <w:r w:rsidR="00DE2B27">
        <w:t xml:space="preserve"> with high taxes, labor</w:t>
      </w:r>
      <w:r w:rsidR="00A53866">
        <w:t xml:space="preserve"> availability and</w:t>
      </w:r>
      <w:r w:rsidR="00DE2B27">
        <w:t xml:space="preserve"> cost, inflation</w:t>
      </w:r>
      <w:r w:rsidR="00557345">
        <w:t xml:space="preserve"> and</w:t>
      </w:r>
      <w:r w:rsidR="00B37696">
        <w:t xml:space="preserve"> r</w:t>
      </w:r>
      <w:r w:rsidR="00DE2B27">
        <w:t>ecovering sales</w:t>
      </w:r>
      <w:r w:rsidR="00557345">
        <w:t xml:space="preserve">. </w:t>
      </w:r>
      <w:r w:rsidR="002B4C24">
        <w:t>One participant provided a comment about embracing technology change</w:t>
      </w:r>
      <w:r w:rsidR="003A6906">
        <w:t xml:space="preserve"> to increase growth.</w:t>
      </w:r>
      <w:r w:rsidR="002530CA">
        <w:t xml:space="preserve"> Sample comments are included </w:t>
      </w:r>
      <w:r w:rsidR="002530CA" w:rsidRPr="002530CA">
        <w:rPr>
          <w:i/>
          <w:iCs/>
        </w:rPr>
        <w:t>verbatim</w:t>
      </w:r>
      <w:r w:rsidR="002530CA">
        <w:t xml:space="preserve"> below:</w:t>
      </w:r>
      <w:r w:rsidR="00533104">
        <w:br/>
      </w:r>
    </w:p>
    <w:p w14:paraId="73EBC43A" w14:textId="5FFFE3A9" w:rsidR="00450302" w:rsidRDefault="00A53866" w:rsidP="003349C7">
      <w:pPr>
        <w:spacing w:after="120" w:line="240" w:lineRule="auto"/>
        <w:rPr>
          <w:i/>
          <w:iCs/>
        </w:rPr>
      </w:pPr>
      <w:r>
        <w:rPr>
          <w:rStyle w:val="Heading3Char"/>
        </w:rPr>
        <w:t xml:space="preserve">Labor </w:t>
      </w:r>
      <w:r w:rsidR="00781E6E">
        <w:rPr>
          <w:rStyle w:val="Heading3Char"/>
        </w:rPr>
        <w:t>A</w:t>
      </w:r>
      <w:r>
        <w:rPr>
          <w:rStyle w:val="Heading3Char"/>
        </w:rPr>
        <w:t>vailability</w:t>
      </w:r>
      <w:r w:rsidR="00E57838">
        <w:rPr>
          <w:rStyle w:val="Heading3Char"/>
        </w:rPr>
        <w:t xml:space="preserve"> and </w:t>
      </w:r>
      <w:r w:rsidR="00781E6E">
        <w:rPr>
          <w:rStyle w:val="Heading3Char"/>
        </w:rPr>
        <w:t>C</w:t>
      </w:r>
      <w:r w:rsidR="00E57838">
        <w:rPr>
          <w:rStyle w:val="Heading3Char"/>
        </w:rPr>
        <w:t>ost</w:t>
      </w:r>
      <w:r w:rsidR="00971DC5" w:rsidRPr="00971DC5">
        <w:rPr>
          <w:rStyle w:val="Heading3Char"/>
        </w:rPr>
        <w:br/>
      </w:r>
      <w:r w:rsidR="00971DC5" w:rsidRPr="0004259F">
        <w:rPr>
          <w:i/>
          <w:iCs/>
        </w:rPr>
        <w:t>“</w:t>
      </w:r>
      <w:r>
        <w:rPr>
          <w:i/>
          <w:iCs/>
        </w:rPr>
        <w:t>Business owners in this small town are aging and want to retire</w:t>
      </w:r>
      <w:r w:rsidR="00971DC5" w:rsidRPr="0004259F">
        <w:rPr>
          <w:i/>
          <w:iCs/>
        </w:rPr>
        <w:t>.</w:t>
      </w:r>
      <w:r>
        <w:rPr>
          <w:i/>
          <w:iCs/>
        </w:rPr>
        <w:t xml:space="preserve"> I can’t find anyone to take over my business. Account</w:t>
      </w:r>
      <w:r w:rsidR="00533104">
        <w:rPr>
          <w:i/>
          <w:iCs/>
        </w:rPr>
        <w:t>[an</w:t>
      </w:r>
      <w:r w:rsidR="004F237A">
        <w:rPr>
          <w:i/>
          <w:iCs/>
        </w:rPr>
        <w:t>t</w:t>
      </w:r>
      <w:r w:rsidR="00533104">
        <w:rPr>
          <w:i/>
          <w:iCs/>
        </w:rPr>
        <w:t>]</w:t>
      </w:r>
      <w:r>
        <w:rPr>
          <w:i/>
          <w:iCs/>
        </w:rPr>
        <w:t xml:space="preserve">s, CPA professionals don’t want to move </w:t>
      </w:r>
      <w:r w:rsidR="004F237A">
        <w:rPr>
          <w:i/>
          <w:iCs/>
        </w:rPr>
        <w:t xml:space="preserve">[to] </w:t>
      </w:r>
      <w:r>
        <w:rPr>
          <w:i/>
          <w:iCs/>
        </w:rPr>
        <w:t>or stay in small towns. But there is a need for their services</w:t>
      </w:r>
      <w:r w:rsidR="00450302">
        <w:rPr>
          <w:i/>
          <w:iCs/>
        </w:rPr>
        <w:t>.</w:t>
      </w:r>
      <w:r w:rsidR="00971DC5" w:rsidRPr="0004259F">
        <w:rPr>
          <w:i/>
          <w:iCs/>
        </w:rPr>
        <w:t>”</w:t>
      </w:r>
      <w:r w:rsidR="003349C7">
        <w:br/>
      </w:r>
      <w:r w:rsidR="0004259F" w:rsidRPr="0004259F">
        <w:rPr>
          <w:rStyle w:val="Heading3Char"/>
        </w:rPr>
        <w:br/>
      </w:r>
      <w:r w:rsidR="00450302">
        <w:rPr>
          <w:i/>
          <w:iCs/>
        </w:rPr>
        <w:t>“Labor is more expensive due to [the] economy, while productivity is not increasing…likely also related to stress/mental health issues fueled by the economy and still covid burn out.”</w:t>
      </w:r>
      <w:r w:rsidR="00024AAD">
        <w:rPr>
          <w:i/>
          <w:iCs/>
        </w:rPr>
        <w:br/>
      </w:r>
    </w:p>
    <w:p w14:paraId="3F63524D" w14:textId="3ECF0327" w:rsidR="00533104" w:rsidRDefault="0004259F" w:rsidP="003349C7">
      <w:pPr>
        <w:spacing w:after="120" w:line="240" w:lineRule="auto"/>
        <w:rPr>
          <w:rStyle w:val="Heading3Char"/>
        </w:rPr>
      </w:pPr>
      <w:r w:rsidRPr="0004259F">
        <w:rPr>
          <w:i/>
          <w:iCs/>
        </w:rPr>
        <w:t>“</w:t>
      </w:r>
      <w:r w:rsidR="00E57838">
        <w:rPr>
          <w:i/>
          <w:iCs/>
        </w:rPr>
        <w:t xml:space="preserve">Our revenue is up only </w:t>
      </w:r>
      <w:r w:rsidR="00450302">
        <w:rPr>
          <w:i/>
          <w:iCs/>
        </w:rPr>
        <w:t xml:space="preserve">because we raised prices </w:t>
      </w:r>
      <w:r w:rsidR="00E57838">
        <w:rPr>
          <w:i/>
          <w:iCs/>
        </w:rPr>
        <w:t>to keep up with inflationary pressures. We need to offer higher salaries in order to retain the talent [..</w:t>
      </w:r>
      <w:r w:rsidRPr="0004259F">
        <w:rPr>
          <w:i/>
          <w:iCs/>
        </w:rPr>
        <w:t>.</w:t>
      </w:r>
      <w:r w:rsidR="00E57838">
        <w:rPr>
          <w:i/>
          <w:iCs/>
        </w:rPr>
        <w:t>]. We have to limit the amount of new business we take on, even though the demand is there</w:t>
      </w:r>
      <w:r w:rsidR="004F237A">
        <w:rPr>
          <w:i/>
          <w:iCs/>
        </w:rPr>
        <w:t>,</w:t>
      </w:r>
      <w:r w:rsidR="00E57838">
        <w:rPr>
          <w:i/>
          <w:iCs/>
        </w:rPr>
        <w:t xml:space="preserve"> because it is difficult to find</w:t>
      </w:r>
      <w:r w:rsidR="00533104">
        <w:rPr>
          <w:i/>
          <w:iCs/>
        </w:rPr>
        <w:t xml:space="preserve"> </w:t>
      </w:r>
      <w:r w:rsidR="00E57838">
        <w:rPr>
          <w:i/>
          <w:iCs/>
        </w:rPr>
        <w:t>qualified employees to do the work</w:t>
      </w:r>
      <w:r w:rsidR="00450302">
        <w:rPr>
          <w:i/>
          <w:iCs/>
        </w:rPr>
        <w:t>.</w:t>
      </w:r>
      <w:r w:rsidRPr="0004259F">
        <w:rPr>
          <w:i/>
          <w:iCs/>
        </w:rPr>
        <w:t>”</w:t>
      </w:r>
    </w:p>
    <w:p w14:paraId="31BDE1F5" w14:textId="68F9A17A" w:rsidR="004E5601" w:rsidRPr="00450302" w:rsidRDefault="004E5601" w:rsidP="003349C7">
      <w:pPr>
        <w:spacing w:after="120" w:line="240" w:lineRule="auto"/>
      </w:pPr>
      <w:r w:rsidRPr="004E5601">
        <w:rPr>
          <w:rStyle w:val="Heading3Char"/>
        </w:rPr>
        <w:t>Inflation</w:t>
      </w:r>
      <w:r w:rsidR="00E57838">
        <w:rPr>
          <w:rStyle w:val="Heading3Char"/>
        </w:rPr>
        <w:br/>
      </w:r>
      <w:r w:rsidR="00E57838" w:rsidRPr="00450302">
        <w:rPr>
          <w:i/>
          <w:iCs/>
        </w:rPr>
        <w:t xml:space="preserve">[…] The cost of living has gone </w:t>
      </w:r>
      <w:r w:rsidR="004F237A">
        <w:rPr>
          <w:i/>
          <w:iCs/>
        </w:rPr>
        <w:t xml:space="preserve">[up] </w:t>
      </w:r>
      <w:r w:rsidR="00E57838" w:rsidRPr="00450302">
        <w:rPr>
          <w:i/>
          <w:iCs/>
        </w:rPr>
        <w:t>more than my company’s ability to raise wages has.</w:t>
      </w:r>
      <w:r w:rsidR="00450302" w:rsidRPr="00450302">
        <w:rPr>
          <w:i/>
          <w:iCs/>
        </w:rPr>
        <w:t xml:space="preserve"> This effectively means that even with a modest raise, my employees have still taken a pay cut.”</w:t>
      </w:r>
    </w:p>
    <w:p w14:paraId="1C2D52B0" w14:textId="411D3AB0" w:rsidR="003349C7" w:rsidRDefault="003349C7" w:rsidP="003349C7">
      <w:pPr>
        <w:spacing w:after="120" w:line="240" w:lineRule="auto"/>
        <w:rPr>
          <w:i/>
          <w:iCs/>
        </w:rPr>
      </w:pPr>
      <w:r>
        <w:rPr>
          <w:rStyle w:val="Heading3Char"/>
        </w:rPr>
        <w:t xml:space="preserve">Recovering </w:t>
      </w:r>
      <w:r w:rsidR="00450302">
        <w:rPr>
          <w:rStyle w:val="Heading3Char"/>
        </w:rPr>
        <w:t>Sale</w:t>
      </w:r>
      <w:r>
        <w:rPr>
          <w:rStyle w:val="Heading3Char"/>
        </w:rPr>
        <w:t>s</w:t>
      </w:r>
      <w:r w:rsidR="004E5601">
        <w:br/>
      </w:r>
      <w:r w:rsidR="004E5601" w:rsidRPr="004E5601">
        <w:rPr>
          <w:i/>
          <w:iCs/>
        </w:rPr>
        <w:t>“</w:t>
      </w:r>
      <w:r w:rsidR="00450302">
        <w:rPr>
          <w:i/>
          <w:iCs/>
        </w:rPr>
        <w:t>Sales were non-existent in 2020</w:t>
      </w:r>
      <w:r w:rsidR="004E5601" w:rsidRPr="004E5601">
        <w:rPr>
          <w:i/>
          <w:iCs/>
        </w:rPr>
        <w:t>.</w:t>
      </w:r>
      <w:r w:rsidR="00450302">
        <w:rPr>
          <w:i/>
          <w:iCs/>
        </w:rPr>
        <w:t xml:space="preserve"> Slow ramp up in 2020-2021, this year is close to “normal” but still below 2019.</w:t>
      </w:r>
      <w:r w:rsidR="004E5601" w:rsidRPr="004E5601">
        <w:rPr>
          <w:i/>
          <w:iCs/>
        </w:rPr>
        <w:t>”</w:t>
      </w:r>
    </w:p>
    <w:p w14:paraId="3FC4079D" w14:textId="2F9F6C31" w:rsidR="003349C7" w:rsidRDefault="003349C7" w:rsidP="00B37696">
      <w:pPr>
        <w:spacing w:after="0" w:line="240" w:lineRule="auto"/>
        <w:rPr>
          <w:rStyle w:val="Heading3Char"/>
        </w:rPr>
      </w:pPr>
      <w:r>
        <w:rPr>
          <w:rStyle w:val="Heading3Char"/>
        </w:rPr>
        <w:t>Technology Change</w:t>
      </w:r>
    </w:p>
    <w:p w14:paraId="70F903F3" w14:textId="71A82A17" w:rsidR="006E291A" w:rsidRPr="003349C7" w:rsidRDefault="003349C7" w:rsidP="00B37696">
      <w:pPr>
        <w:spacing w:after="0" w:line="240" w:lineRule="auto"/>
        <w:rPr>
          <w:rFonts w:cstheme="minorHAnsi"/>
          <w:i/>
          <w:iCs/>
        </w:rPr>
        <w:sectPr w:rsidR="006E291A" w:rsidRPr="003349C7" w:rsidSect="00990882">
          <w:type w:val="continuous"/>
          <w:pgSz w:w="12240" w:h="15840"/>
          <w:pgMar w:top="720" w:right="720" w:bottom="720" w:left="720" w:header="720" w:footer="720" w:gutter="0"/>
          <w:cols w:num="2" w:space="720"/>
          <w:docGrid w:linePitch="360"/>
        </w:sectPr>
      </w:pPr>
      <w:r w:rsidRPr="003349C7">
        <w:rPr>
          <w:rStyle w:val="Heading3Char"/>
          <w:rFonts w:asciiTheme="minorHAnsi" w:hAnsiTheme="minorHAnsi" w:cstheme="minorHAnsi"/>
          <w:i/>
          <w:iCs/>
          <w:color w:val="auto"/>
          <w:sz w:val="22"/>
          <w:szCs w:val="22"/>
        </w:rPr>
        <w:t>“Our business meetings have moved to the internet. Ou</w:t>
      </w:r>
      <w:r w:rsidR="00B37696">
        <w:rPr>
          <w:rStyle w:val="Heading3Char"/>
          <w:rFonts w:asciiTheme="minorHAnsi" w:hAnsiTheme="minorHAnsi" w:cstheme="minorHAnsi"/>
          <w:i/>
          <w:iCs/>
          <w:color w:val="auto"/>
          <w:sz w:val="22"/>
          <w:szCs w:val="22"/>
        </w:rPr>
        <w:t>r</w:t>
      </w:r>
      <w:r w:rsidRPr="003349C7">
        <w:rPr>
          <w:rStyle w:val="Heading3Char"/>
          <w:rFonts w:asciiTheme="minorHAnsi" w:hAnsiTheme="minorHAnsi" w:cstheme="minorHAnsi"/>
          <w:i/>
          <w:iCs/>
          <w:color w:val="auto"/>
          <w:sz w:val="22"/>
          <w:szCs w:val="22"/>
        </w:rPr>
        <w:t xml:space="preserve"> international business has grown because we have placed our services on the internet. The nature of everything we do has changed because of the Internet.</w:t>
      </w:r>
    </w:p>
    <w:p w14:paraId="3056AF15" w14:textId="055BC073" w:rsidR="007C6BE2" w:rsidRPr="00897DC0" w:rsidRDefault="007C6BE2" w:rsidP="00706D70"/>
    <w:sectPr w:rsidR="007C6BE2" w:rsidRPr="00897DC0" w:rsidSect="00BE1B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9C54" w14:textId="77777777" w:rsidR="009A29E6" w:rsidRDefault="009A29E6" w:rsidP="00722892">
      <w:pPr>
        <w:spacing w:after="0" w:line="240" w:lineRule="auto"/>
      </w:pPr>
      <w:r>
        <w:separator/>
      </w:r>
    </w:p>
  </w:endnote>
  <w:endnote w:type="continuationSeparator" w:id="0">
    <w:p w14:paraId="63CDD696" w14:textId="77777777" w:rsidR="009A29E6" w:rsidRDefault="009A29E6" w:rsidP="0072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531655"/>
      <w:docPartObj>
        <w:docPartGallery w:val="Page Numbers (Bottom of Page)"/>
        <w:docPartUnique/>
      </w:docPartObj>
    </w:sdtPr>
    <w:sdtContent>
      <w:sdt>
        <w:sdtPr>
          <w:id w:val="-1769616900"/>
          <w:docPartObj>
            <w:docPartGallery w:val="Page Numbers (Top of Page)"/>
            <w:docPartUnique/>
          </w:docPartObj>
        </w:sdtPr>
        <w:sdtContent>
          <w:p w14:paraId="759FA69B" w14:textId="07661092" w:rsidR="00C16097" w:rsidRDefault="00C160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A596" w14:textId="77777777" w:rsidR="009A29E6" w:rsidRDefault="009A29E6" w:rsidP="00722892">
      <w:pPr>
        <w:spacing w:after="0" w:line="240" w:lineRule="auto"/>
      </w:pPr>
      <w:r>
        <w:separator/>
      </w:r>
    </w:p>
  </w:footnote>
  <w:footnote w:type="continuationSeparator" w:id="0">
    <w:p w14:paraId="6C199F7E" w14:textId="77777777" w:rsidR="009A29E6" w:rsidRDefault="009A29E6" w:rsidP="0072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92C"/>
    <w:multiLevelType w:val="hybridMultilevel"/>
    <w:tmpl w:val="4F46C5A4"/>
    <w:lvl w:ilvl="0" w:tplc="7EC49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4002"/>
    <w:multiLevelType w:val="hybridMultilevel"/>
    <w:tmpl w:val="9036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10DA1"/>
    <w:multiLevelType w:val="hybridMultilevel"/>
    <w:tmpl w:val="B8CE587E"/>
    <w:lvl w:ilvl="0" w:tplc="C196342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2D4075"/>
    <w:multiLevelType w:val="hybridMultilevel"/>
    <w:tmpl w:val="77DE0E20"/>
    <w:lvl w:ilvl="0" w:tplc="FEC443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A73C2"/>
    <w:multiLevelType w:val="hybridMultilevel"/>
    <w:tmpl w:val="C54C98A6"/>
    <w:lvl w:ilvl="0" w:tplc="710E8D2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 w15:restartNumberingAfterBreak="0">
    <w:nsid w:val="3AAD4C75"/>
    <w:multiLevelType w:val="hybridMultilevel"/>
    <w:tmpl w:val="D97AB74E"/>
    <w:lvl w:ilvl="0" w:tplc="593A9B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229547C"/>
    <w:multiLevelType w:val="hybridMultilevel"/>
    <w:tmpl w:val="63AE7CF0"/>
    <w:lvl w:ilvl="0" w:tplc="16A4D1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C3162D5"/>
    <w:multiLevelType w:val="hybridMultilevel"/>
    <w:tmpl w:val="2B5E2D2E"/>
    <w:lvl w:ilvl="0" w:tplc="18A02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FFF4843"/>
    <w:multiLevelType w:val="hybridMultilevel"/>
    <w:tmpl w:val="CA0CEBC6"/>
    <w:lvl w:ilvl="0" w:tplc="EC82D616">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522234575">
    <w:abstractNumId w:val="8"/>
  </w:num>
  <w:num w:numId="2" w16cid:durableId="1599874743">
    <w:abstractNumId w:val="3"/>
  </w:num>
  <w:num w:numId="3" w16cid:durableId="504369051">
    <w:abstractNumId w:val="0"/>
  </w:num>
  <w:num w:numId="4" w16cid:durableId="524097676">
    <w:abstractNumId w:val="2"/>
  </w:num>
  <w:num w:numId="5" w16cid:durableId="1271664004">
    <w:abstractNumId w:val="4"/>
  </w:num>
  <w:num w:numId="6" w16cid:durableId="458962367">
    <w:abstractNumId w:val="5"/>
  </w:num>
  <w:num w:numId="7" w16cid:durableId="1040591933">
    <w:abstractNumId w:val="7"/>
  </w:num>
  <w:num w:numId="8" w16cid:durableId="14239075">
    <w:abstractNumId w:val="6"/>
  </w:num>
  <w:num w:numId="9" w16cid:durableId="195601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A"/>
    <w:rsid w:val="000045C4"/>
    <w:rsid w:val="000055EB"/>
    <w:rsid w:val="00006BCD"/>
    <w:rsid w:val="000102FA"/>
    <w:rsid w:val="00011BFB"/>
    <w:rsid w:val="00022457"/>
    <w:rsid w:val="00023BB3"/>
    <w:rsid w:val="00024AAD"/>
    <w:rsid w:val="00033FB0"/>
    <w:rsid w:val="00034A07"/>
    <w:rsid w:val="0004259F"/>
    <w:rsid w:val="00043367"/>
    <w:rsid w:val="00043FE7"/>
    <w:rsid w:val="00050E4D"/>
    <w:rsid w:val="000530CD"/>
    <w:rsid w:val="0005336B"/>
    <w:rsid w:val="000554FA"/>
    <w:rsid w:val="000631E3"/>
    <w:rsid w:val="00064F89"/>
    <w:rsid w:val="000715D1"/>
    <w:rsid w:val="00085CB5"/>
    <w:rsid w:val="00093843"/>
    <w:rsid w:val="00097993"/>
    <w:rsid w:val="00097F32"/>
    <w:rsid w:val="000A0BC3"/>
    <w:rsid w:val="000A28AD"/>
    <w:rsid w:val="000A65D8"/>
    <w:rsid w:val="000B4D88"/>
    <w:rsid w:val="000B68D5"/>
    <w:rsid w:val="000B7992"/>
    <w:rsid w:val="000C04EE"/>
    <w:rsid w:val="000C107F"/>
    <w:rsid w:val="000C1BCF"/>
    <w:rsid w:val="000D53DE"/>
    <w:rsid w:val="000E61B5"/>
    <w:rsid w:val="000E746C"/>
    <w:rsid w:val="000F04F2"/>
    <w:rsid w:val="000F78D5"/>
    <w:rsid w:val="00100C21"/>
    <w:rsid w:val="00106485"/>
    <w:rsid w:val="001129DB"/>
    <w:rsid w:val="00113DB1"/>
    <w:rsid w:val="001215A7"/>
    <w:rsid w:val="00126400"/>
    <w:rsid w:val="0013508B"/>
    <w:rsid w:val="001406E5"/>
    <w:rsid w:val="00143B8B"/>
    <w:rsid w:val="00157FEC"/>
    <w:rsid w:val="0016078E"/>
    <w:rsid w:val="00162471"/>
    <w:rsid w:val="001631FC"/>
    <w:rsid w:val="001667E5"/>
    <w:rsid w:val="00167F1A"/>
    <w:rsid w:val="00170768"/>
    <w:rsid w:val="00174C4B"/>
    <w:rsid w:val="00174D79"/>
    <w:rsid w:val="00192498"/>
    <w:rsid w:val="001A1D64"/>
    <w:rsid w:val="001A409D"/>
    <w:rsid w:val="001A70BD"/>
    <w:rsid w:val="001B09BD"/>
    <w:rsid w:val="001B421E"/>
    <w:rsid w:val="001C0F02"/>
    <w:rsid w:val="001C1605"/>
    <w:rsid w:val="001C7F52"/>
    <w:rsid w:val="001D0139"/>
    <w:rsid w:val="001D0365"/>
    <w:rsid w:val="001D1D2A"/>
    <w:rsid w:val="001D280C"/>
    <w:rsid w:val="001D53EC"/>
    <w:rsid w:val="001D592F"/>
    <w:rsid w:val="001D69C4"/>
    <w:rsid w:val="001D7C7A"/>
    <w:rsid w:val="001E553C"/>
    <w:rsid w:val="001F26CC"/>
    <w:rsid w:val="001F3A8F"/>
    <w:rsid w:val="00200309"/>
    <w:rsid w:val="002054F5"/>
    <w:rsid w:val="002065A8"/>
    <w:rsid w:val="00225875"/>
    <w:rsid w:val="002274F7"/>
    <w:rsid w:val="0023223B"/>
    <w:rsid w:val="00234F93"/>
    <w:rsid w:val="00240CDB"/>
    <w:rsid w:val="00241335"/>
    <w:rsid w:val="00243472"/>
    <w:rsid w:val="0024440C"/>
    <w:rsid w:val="00245A31"/>
    <w:rsid w:val="0025036B"/>
    <w:rsid w:val="002515D8"/>
    <w:rsid w:val="002530CA"/>
    <w:rsid w:val="00253C7F"/>
    <w:rsid w:val="00254717"/>
    <w:rsid w:val="00273A9B"/>
    <w:rsid w:val="00273DC2"/>
    <w:rsid w:val="00276903"/>
    <w:rsid w:val="00277905"/>
    <w:rsid w:val="00280798"/>
    <w:rsid w:val="00286A99"/>
    <w:rsid w:val="002934A2"/>
    <w:rsid w:val="00293720"/>
    <w:rsid w:val="00297604"/>
    <w:rsid w:val="002A39E0"/>
    <w:rsid w:val="002A419E"/>
    <w:rsid w:val="002A4627"/>
    <w:rsid w:val="002A54B0"/>
    <w:rsid w:val="002B3361"/>
    <w:rsid w:val="002B4C24"/>
    <w:rsid w:val="002B5C36"/>
    <w:rsid w:val="002C1301"/>
    <w:rsid w:val="002C1382"/>
    <w:rsid w:val="002C48DC"/>
    <w:rsid w:val="002C5461"/>
    <w:rsid w:val="002C784F"/>
    <w:rsid w:val="002D2D7B"/>
    <w:rsid w:val="002D4D64"/>
    <w:rsid w:val="002E4C76"/>
    <w:rsid w:val="002E60AC"/>
    <w:rsid w:val="002F1C66"/>
    <w:rsid w:val="00304A04"/>
    <w:rsid w:val="003058BA"/>
    <w:rsid w:val="00311D39"/>
    <w:rsid w:val="003349C7"/>
    <w:rsid w:val="003368D3"/>
    <w:rsid w:val="00337ABD"/>
    <w:rsid w:val="00346D0D"/>
    <w:rsid w:val="00351D1F"/>
    <w:rsid w:val="003549BF"/>
    <w:rsid w:val="003617E5"/>
    <w:rsid w:val="00364DC4"/>
    <w:rsid w:val="00367060"/>
    <w:rsid w:val="00373ED3"/>
    <w:rsid w:val="003774CD"/>
    <w:rsid w:val="003809EF"/>
    <w:rsid w:val="00380DCC"/>
    <w:rsid w:val="003844D4"/>
    <w:rsid w:val="00391761"/>
    <w:rsid w:val="00391C69"/>
    <w:rsid w:val="00392665"/>
    <w:rsid w:val="00393696"/>
    <w:rsid w:val="003942C0"/>
    <w:rsid w:val="00396DC1"/>
    <w:rsid w:val="003A5A17"/>
    <w:rsid w:val="003A6906"/>
    <w:rsid w:val="003A765D"/>
    <w:rsid w:val="003B032B"/>
    <w:rsid w:val="003B0396"/>
    <w:rsid w:val="003B5D7E"/>
    <w:rsid w:val="003B7BDF"/>
    <w:rsid w:val="003C059D"/>
    <w:rsid w:val="003D4460"/>
    <w:rsid w:val="003E0958"/>
    <w:rsid w:val="003E3664"/>
    <w:rsid w:val="003E5789"/>
    <w:rsid w:val="003F33BB"/>
    <w:rsid w:val="003F46AE"/>
    <w:rsid w:val="003F4F11"/>
    <w:rsid w:val="003F5F27"/>
    <w:rsid w:val="003F62BE"/>
    <w:rsid w:val="00405496"/>
    <w:rsid w:val="00411327"/>
    <w:rsid w:val="00413D79"/>
    <w:rsid w:val="0041490E"/>
    <w:rsid w:val="0041750B"/>
    <w:rsid w:val="004211C2"/>
    <w:rsid w:val="004262DB"/>
    <w:rsid w:val="00427215"/>
    <w:rsid w:val="00427A28"/>
    <w:rsid w:val="0043194C"/>
    <w:rsid w:val="004327B3"/>
    <w:rsid w:val="00437F33"/>
    <w:rsid w:val="00444DF2"/>
    <w:rsid w:val="0044654E"/>
    <w:rsid w:val="00450302"/>
    <w:rsid w:val="00450BEA"/>
    <w:rsid w:val="00457917"/>
    <w:rsid w:val="004662B5"/>
    <w:rsid w:val="004861F4"/>
    <w:rsid w:val="00487342"/>
    <w:rsid w:val="0049058E"/>
    <w:rsid w:val="0049334A"/>
    <w:rsid w:val="0049521D"/>
    <w:rsid w:val="004962E4"/>
    <w:rsid w:val="004A770C"/>
    <w:rsid w:val="004B0E5A"/>
    <w:rsid w:val="004B4F77"/>
    <w:rsid w:val="004C194A"/>
    <w:rsid w:val="004C508D"/>
    <w:rsid w:val="004C7DDB"/>
    <w:rsid w:val="004D0F62"/>
    <w:rsid w:val="004D5B1E"/>
    <w:rsid w:val="004E068C"/>
    <w:rsid w:val="004E12F2"/>
    <w:rsid w:val="004E3C39"/>
    <w:rsid w:val="004E5601"/>
    <w:rsid w:val="004E7D1F"/>
    <w:rsid w:val="004F0B64"/>
    <w:rsid w:val="004F237A"/>
    <w:rsid w:val="004F6209"/>
    <w:rsid w:val="004F7772"/>
    <w:rsid w:val="00500E37"/>
    <w:rsid w:val="00502AAA"/>
    <w:rsid w:val="0051195F"/>
    <w:rsid w:val="00520911"/>
    <w:rsid w:val="005212B3"/>
    <w:rsid w:val="005252B0"/>
    <w:rsid w:val="00527ABE"/>
    <w:rsid w:val="00531B2D"/>
    <w:rsid w:val="00531B4E"/>
    <w:rsid w:val="00532ED4"/>
    <w:rsid w:val="00533104"/>
    <w:rsid w:val="005432B6"/>
    <w:rsid w:val="00543B8E"/>
    <w:rsid w:val="00550643"/>
    <w:rsid w:val="005546DD"/>
    <w:rsid w:val="00554B61"/>
    <w:rsid w:val="00557345"/>
    <w:rsid w:val="00557CBF"/>
    <w:rsid w:val="00562E29"/>
    <w:rsid w:val="00563908"/>
    <w:rsid w:val="00565C48"/>
    <w:rsid w:val="00567732"/>
    <w:rsid w:val="00584451"/>
    <w:rsid w:val="0058515D"/>
    <w:rsid w:val="005A18F0"/>
    <w:rsid w:val="005A24D4"/>
    <w:rsid w:val="005A2834"/>
    <w:rsid w:val="005A45F6"/>
    <w:rsid w:val="005B6565"/>
    <w:rsid w:val="005B6BED"/>
    <w:rsid w:val="005C0002"/>
    <w:rsid w:val="005C1437"/>
    <w:rsid w:val="005C5C85"/>
    <w:rsid w:val="005D05C5"/>
    <w:rsid w:val="005D08DD"/>
    <w:rsid w:val="005D4168"/>
    <w:rsid w:val="005E211A"/>
    <w:rsid w:val="005F0E3F"/>
    <w:rsid w:val="005F308E"/>
    <w:rsid w:val="005F3E68"/>
    <w:rsid w:val="00623F4F"/>
    <w:rsid w:val="00624969"/>
    <w:rsid w:val="00627309"/>
    <w:rsid w:val="006309E6"/>
    <w:rsid w:val="0063228F"/>
    <w:rsid w:val="006327BB"/>
    <w:rsid w:val="0063644F"/>
    <w:rsid w:val="006449F7"/>
    <w:rsid w:val="00645D99"/>
    <w:rsid w:val="0065167F"/>
    <w:rsid w:val="0065730A"/>
    <w:rsid w:val="00671D12"/>
    <w:rsid w:val="006720E4"/>
    <w:rsid w:val="00680156"/>
    <w:rsid w:val="00684EC5"/>
    <w:rsid w:val="00695A9E"/>
    <w:rsid w:val="006A1085"/>
    <w:rsid w:val="006A387C"/>
    <w:rsid w:val="006A3B8F"/>
    <w:rsid w:val="006A4A5C"/>
    <w:rsid w:val="006B0B3E"/>
    <w:rsid w:val="006B28F7"/>
    <w:rsid w:val="006B3637"/>
    <w:rsid w:val="006B6F5E"/>
    <w:rsid w:val="006B6FD4"/>
    <w:rsid w:val="006C42B8"/>
    <w:rsid w:val="006C6700"/>
    <w:rsid w:val="006D2EAD"/>
    <w:rsid w:val="006D3B3F"/>
    <w:rsid w:val="006D66E0"/>
    <w:rsid w:val="006E291A"/>
    <w:rsid w:val="006F6BE5"/>
    <w:rsid w:val="006F7EFC"/>
    <w:rsid w:val="00702D96"/>
    <w:rsid w:val="0070375F"/>
    <w:rsid w:val="0070546F"/>
    <w:rsid w:val="00706D70"/>
    <w:rsid w:val="007075DF"/>
    <w:rsid w:val="007145B2"/>
    <w:rsid w:val="007171B2"/>
    <w:rsid w:val="00722892"/>
    <w:rsid w:val="00722B61"/>
    <w:rsid w:val="007242DF"/>
    <w:rsid w:val="00725454"/>
    <w:rsid w:val="00726C57"/>
    <w:rsid w:val="0073212E"/>
    <w:rsid w:val="00742BA0"/>
    <w:rsid w:val="00752148"/>
    <w:rsid w:val="00755DCE"/>
    <w:rsid w:val="007579D5"/>
    <w:rsid w:val="007623F0"/>
    <w:rsid w:val="00765F50"/>
    <w:rsid w:val="00771521"/>
    <w:rsid w:val="007750EE"/>
    <w:rsid w:val="00781E6E"/>
    <w:rsid w:val="00783BB1"/>
    <w:rsid w:val="007874B0"/>
    <w:rsid w:val="0079369A"/>
    <w:rsid w:val="007A0E8F"/>
    <w:rsid w:val="007B16BB"/>
    <w:rsid w:val="007B1F27"/>
    <w:rsid w:val="007B6783"/>
    <w:rsid w:val="007C0321"/>
    <w:rsid w:val="007C2216"/>
    <w:rsid w:val="007C3754"/>
    <w:rsid w:val="007C3F5F"/>
    <w:rsid w:val="007C629F"/>
    <w:rsid w:val="007C6BE2"/>
    <w:rsid w:val="007C7CDC"/>
    <w:rsid w:val="007D0758"/>
    <w:rsid w:val="007D253F"/>
    <w:rsid w:val="007D3DE8"/>
    <w:rsid w:val="007D58C4"/>
    <w:rsid w:val="007D7CFA"/>
    <w:rsid w:val="007E2463"/>
    <w:rsid w:val="007E666B"/>
    <w:rsid w:val="007F61A9"/>
    <w:rsid w:val="008051D0"/>
    <w:rsid w:val="00810157"/>
    <w:rsid w:val="00811679"/>
    <w:rsid w:val="00814ED5"/>
    <w:rsid w:val="00814F86"/>
    <w:rsid w:val="0081524D"/>
    <w:rsid w:val="0081643D"/>
    <w:rsid w:val="00820241"/>
    <w:rsid w:val="00824ECD"/>
    <w:rsid w:val="00825F3C"/>
    <w:rsid w:val="00830783"/>
    <w:rsid w:val="00831B82"/>
    <w:rsid w:val="00835E20"/>
    <w:rsid w:val="00836269"/>
    <w:rsid w:val="0084634F"/>
    <w:rsid w:val="00852CCC"/>
    <w:rsid w:val="00853F8F"/>
    <w:rsid w:val="00855892"/>
    <w:rsid w:val="0086126B"/>
    <w:rsid w:val="008616AD"/>
    <w:rsid w:val="00866AE5"/>
    <w:rsid w:val="00873CE5"/>
    <w:rsid w:val="00875E22"/>
    <w:rsid w:val="00877E6A"/>
    <w:rsid w:val="00881C43"/>
    <w:rsid w:val="008917AD"/>
    <w:rsid w:val="0089194E"/>
    <w:rsid w:val="008930DA"/>
    <w:rsid w:val="008959F9"/>
    <w:rsid w:val="0089607A"/>
    <w:rsid w:val="00897DC0"/>
    <w:rsid w:val="00897FBF"/>
    <w:rsid w:val="008A0661"/>
    <w:rsid w:val="008A3B5D"/>
    <w:rsid w:val="008A5913"/>
    <w:rsid w:val="008A5EF8"/>
    <w:rsid w:val="008A7855"/>
    <w:rsid w:val="008A7B58"/>
    <w:rsid w:val="008B00D4"/>
    <w:rsid w:val="008B2E6E"/>
    <w:rsid w:val="008B388C"/>
    <w:rsid w:val="008C0851"/>
    <w:rsid w:val="008C387B"/>
    <w:rsid w:val="008C578B"/>
    <w:rsid w:val="008C6664"/>
    <w:rsid w:val="008C6794"/>
    <w:rsid w:val="008C7C93"/>
    <w:rsid w:val="008D19EB"/>
    <w:rsid w:val="008D3F64"/>
    <w:rsid w:val="008D6DDD"/>
    <w:rsid w:val="008E015A"/>
    <w:rsid w:val="008E7E58"/>
    <w:rsid w:val="008F3AB3"/>
    <w:rsid w:val="00902FE2"/>
    <w:rsid w:val="0091534A"/>
    <w:rsid w:val="009163D7"/>
    <w:rsid w:val="00930E4B"/>
    <w:rsid w:val="00932E94"/>
    <w:rsid w:val="0093302A"/>
    <w:rsid w:val="00933559"/>
    <w:rsid w:val="009371C0"/>
    <w:rsid w:val="00941384"/>
    <w:rsid w:val="0094164D"/>
    <w:rsid w:val="0094434C"/>
    <w:rsid w:val="009468D5"/>
    <w:rsid w:val="00952E63"/>
    <w:rsid w:val="00955E99"/>
    <w:rsid w:val="0095690F"/>
    <w:rsid w:val="00957C8C"/>
    <w:rsid w:val="00961887"/>
    <w:rsid w:val="00962FBB"/>
    <w:rsid w:val="009713A3"/>
    <w:rsid w:val="00971DC5"/>
    <w:rsid w:val="00972D5C"/>
    <w:rsid w:val="009768AE"/>
    <w:rsid w:val="00987EC0"/>
    <w:rsid w:val="00990882"/>
    <w:rsid w:val="00995CB9"/>
    <w:rsid w:val="009969EB"/>
    <w:rsid w:val="009A0736"/>
    <w:rsid w:val="009A1D8F"/>
    <w:rsid w:val="009A29E6"/>
    <w:rsid w:val="009A7E27"/>
    <w:rsid w:val="009B07B0"/>
    <w:rsid w:val="009B3DF5"/>
    <w:rsid w:val="009B7995"/>
    <w:rsid w:val="009B7A08"/>
    <w:rsid w:val="009C5EDC"/>
    <w:rsid w:val="009C6A64"/>
    <w:rsid w:val="009D2102"/>
    <w:rsid w:val="009D6A9C"/>
    <w:rsid w:val="009D720D"/>
    <w:rsid w:val="009E27C5"/>
    <w:rsid w:val="009E4192"/>
    <w:rsid w:val="009E438F"/>
    <w:rsid w:val="009F13ED"/>
    <w:rsid w:val="009F14B6"/>
    <w:rsid w:val="009F26AA"/>
    <w:rsid w:val="009F50B1"/>
    <w:rsid w:val="009F568F"/>
    <w:rsid w:val="009F691B"/>
    <w:rsid w:val="00A121AF"/>
    <w:rsid w:val="00A15573"/>
    <w:rsid w:val="00A257DB"/>
    <w:rsid w:val="00A2646F"/>
    <w:rsid w:val="00A2685D"/>
    <w:rsid w:val="00A31665"/>
    <w:rsid w:val="00A319A9"/>
    <w:rsid w:val="00A41AC1"/>
    <w:rsid w:val="00A43276"/>
    <w:rsid w:val="00A448E3"/>
    <w:rsid w:val="00A47279"/>
    <w:rsid w:val="00A47862"/>
    <w:rsid w:val="00A516F3"/>
    <w:rsid w:val="00A53866"/>
    <w:rsid w:val="00A561F7"/>
    <w:rsid w:val="00A66699"/>
    <w:rsid w:val="00A67406"/>
    <w:rsid w:val="00A70BA3"/>
    <w:rsid w:val="00A72C89"/>
    <w:rsid w:val="00A80F35"/>
    <w:rsid w:val="00A82DA5"/>
    <w:rsid w:val="00A87222"/>
    <w:rsid w:val="00A908BB"/>
    <w:rsid w:val="00A94D17"/>
    <w:rsid w:val="00A979C6"/>
    <w:rsid w:val="00A97C01"/>
    <w:rsid w:val="00AB54BD"/>
    <w:rsid w:val="00AB6F70"/>
    <w:rsid w:val="00AC5782"/>
    <w:rsid w:val="00AC6BEA"/>
    <w:rsid w:val="00AC7A68"/>
    <w:rsid w:val="00AD00D1"/>
    <w:rsid w:val="00AD2C42"/>
    <w:rsid w:val="00AD38E8"/>
    <w:rsid w:val="00AD5AC2"/>
    <w:rsid w:val="00AD5C32"/>
    <w:rsid w:val="00AE0EFF"/>
    <w:rsid w:val="00AE5AA1"/>
    <w:rsid w:val="00AF157E"/>
    <w:rsid w:val="00AF5CB2"/>
    <w:rsid w:val="00B07173"/>
    <w:rsid w:val="00B073F1"/>
    <w:rsid w:val="00B20EAA"/>
    <w:rsid w:val="00B22064"/>
    <w:rsid w:val="00B22FAE"/>
    <w:rsid w:val="00B37696"/>
    <w:rsid w:val="00B3790C"/>
    <w:rsid w:val="00B4100B"/>
    <w:rsid w:val="00B42CDA"/>
    <w:rsid w:val="00B42CEB"/>
    <w:rsid w:val="00B76A86"/>
    <w:rsid w:val="00B76C4D"/>
    <w:rsid w:val="00B81B7A"/>
    <w:rsid w:val="00B8301F"/>
    <w:rsid w:val="00B8390B"/>
    <w:rsid w:val="00B86180"/>
    <w:rsid w:val="00B86E7E"/>
    <w:rsid w:val="00BA1C65"/>
    <w:rsid w:val="00BA5968"/>
    <w:rsid w:val="00BB4D26"/>
    <w:rsid w:val="00BC0C4D"/>
    <w:rsid w:val="00BC265F"/>
    <w:rsid w:val="00BC2BDF"/>
    <w:rsid w:val="00BC5DD8"/>
    <w:rsid w:val="00BD5061"/>
    <w:rsid w:val="00BE1B88"/>
    <w:rsid w:val="00BE319F"/>
    <w:rsid w:val="00BE474F"/>
    <w:rsid w:val="00BE7561"/>
    <w:rsid w:val="00BF2600"/>
    <w:rsid w:val="00BF738E"/>
    <w:rsid w:val="00C016FB"/>
    <w:rsid w:val="00C05B7D"/>
    <w:rsid w:val="00C067E2"/>
    <w:rsid w:val="00C1258E"/>
    <w:rsid w:val="00C16097"/>
    <w:rsid w:val="00C174D5"/>
    <w:rsid w:val="00C2343E"/>
    <w:rsid w:val="00C2607A"/>
    <w:rsid w:val="00C310C5"/>
    <w:rsid w:val="00C33B94"/>
    <w:rsid w:val="00C34B1A"/>
    <w:rsid w:val="00C35CB2"/>
    <w:rsid w:val="00C37A2C"/>
    <w:rsid w:val="00C46B75"/>
    <w:rsid w:val="00C510B2"/>
    <w:rsid w:val="00C5553E"/>
    <w:rsid w:val="00C570D5"/>
    <w:rsid w:val="00C6136E"/>
    <w:rsid w:val="00C633BF"/>
    <w:rsid w:val="00C707A3"/>
    <w:rsid w:val="00C70E36"/>
    <w:rsid w:val="00C74624"/>
    <w:rsid w:val="00C74737"/>
    <w:rsid w:val="00C80792"/>
    <w:rsid w:val="00C80C65"/>
    <w:rsid w:val="00C834D1"/>
    <w:rsid w:val="00C94B17"/>
    <w:rsid w:val="00CA018D"/>
    <w:rsid w:val="00CA37B6"/>
    <w:rsid w:val="00CA4F8E"/>
    <w:rsid w:val="00CA5832"/>
    <w:rsid w:val="00CC2FD0"/>
    <w:rsid w:val="00CC4432"/>
    <w:rsid w:val="00CD077C"/>
    <w:rsid w:val="00CE1510"/>
    <w:rsid w:val="00CE2823"/>
    <w:rsid w:val="00CE28CD"/>
    <w:rsid w:val="00CE70D6"/>
    <w:rsid w:val="00CF0E97"/>
    <w:rsid w:val="00CF0F48"/>
    <w:rsid w:val="00CF6083"/>
    <w:rsid w:val="00D00E73"/>
    <w:rsid w:val="00D0165F"/>
    <w:rsid w:val="00D016CA"/>
    <w:rsid w:val="00D056A9"/>
    <w:rsid w:val="00D101D6"/>
    <w:rsid w:val="00D12E13"/>
    <w:rsid w:val="00D12EE2"/>
    <w:rsid w:val="00D20506"/>
    <w:rsid w:val="00D21E21"/>
    <w:rsid w:val="00D33609"/>
    <w:rsid w:val="00D3621B"/>
    <w:rsid w:val="00D40360"/>
    <w:rsid w:val="00D40EDB"/>
    <w:rsid w:val="00D47417"/>
    <w:rsid w:val="00D52CFB"/>
    <w:rsid w:val="00D53E18"/>
    <w:rsid w:val="00D57F6C"/>
    <w:rsid w:val="00D60273"/>
    <w:rsid w:val="00D656A2"/>
    <w:rsid w:val="00D7058B"/>
    <w:rsid w:val="00D71F1A"/>
    <w:rsid w:val="00D733D3"/>
    <w:rsid w:val="00D91E8A"/>
    <w:rsid w:val="00DA18EA"/>
    <w:rsid w:val="00DB1BE2"/>
    <w:rsid w:val="00DC1E5A"/>
    <w:rsid w:val="00DD0D08"/>
    <w:rsid w:val="00DD1C11"/>
    <w:rsid w:val="00DD1D04"/>
    <w:rsid w:val="00DD39EC"/>
    <w:rsid w:val="00DE2B27"/>
    <w:rsid w:val="00DE74D0"/>
    <w:rsid w:val="00DE7AC6"/>
    <w:rsid w:val="00DF1687"/>
    <w:rsid w:val="00E1535A"/>
    <w:rsid w:val="00E2110F"/>
    <w:rsid w:val="00E211E5"/>
    <w:rsid w:val="00E25CD3"/>
    <w:rsid w:val="00E26BBB"/>
    <w:rsid w:val="00E35205"/>
    <w:rsid w:val="00E412C1"/>
    <w:rsid w:val="00E50B04"/>
    <w:rsid w:val="00E55E81"/>
    <w:rsid w:val="00E56F49"/>
    <w:rsid w:val="00E57838"/>
    <w:rsid w:val="00E647F4"/>
    <w:rsid w:val="00E66525"/>
    <w:rsid w:val="00E66A72"/>
    <w:rsid w:val="00E66F63"/>
    <w:rsid w:val="00E7356E"/>
    <w:rsid w:val="00E83520"/>
    <w:rsid w:val="00E841AC"/>
    <w:rsid w:val="00E92FD4"/>
    <w:rsid w:val="00EA0D40"/>
    <w:rsid w:val="00EA2806"/>
    <w:rsid w:val="00EA2AE1"/>
    <w:rsid w:val="00EA40C9"/>
    <w:rsid w:val="00EB4493"/>
    <w:rsid w:val="00EB77C6"/>
    <w:rsid w:val="00EC4D56"/>
    <w:rsid w:val="00EC6FBE"/>
    <w:rsid w:val="00EC7FDA"/>
    <w:rsid w:val="00EE2D4D"/>
    <w:rsid w:val="00EE6084"/>
    <w:rsid w:val="00EE7F5A"/>
    <w:rsid w:val="00EF2617"/>
    <w:rsid w:val="00EF745B"/>
    <w:rsid w:val="00F10ED0"/>
    <w:rsid w:val="00F1513D"/>
    <w:rsid w:val="00F20553"/>
    <w:rsid w:val="00F22B90"/>
    <w:rsid w:val="00F267EF"/>
    <w:rsid w:val="00F411B9"/>
    <w:rsid w:val="00F51D8F"/>
    <w:rsid w:val="00F573FD"/>
    <w:rsid w:val="00F60B34"/>
    <w:rsid w:val="00F62FD1"/>
    <w:rsid w:val="00F6311A"/>
    <w:rsid w:val="00F648C0"/>
    <w:rsid w:val="00F64B0D"/>
    <w:rsid w:val="00F6539A"/>
    <w:rsid w:val="00F65E10"/>
    <w:rsid w:val="00F76D55"/>
    <w:rsid w:val="00F82F8E"/>
    <w:rsid w:val="00F86309"/>
    <w:rsid w:val="00F87D08"/>
    <w:rsid w:val="00F87D0E"/>
    <w:rsid w:val="00F9098F"/>
    <w:rsid w:val="00F9263A"/>
    <w:rsid w:val="00F97D05"/>
    <w:rsid w:val="00FA15BD"/>
    <w:rsid w:val="00FA2654"/>
    <w:rsid w:val="00FA5554"/>
    <w:rsid w:val="00FB1AE2"/>
    <w:rsid w:val="00FB2467"/>
    <w:rsid w:val="00FB474B"/>
    <w:rsid w:val="00FC06ED"/>
    <w:rsid w:val="00FD40A7"/>
    <w:rsid w:val="00FD51F6"/>
    <w:rsid w:val="00FE0621"/>
    <w:rsid w:val="00FE2083"/>
    <w:rsid w:val="00FF0618"/>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99AA0"/>
  <w15:chartTrackingRefBased/>
  <w15:docId w15:val="{1B52D937-C38F-41B4-9481-0129100F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8B"/>
  </w:style>
  <w:style w:type="paragraph" w:styleId="Heading1">
    <w:name w:val="heading 1"/>
    <w:basedOn w:val="Normal"/>
    <w:next w:val="Normal"/>
    <w:link w:val="Heading1Char"/>
    <w:uiPriority w:val="9"/>
    <w:qFormat/>
    <w:rsid w:val="00AB6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4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B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55892"/>
    <w:pPr>
      <w:spacing w:after="0" w:line="240" w:lineRule="auto"/>
    </w:pPr>
  </w:style>
  <w:style w:type="character" w:customStyle="1" w:styleId="Heading3Char">
    <w:name w:val="Heading 3 Char"/>
    <w:basedOn w:val="DefaultParagraphFont"/>
    <w:link w:val="Heading3"/>
    <w:uiPriority w:val="9"/>
    <w:rsid w:val="00814ED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96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61A9"/>
    <w:pPr>
      <w:spacing w:after="200" w:line="240" w:lineRule="auto"/>
    </w:pPr>
    <w:rPr>
      <w:i/>
      <w:iCs/>
      <w:color w:val="44546A" w:themeColor="text2"/>
      <w:sz w:val="18"/>
      <w:szCs w:val="18"/>
    </w:rPr>
  </w:style>
  <w:style w:type="table" w:styleId="PlainTable5">
    <w:name w:val="Plain Table 5"/>
    <w:basedOn w:val="TableNormal"/>
    <w:uiPriority w:val="45"/>
    <w:rsid w:val="00A97C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97C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0C65"/>
    <w:pPr>
      <w:ind w:left="720"/>
      <w:contextualSpacing/>
    </w:pPr>
  </w:style>
  <w:style w:type="paragraph" w:styleId="BalloonText">
    <w:name w:val="Balloon Text"/>
    <w:basedOn w:val="Normal"/>
    <w:link w:val="BalloonTextChar"/>
    <w:uiPriority w:val="99"/>
    <w:semiHidden/>
    <w:unhideWhenUsed/>
    <w:rsid w:val="0072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92"/>
    <w:rPr>
      <w:rFonts w:ascii="Segoe UI" w:hAnsi="Segoe UI" w:cs="Segoe UI"/>
      <w:sz w:val="18"/>
      <w:szCs w:val="18"/>
    </w:rPr>
  </w:style>
  <w:style w:type="paragraph" w:styleId="FootnoteText">
    <w:name w:val="footnote text"/>
    <w:basedOn w:val="Normal"/>
    <w:link w:val="FootnoteTextChar"/>
    <w:uiPriority w:val="99"/>
    <w:semiHidden/>
    <w:unhideWhenUsed/>
    <w:rsid w:val="0072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892"/>
    <w:rPr>
      <w:sz w:val="20"/>
      <w:szCs w:val="20"/>
    </w:rPr>
  </w:style>
  <w:style w:type="character" w:styleId="FootnoteReference">
    <w:name w:val="footnote reference"/>
    <w:basedOn w:val="DefaultParagraphFont"/>
    <w:uiPriority w:val="99"/>
    <w:semiHidden/>
    <w:unhideWhenUsed/>
    <w:rsid w:val="00722892"/>
    <w:rPr>
      <w:vertAlign w:val="superscript"/>
    </w:rPr>
  </w:style>
  <w:style w:type="character" w:styleId="CommentReference">
    <w:name w:val="annotation reference"/>
    <w:basedOn w:val="DefaultParagraphFont"/>
    <w:uiPriority w:val="99"/>
    <w:semiHidden/>
    <w:unhideWhenUsed/>
    <w:rsid w:val="00DE7AC6"/>
    <w:rPr>
      <w:sz w:val="16"/>
      <w:szCs w:val="16"/>
    </w:rPr>
  </w:style>
  <w:style w:type="paragraph" w:styleId="CommentText">
    <w:name w:val="annotation text"/>
    <w:basedOn w:val="Normal"/>
    <w:link w:val="CommentTextChar"/>
    <w:uiPriority w:val="99"/>
    <w:unhideWhenUsed/>
    <w:rsid w:val="00DE7AC6"/>
    <w:pPr>
      <w:spacing w:line="240" w:lineRule="auto"/>
    </w:pPr>
    <w:rPr>
      <w:sz w:val="20"/>
      <w:szCs w:val="20"/>
    </w:rPr>
  </w:style>
  <w:style w:type="character" w:customStyle="1" w:styleId="CommentTextChar">
    <w:name w:val="Comment Text Char"/>
    <w:basedOn w:val="DefaultParagraphFont"/>
    <w:link w:val="CommentText"/>
    <w:uiPriority w:val="99"/>
    <w:rsid w:val="00DE7AC6"/>
    <w:rPr>
      <w:sz w:val="20"/>
      <w:szCs w:val="20"/>
    </w:rPr>
  </w:style>
  <w:style w:type="paragraph" w:styleId="CommentSubject">
    <w:name w:val="annotation subject"/>
    <w:basedOn w:val="CommentText"/>
    <w:next w:val="CommentText"/>
    <w:link w:val="CommentSubjectChar"/>
    <w:uiPriority w:val="99"/>
    <w:semiHidden/>
    <w:unhideWhenUsed/>
    <w:rsid w:val="00DE7AC6"/>
    <w:rPr>
      <w:b/>
      <w:bCs/>
    </w:rPr>
  </w:style>
  <w:style w:type="character" w:customStyle="1" w:styleId="CommentSubjectChar">
    <w:name w:val="Comment Subject Char"/>
    <w:basedOn w:val="CommentTextChar"/>
    <w:link w:val="CommentSubject"/>
    <w:uiPriority w:val="99"/>
    <w:semiHidden/>
    <w:rsid w:val="00DE7AC6"/>
    <w:rPr>
      <w:b/>
      <w:bCs/>
      <w:sz w:val="20"/>
      <w:szCs w:val="20"/>
    </w:rPr>
  </w:style>
  <w:style w:type="paragraph" w:styleId="Revision">
    <w:name w:val="Revision"/>
    <w:hidden/>
    <w:uiPriority w:val="99"/>
    <w:semiHidden/>
    <w:rsid w:val="00E83520"/>
    <w:pPr>
      <w:spacing w:after="0" w:line="240" w:lineRule="auto"/>
    </w:pPr>
  </w:style>
  <w:style w:type="paragraph" w:styleId="Header">
    <w:name w:val="header"/>
    <w:basedOn w:val="Normal"/>
    <w:link w:val="HeaderChar"/>
    <w:uiPriority w:val="99"/>
    <w:unhideWhenUsed/>
    <w:rsid w:val="0076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F0"/>
  </w:style>
  <w:style w:type="paragraph" w:styleId="Footer">
    <w:name w:val="footer"/>
    <w:basedOn w:val="Normal"/>
    <w:link w:val="FooterChar"/>
    <w:uiPriority w:val="99"/>
    <w:unhideWhenUsed/>
    <w:rsid w:val="0076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1.xml"/><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mndeeddom.deed.state.mn.us\data\HQ-CARD\Groups\CARD\AEO\Magda\Current%20projects\Business%20Serv%20Cond%20Survey\2022\Charts%20for%20presentation.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1" i="0" baseline="0">
                <a:effectLst/>
              </a:rPr>
              <a:t>Chart 1: Economic Performance for Minnesota's Business Services Firms -- Previous Year</a:t>
            </a:r>
          </a:p>
        </c:rich>
      </c:tx>
      <c:layout>
        <c:manualLayout>
          <c:xMode val="edge"/>
          <c:yMode val="edge"/>
          <c:x val="0.12086114235720535"/>
          <c:y val="4.629476260522380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5374827639445679"/>
          <c:y val="0.19212962962962962"/>
          <c:w val="0.81114308987238659"/>
          <c:h val="0.66853474154054093"/>
        </c:manualLayout>
      </c:layout>
      <c:barChart>
        <c:barDir val="col"/>
        <c:grouping val="clustered"/>
        <c:varyColors val="0"/>
        <c:ser>
          <c:idx val="0"/>
          <c:order val="0"/>
          <c:tx>
            <c:strRef>
              <c:f>'Diffusion Indexes'!$B$8</c:f>
              <c:strCache>
                <c:ptCount val="1"/>
                <c:pt idx="0">
                  <c:v>Diffusion Index </c:v>
                </c:pt>
              </c:strCache>
            </c:strRef>
          </c:tx>
          <c:spPr>
            <a:solidFill>
              <a:srgbClr val="003865"/>
            </a:solidFill>
            <a:ln>
              <a:solidFill>
                <a:srgbClr val="003865"/>
              </a:solidFill>
            </a:ln>
            <a:effectLst/>
          </c:spPr>
          <c:invertIfNegative val="0"/>
          <c:dLbls>
            <c:dLbl>
              <c:idx val="6"/>
              <c:layout>
                <c:manualLayout>
                  <c:x val="-1.5325493456676104E-16"/>
                  <c:y val="2.1505376344085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27-4E2D-A948-591528963F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Indexes'!$A$9:$A$17</c:f>
              <c:strCache>
                <c:ptCount val="9"/>
                <c:pt idx="0">
                  <c:v>Revenue</c:v>
                </c:pt>
                <c:pt idx="1">
                  <c:v>Profits</c:v>
                </c:pt>
                <c:pt idx="2">
                  <c:v>Produc-
tivity</c:v>
                </c:pt>
                <c:pt idx="3">
                  <c:v>Employ-
ment</c:v>
                </c:pt>
                <c:pt idx="4">
                  <c:v>Labor 
availa.</c:v>
                </c:pt>
                <c:pt idx="5">
                  <c:v>Selling
prices</c:v>
                </c:pt>
                <c:pt idx="6">
                  <c:v>Input
costs</c:v>
                </c:pt>
                <c:pt idx="7">
                  <c:v>Space
occu.</c:v>
                </c:pt>
                <c:pt idx="8">
                  <c:v>Exports</c:v>
                </c:pt>
              </c:strCache>
            </c:strRef>
          </c:cat>
          <c:val>
            <c:numRef>
              <c:f>'Diffusion Indexes'!$B$9:$B$17</c:f>
              <c:numCache>
                <c:formatCode>0</c:formatCode>
                <c:ptCount val="9"/>
                <c:pt idx="0">
                  <c:v>56.499999999999993</c:v>
                </c:pt>
                <c:pt idx="1">
                  <c:v>49</c:v>
                </c:pt>
                <c:pt idx="2">
                  <c:v>55.000000000000007</c:v>
                </c:pt>
                <c:pt idx="3">
                  <c:v>47.5</c:v>
                </c:pt>
                <c:pt idx="4">
                  <c:v>31.5</c:v>
                </c:pt>
                <c:pt idx="5">
                  <c:v>70</c:v>
                </c:pt>
                <c:pt idx="6">
                  <c:v>79.5</c:v>
                </c:pt>
                <c:pt idx="7">
                  <c:v>49.5</c:v>
                </c:pt>
                <c:pt idx="8">
                  <c:v>49.5</c:v>
                </c:pt>
              </c:numCache>
            </c:numRef>
          </c:val>
          <c:extLst>
            <c:ext xmlns:c16="http://schemas.microsoft.com/office/drawing/2014/chart" uri="{C3380CC4-5D6E-409C-BE32-E72D297353CC}">
              <c16:uniqueId val="{00000000-4817-4DF7-BE28-941B4B035C13}"/>
            </c:ext>
          </c:extLst>
        </c:ser>
        <c:dLbls>
          <c:showLegendKey val="0"/>
          <c:showVal val="0"/>
          <c:showCatName val="0"/>
          <c:showSerName val="0"/>
          <c:showPercent val="0"/>
          <c:showBubbleSize val="0"/>
        </c:dLbls>
        <c:gapWidth val="185"/>
        <c:axId val="593427568"/>
        <c:axId val="593431176"/>
      </c:barChart>
      <c:lineChart>
        <c:grouping val="standard"/>
        <c:varyColors val="0"/>
        <c:ser>
          <c:idx val="1"/>
          <c:order val="1"/>
          <c:tx>
            <c:strRef>
              <c:f>'Diffusion Indexes'!$C$8</c:f>
              <c:strCache>
                <c:ptCount val="1"/>
                <c:pt idx="0">
                  <c:v>Vertical Line</c:v>
                </c:pt>
              </c:strCache>
            </c:strRef>
          </c:tx>
          <c:spPr>
            <a:ln w="28575" cap="rnd">
              <a:solidFill>
                <a:schemeClr val="accent2"/>
              </a:solidFill>
              <a:round/>
            </a:ln>
            <a:effectLst/>
          </c:spPr>
          <c:marker>
            <c:symbol val="none"/>
          </c:marker>
          <c:cat>
            <c:strRef>
              <c:f>'Diffusion Indexes'!$A$9:$A$17</c:f>
              <c:strCache>
                <c:ptCount val="9"/>
                <c:pt idx="0">
                  <c:v>Revenue</c:v>
                </c:pt>
                <c:pt idx="1">
                  <c:v>Profits</c:v>
                </c:pt>
                <c:pt idx="2">
                  <c:v>Produc-
tivity</c:v>
                </c:pt>
                <c:pt idx="3">
                  <c:v>Employ-
ment</c:v>
                </c:pt>
                <c:pt idx="4">
                  <c:v>Labor 
availa.</c:v>
                </c:pt>
                <c:pt idx="5">
                  <c:v>Selling
prices</c:v>
                </c:pt>
                <c:pt idx="6">
                  <c:v>Input
costs</c:v>
                </c:pt>
                <c:pt idx="7">
                  <c:v>Space
occu.</c:v>
                </c:pt>
                <c:pt idx="8">
                  <c:v>Exports</c:v>
                </c:pt>
              </c:strCache>
            </c:strRef>
          </c:cat>
          <c:val>
            <c:numRef>
              <c:f>'Diffusion Indexes'!$C$9:$C$17</c:f>
              <c:numCache>
                <c:formatCode>0</c:formatCode>
                <c:ptCount val="9"/>
                <c:pt idx="0">
                  <c:v>50</c:v>
                </c:pt>
                <c:pt idx="1">
                  <c:v>50</c:v>
                </c:pt>
                <c:pt idx="2">
                  <c:v>50</c:v>
                </c:pt>
                <c:pt idx="3">
                  <c:v>50</c:v>
                </c:pt>
                <c:pt idx="4">
                  <c:v>50</c:v>
                </c:pt>
                <c:pt idx="5">
                  <c:v>50</c:v>
                </c:pt>
                <c:pt idx="6">
                  <c:v>50</c:v>
                </c:pt>
                <c:pt idx="7">
                  <c:v>50</c:v>
                </c:pt>
                <c:pt idx="8">
                  <c:v>50</c:v>
                </c:pt>
              </c:numCache>
            </c:numRef>
          </c:val>
          <c:smooth val="0"/>
          <c:extLst>
            <c:ext xmlns:c16="http://schemas.microsoft.com/office/drawing/2014/chart" uri="{C3380CC4-5D6E-409C-BE32-E72D297353CC}">
              <c16:uniqueId val="{00000001-4817-4DF7-BE28-941B4B035C13}"/>
            </c:ext>
          </c:extLst>
        </c:ser>
        <c:dLbls>
          <c:showLegendKey val="0"/>
          <c:showVal val="0"/>
          <c:showCatName val="0"/>
          <c:showSerName val="0"/>
          <c:showPercent val="0"/>
          <c:showBubbleSize val="0"/>
        </c:dLbls>
        <c:marker val="1"/>
        <c:smooth val="0"/>
        <c:axId val="593427568"/>
        <c:axId val="593431176"/>
      </c:lineChart>
      <c:catAx>
        <c:axId val="59342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0" i="0" u="none" strike="noStrike" kern="1200" spc="0" baseline="0">
                <a:solidFill>
                  <a:schemeClr val="tx1">
                    <a:lumMod val="65000"/>
                    <a:lumOff val="35000"/>
                  </a:schemeClr>
                </a:solidFill>
                <a:latin typeface="+mn-lt"/>
                <a:ea typeface="+mn-ea"/>
                <a:cs typeface="+mn-cs"/>
              </a:defRPr>
            </a:pPr>
            <a:endParaRPr lang="en-US"/>
          </a:p>
        </c:txPr>
        <c:crossAx val="593431176"/>
        <c:crosses val="autoZero"/>
        <c:auto val="1"/>
        <c:lblAlgn val="ctr"/>
        <c:lblOffset val="100"/>
        <c:noMultiLvlLbl val="0"/>
      </c:catAx>
      <c:valAx>
        <c:axId val="593431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Difussion</a:t>
                </a:r>
                <a:r>
                  <a:rPr lang="en-US" baseline="0"/>
                  <a:t> Index*</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42756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1" i="0" baseline="0">
                <a:effectLst/>
              </a:rPr>
              <a:t>Chart 2: Economic Performance for Minnesota's Business Services Firms -- Next Year</a:t>
            </a:r>
            <a:endParaRPr lang="en-US" sz="900">
              <a:effectLst/>
            </a:endParaRPr>
          </a:p>
        </c:rich>
      </c:tx>
      <c:layout>
        <c:manualLayout>
          <c:xMode val="edge"/>
          <c:yMode val="edge"/>
          <c:x val="0.1370536721962517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'Diffusion Indexes'!$B$21</c:f>
              <c:strCache>
                <c:ptCount val="1"/>
                <c:pt idx="0">
                  <c:v>Diffusion Index </c:v>
                </c:pt>
              </c:strCache>
            </c:strRef>
          </c:tx>
          <c:spPr>
            <a:solidFill>
              <a:schemeClr val="accent5">
                <a:lumMod val="50000"/>
              </a:schemeClr>
            </a:solidFill>
            <a:ln>
              <a:solidFill>
                <a:srgbClr val="003865"/>
              </a:solidFill>
            </a:ln>
            <a:effectLst/>
          </c:spPr>
          <c:invertIfNegative val="0"/>
          <c:dLbls>
            <c:dLbl>
              <c:idx val="4"/>
              <c:layout>
                <c:manualLayout>
                  <c:x val="0"/>
                  <c:y val="3.0487804878048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12-4D85-8988-4EA679B51A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Indexes'!$A$22:$A$30</c:f>
              <c:strCache>
                <c:ptCount val="9"/>
                <c:pt idx="0">
                  <c:v>Revenue</c:v>
                </c:pt>
                <c:pt idx="1">
                  <c:v>Profits</c:v>
                </c:pt>
                <c:pt idx="2">
                  <c:v>Produc-
tivity</c:v>
                </c:pt>
                <c:pt idx="3">
                  <c:v>Employ-
ment</c:v>
                </c:pt>
                <c:pt idx="4">
                  <c:v>Labor 
avala.</c:v>
                </c:pt>
                <c:pt idx="5">
                  <c:v>Selling
prices</c:v>
                </c:pt>
                <c:pt idx="6">
                  <c:v>Input 
costs</c:v>
                </c:pt>
                <c:pt idx="7">
                  <c:v>Space
occu.</c:v>
                </c:pt>
                <c:pt idx="8">
                  <c:v>Exports</c:v>
                </c:pt>
              </c:strCache>
            </c:strRef>
          </c:cat>
          <c:val>
            <c:numRef>
              <c:f>'Diffusion Indexes'!$B$22:$B$30</c:f>
              <c:numCache>
                <c:formatCode>0</c:formatCode>
                <c:ptCount val="9"/>
                <c:pt idx="0">
                  <c:v>57.499999999999993</c:v>
                </c:pt>
                <c:pt idx="1">
                  <c:v>50</c:v>
                </c:pt>
                <c:pt idx="2">
                  <c:v>56.000000000000007</c:v>
                </c:pt>
                <c:pt idx="3">
                  <c:v>52</c:v>
                </c:pt>
                <c:pt idx="4">
                  <c:v>41</c:v>
                </c:pt>
                <c:pt idx="5">
                  <c:v>65.5</c:v>
                </c:pt>
                <c:pt idx="6">
                  <c:v>75.5</c:v>
                </c:pt>
                <c:pt idx="7">
                  <c:v>49</c:v>
                </c:pt>
                <c:pt idx="8">
                  <c:v>50</c:v>
                </c:pt>
              </c:numCache>
            </c:numRef>
          </c:val>
          <c:extLst>
            <c:ext xmlns:c16="http://schemas.microsoft.com/office/drawing/2014/chart" uri="{C3380CC4-5D6E-409C-BE32-E72D297353CC}">
              <c16:uniqueId val="{00000000-1419-429F-A0C4-BCC5377369F7}"/>
            </c:ext>
          </c:extLst>
        </c:ser>
        <c:dLbls>
          <c:showLegendKey val="0"/>
          <c:showVal val="0"/>
          <c:showCatName val="0"/>
          <c:showSerName val="0"/>
          <c:showPercent val="0"/>
          <c:showBubbleSize val="0"/>
        </c:dLbls>
        <c:gapWidth val="219"/>
        <c:overlap val="-27"/>
        <c:axId val="601113008"/>
        <c:axId val="601113664"/>
      </c:barChart>
      <c:lineChart>
        <c:grouping val="standard"/>
        <c:varyColors val="0"/>
        <c:ser>
          <c:idx val="1"/>
          <c:order val="1"/>
          <c:tx>
            <c:strRef>
              <c:f>'Diffusion Indexes'!$C$21</c:f>
              <c:strCache>
                <c:ptCount val="1"/>
                <c:pt idx="0">
                  <c:v>Vertical Line</c:v>
                </c:pt>
              </c:strCache>
            </c:strRef>
          </c:tx>
          <c:spPr>
            <a:ln w="28575" cap="rnd">
              <a:solidFill>
                <a:schemeClr val="accent2"/>
              </a:solidFill>
              <a:round/>
            </a:ln>
            <a:effectLst/>
          </c:spPr>
          <c:marker>
            <c:symbol val="none"/>
          </c:marker>
          <c:cat>
            <c:strRef>
              <c:f>'Diffusion Indexes'!$A$22:$A$30</c:f>
              <c:strCache>
                <c:ptCount val="9"/>
                <c:pt idx="0">
                  <c:v>Revenue</c:v>
                </c:pt>
                <c:pt idx="1">
                  <c:v>Profits</c:v>
                </c:pt>
                <c:pt idx="2">
                  <c:v>Produc-
tivity</c:v>
                </c:pt>
                <c:pt idx="3">
                  <c:v>Employ-
ment</c:v>
                </c:pt>
                <c:pt idx="4">
                  <c:v>Labor 
avala.</c:v>
                </c:pt>
                <c:pt idx="5">
                  <c:v>Selling
prices</c:v>
                </c:pt>
                <c:pt idx="6">
                  <c:v>Input 
costs</c:v>
                </c:pt>
                <c:pt idx="7">
                  <c:v>Space
occu.</c:v>
                </c:pt>
                <c:pt idx="8">
                  <c:v>Exports</c:v>
                </c:pt>
              </c:strCache>
            </c:strRef>
          </c:cat>
          <c:val>
            <c:numRef>
              <c:f>'Diffusion Indexes'!$C$22:$C$30</c:f>
              <c:numCache>
                <c:formatCode>0</c:formatCode>
                <c:ptCount val="9"/>
                <c:pt idx="0">
                  <c:v>50</c:v>
                </c:pt>
                <c:pt idx="1">
                  <c:v>50</c:v>
                </c:pt>
                <c:pt idx="2">
                  <c:v>50</c:v>
                </c:pt>
                <c:pt idx="3">
                  <c:v>50</c:v>
                </c:pt>
                <c:pt idx="4">
                  <c:v>50</c:v>
                </c:pt>
                <c:pt idx="5">
                  <c:v>50</c:v>
                </c:pt>
                <c:pt idx="6">
                  <c:v>50</c:v>
                </c:pt>
                <c:pt idx="7">
                  <c:v>50</c:v>
                </c:pt>
                <c:pt idx="8">
                  <c:v>50</c:v>
                </c:pt>
              </c:numCache>
            </c:numRef>
          </c:val>
          <c:smooth val="0"/>
          <c:extLst>
            <c:ext xmlns:c16="http://schemas.microsoft.com/office/drawing/2014/chart" uri="{C3380CC4-5D6E-409C-BE32-E72D297353CC}">
              <c16:uniqueId val="{00000001-1419-429F-A0C4-BCC5377369F7}"/>
            </c:ext>
          </c:extLst>
        </c:ser>
        <c:dLbls>
          <c:showLegendKey val="0"/>
          <c:showVal val="0"/>
          <c:showCatName val="0"/>
          <c:showSerName val="0"/>
          <c:showPercent val="0"/>
          <c:showBubbleSize val="0"/>
        </c:dLbls>
        <c:marker val="1"/>
        <c:smooth val="0"/>
        <c:axId val="601113008"/>
        <c:axId val="601113664"/>
      </c:lineChart>
      <c:catAx>
        <c:axId val="60111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0" i="0" u="none" strike="noStrike" kern="1200" baseline="0">
                <a:solidFill>
                  <a:schemeClr val="tx1">
                    <a:lumMod val="65000"/>
                    <a:lumOff val="35000"/>
                  </a:schemeClr>
                </a:solidFill>
                <a:latin typeface="+mn-lt"/>
                <a:ea typeface="+mn-ea"/>
                <a:cs typeface="+mn-cs"/>
              </a:defRPr>
            </a:pPr>
            <a:endParaRPr lang="en-US"/>
          </a:p>
        </c:txPr>
        <c:crossAx val="601113664"/>
        <c:crosses val="autoZero"/>
        <c:auto val="1"/>
        <c:lblAlgn val="ctr"/>
        <c:lblOffset val="100"/>
        <c:noMultiLvlLbl val="0"/>
      </c:catAx>
      <c:valAx>
        <c:axId val="60111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Diffusion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11300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ownership!$C$4:$C$8</cx:f>
        <cx:lvl ptCount="5">
          <cx:pt idx="0">Minority-onwed</cx:pt>
          <cx:pt idx="1">Veteran-owned</cx:pt>
          <cx:pt idx="2">Prefer not to aswer</cx:pt>
          <cx:pt idx="3">Woman-owned</cx:pt>
          <cx:pt idx="4">None of the above</cx:pt>
        </cx:lvl>
      </cx:strDim>
      <cx:numDim type="val">
        <cx:f>ownership!$D$4:$D$8</cx:f>
        <cx:lvl ptCount="5" formatCode="0%">
          <cx:pt idx="0">0.050000000000000003</cx:pt>
          <cx:pt idx="1">0.089999999999999997</cx:pt>
          <cx:pt idx="2">0.12</cx:pt>
          <cx:pt idx="3">0.28000000000000003</cx:pt>
          <cx:pt idx="4">0.51000000000000001</cx:pt>
        </cx:lvl>
      </cx:numDim>
    </cx:data>
  </cx:chartData>
  <cx:chart>
    <cx:title pos="t" align="ctr" overlay="0">
      <cx:tx>
        <cx:txData>
          <cx:v>Business Ownership</cx:v>
        </cx:txData>
      </cx:tx>
      <cx:txPr>
        <a:bodyPr spcFirstLastPara="1" vertOverflow="ellipsis" horzOverflow="overflow" wrap="square" lIns="0" tIns="0" rIns="0" bIns="0" anchor="ctr" anchorCtr="1"/>
        <a:lstStyle/>
        <a:p>
          <a:pPr algn="ctr" rtl="0">
            <a:defRPr sz="1200" b="1"/>
          </a:pPr>
          <a:r>
            <a:rPr lang="en-US" sz="900" b="1" i="0" u="none" strike="noStrike" baseline="0">
              <a:solidFill>
                <a:sysClr val="windowText" lastClr="000000"/>
              </a:solidFill>
              <a:latin typeface="Arial" panose="020B0604020202020204" pitchFamily="34" charset="0"/>
              <a:cs typeface="Arial" panose="020B0604020202020204" pitchFamily="34" charset="0"/>
            </a:rPr>
            <a:t>Business Ownership</a:t>
          </a:r>
        </a:p>
      </cx:txPr>
    </cx:title>
    <cx:plotArea>
      <cx:plotAreaRegion>
        <cx:series layoutId="funnel" uniqueId="{DF740D5F-3A6A-48B9-92C8-5BF47D449853}">
          <cx:spPr>
            <a:ln w="9525">
              <a:solidFill>
                <a:srgbClr val="003865"/>
              </a:solidFill>
            </a:ln>
          </cx:spPr>
          <cx:dataLabels>
            <cx:visibility seriesName="0" categoryName="0" value="1"/>
          </cx:dataLabels>
          <cx:dataId val="0"/>
        </cx:series>
      </cx:plotAreaRegion>
      <cx:axis id="0">
        <cx:catScaling gapWidth="0.0599999987"/>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5378-A83B-4D0A-8BBC-E77EB54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Olson</dc:creator>
  <cp:keywords/>
  <dc:description/>
  <cp:lastModifiedBy>Beatty, Rita (DEED)</cp:lastModifiedBy>
  <cp:revision>2</cp:revision>
  <cp:lastPrinted>2023-06-28T14:24:00Z</cp:lastPrinted>
  <dcterms:created xsi:type="dcterms:W3CDTF">2023-07-07T15:49:00Z</dcterms:created>
  <dcterms:modified xsi:type="dcterms:W3CDTF">2023-07-07T15:49:00Z</dcterms:modified>
</cp:coreProperties>
</file>