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7434" w14:textId="77777777" w:rsidR="001631FC" w:rsidRPr="001677C7" w:rsidRDefault="00D52CFB" w:rsidP="00AB6F70">
      <w:pPr>
        <w:rPr>
          <w:rFonts w:asciiTheme="majorHAnsi" w:hAnsiTheme="majorHAnsi" w:cstheme="majorHAnsi"/>
        </w:rPr>
      </w:pPr>
      <w:r w:rsidRPr="001677C7">
        <w:rPr>
          <w:rFonts w:asciiTheme="majorHAnsi" w:hAnsiTheme="majorHAnsi" w:cstheme="majorHAnsi"/>
        </w:rPr>
        <w:br/>
      </w:r>
      <w:r w:rsidR="000055EB" w:rsidRPr="001677C7">
        <w:rPr>
          <w:rFonts w:asciiTheme="majorHAnsi" w:hAnsiTheme="majorHAnsi" w:cstheme="majorHAnsi"/>
          <w:noProof/>
        </w:rPr>
        <w:drawing>
          <wp:inline distT="0" distB="0" distL="0" distR="0" wp14:anchorId="6B4E940A" wp14:editId="409238F9">
            <wp:extent cx="6858000" cy="1292860"/>
            <wp:effectExtent l="0" t="0" r="0" b="2540"/>
            <wp:docPr id="3" name="Picture 3" descr="Banner with Minnesota Department of Employment and Economic Development logo  and title &quot;Survey of Minnesota Business Services Firms&quot;"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 Services New Header.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292860"/>
                    </a:xfrm>
                    <a:prstGeom prst="rect">
                      <a:avLst/>
                    </a:prstGeom>
                  </pic:spPr>
                </pic:pic>
              </a:graphicData>
            </a:graphic>
          </wp:inline>
        </w:drawing>
      </w:r>
    </w:p>
    <w:p w14:paraId="6896AFB4" w14:textId="715B9778" w:rsidR="008B388C" w:rsidRPr="001677C7" w:rsidRDefault="00CD249D" w:rsidP="00E55E81">
      <w:pPr>
        <w:pStyle w:val="Heading1"/>
        <w:jc w:val="center"/>
        <w:rPr>
          <w:rFonts w:cstheme="majorHAnsi"/>
          <w:b/>
          <w:color w:val="auto"/>
          <w:sz w:val="28"/>
          <w:szCs w:val="28"/>
        </w:rPr>
        <w:sectPr w:rsidR="008B388C" w:rsidRPr="001677C7" w:rsidSect="0070375F">
          <w:headerReference w:type="default" r:id="rId9"/>
          <w:footerReference w:type="default" r:id="rId10"/>
          <w:pgSz w:w="12240" w:h="15840"/>
          <w:pgMar w:top="720" w:right="720" w:bottom="720" w:left="720" w:header="720" w:footer="720" w:gutter="0"/>
          <w:cols w:space="720"/>
          <w:docGrid w:linePitch="360"/>
        </w:sectPr>
      </w:pPr>
      <w:r w:rsidRPr="001677C7">
        <w:rPr>
          <w:rFonts w:cstheme="majorHAnsi"/>
          <w:b/>
          <w:color w:val="auto"/>
          <w:sz w:val="28"/>
          <w:szCs w:val="28"/>
        </w:rPr>
        <w:t xml:space="preserve">Small Improvements </w:t>
      </w:r>
      <w:r w:rsidR="00024074">
        <w:rPr>
          <w:rFonts w:cstheme="majorHAnsi"/>
          <w:b/>
          <w:color w:val="auto"/>
          <w:sz w:val="28"/>
          <w:szCs w:val="28"/>
        </w:rPr>
        <w:t xml:space="preserve">And </w:t>
      </w:r>
      <w:r w:rsidR="007B5927" w:rsidRPr="001677C7">
        <w:rPr>
          <w:rFonts w:cstheme="majorHAnsi"/>
          <w:b/>
          <w:color w:val="auto"/>
          <w:sz w:val="28"/>
          <w:szCs w:val="28"/>
        </w:rPr>
        <w:t xml:space="preserve">Challenges </w:t>
      </w:r>
      <w:r w:rsidR="007B5927">
        <w:rPr>
          <w:rFonts w:cstheme="majorHAnsi"/>
          <w:b/>
          <w:color w:val="auto"/>
          <w:sz w:val="28"/>
          <w:szCs w:val="28"/>
        </w:rPr>
        <w:t>Are</w:t>
      </w:r>
      <w:r w:rsidR="00997791">
        <w:rPr>
          <w:rFonts w:cstheme="majorHAnsi"/>
          <w:b/>
          <w:color w:val="auto"/>
          <w:sz w:val="28"/>
          <w:szCs w:val="28"/>
        </w:rPr>
        <w:t xml:space="preserve"> Expected In</w:t>
      </w:r>
      <w:r w:rsidR="00024074">
        <w:rPr>
          <w:rFonts w:cstheme="majorHAnsi"/>
          <w:b/>
          <w:color w:val="auto"/>
          <w:sz w:val="28"/>
          <w:szCs w:val="28"/>
        </w:rPr>
        <w:t xml:space="preserve"> The Coming Year</w:t>
      </w:r>
    </w:p>
    <w:p w14:paraId="77DF6ACC" w14:textId="7DD9C94B" w:rsidR="00C067E2" w:rsidRPr="001677C7" w:rsidRDefault="00E037B4" w:rsidP="0093301B">
      <w:pPr>
        <w:spacing w:after="0" w:line="240" w:lineRule="auto"/>
        <w:rPr>
          <w:rFonts w:asciiTheme="majorHAnsi" w:hAnsiTheme="majorHAnsi" w:cstheme="majorHAnsi"/>
        </w:rPr>
      </w:pPr>
      <w:r w:rsidRPr="001677C7">
        <w:rPr>
          <w:rFonts w:asciiTheme="majorHAnsi" w:hAnsiTheme="majorHAnsi" w:cstheme="majorHAnsi"/>
        </w:rPr>
        <w:t xml:space="preserve">Business services firms expect </w:t>
      </w:r>
      <w:r w:rsidR="002521C5" w:rsidRPr="001677C7">
        <w:rPr>
          <w:rFonts w:asciiTheme="majorHAnsi" w:hAnsiTheme="majorHAnsi" w:cstheme="majorHAnsi"/>
        </w:rPr>
        <w:t>minor</w:t>
      </w:r>
      <w:r w:rsidRPr="001677C7">
        <w:rPr>
          <w:rFonts w:asciiTheme="majorHAnsi" w:hAnsiTheme="majorHAnsi" w:cstheme="majorHAnsi"/>
        </w:rPr>
        <w:t xml:space="preserve"> improvement in revenue, profits</w:t>
      </w:r>
      <w:r w:rsidR="00CD249D" w:rsidRPr="001677C7">
        <w:rPr>
          <w:rFonts w:asciiTheme="majorHAnsi" w:hAnsiTheme="majorHAnsi" w:cstheme="majorHAnsi"/>
        </w:rPr>
        <w:t xml:space="preserve">, </w:t>
      </w:r>
      <w:r w:rsidRPr="001677C7">
        <w:rPr>
          <w:rFonts w:asciiTheme="majorHAnsi" w:hAnsiTheme="majorHAnsi" w:cstheme="majorHAnsi"/>
        </w:rPr>
        <w:t>productivity</w:t>
      </w:r>
      <w:r w:rsidR="00D81C94" w:rsidRPr="001677C7">
        <w:rPr>
          <w:rFonts w:asciiTheme="majorHAnsi" w:hAnsiTheme="majorHAnsi" w:cstheme="majorHAnsi"/>
        </w:rPr>
        <w:t xml:space="preserve"> </w:t>
      </w:r>
      <w:r w:rsidR="00CD249D" w:rsidRPr="001677C7">
        <w:rPr>
          <w:rFonts w:asciiTheme="majorHAnsi" w:hAnsiTheme="majorHAnsi" w:cstheme="majorHAnsi"/>
        </w:rPr>
        <w:t xml:space="preserve">and employment </w:t>
      </w:r>
      <w:r w:rsidR="00D81C94" w:rsidRPr="001677C7">
        <w:rPr>
          <w:rFonts w:asciiTheme="majorHAnsi" w:hAnsiTheme="majorHAnsi" w:cstheme="majorHAnsi"/>
        </w:rPr>
        <w:t>in the coming year</w:t>
      </w:r>
      <w:r w:rsidR="00DC4468" w:rsidRPr="001677C7">
        <w:rPr>
          <w:rFonts w:asciiTheme="majorHAnsi" w:hAnsiTheme="majorHAnsi" w:cstheme="majorHAnsi"/>
        </w:rPr>
        <w:t xml:space="preserve">. </w:t>
      </w:r>
      <w:r w:rsidR="00997791" w:rsidRPr="00997791">
        <w:rPr>
          <w:rFonts w:asciiTheme="majorHAnsi" w:hAnsiTheme="majorHAnsi" w:cstheme="majorHAnsi"/>
        </w:rPr>
        <w:t>Labor availability is expected to increase slightly, but supply</w:t>
      </w:r>
      <w:r w:rsidR="00997791">
        <w:rPr>
          <w:rFonts w:asciiTheme="majorHAnsi" w:hAnsiTheme="majorHAnsi" w:cstheme="majorHAnsi"/>
        </w:rPr>
        <w:t xml:space="preserve"> of </w:t>
      </w:r>
      <w:r w:rsidR="007B5927">
        <w:rPr>
          <w:rFonts w:asciiTheme="majorHAnsi" w:hAnsiTheme="majorHAnsi" w:cstheme="majorHAnsi"/>
        </w:rPr>
        <w:t xml:space="preserve">workers </w:t>
      </w:r>
      <w:r w:rsidR="007B5927" w:rsidRPr="00997791">
        <w:rPr>
          <w:rFonts w:asciiTheme="majorHAnsi" w:hAnsiTheme="majorHAnsi" w:cstheme="majorHAnsi"/>
        </w:rPr>
        <w:t>will</w:t>
      </w:r>
      <w:r w:rsidR="00997791">
        <w:rPr>
          <w:rFonts w:asciiTheme="majorHAnsi" w:hAnsiTheme="majorHAnsi" w:cstheme="majorHAnsi"/>
        </w:rPr>
        <w:t xml:space="preserve"> </w:t>
      </w:r>
      <w:r w:rsidR="00997791" w:rsidRPr="00997791">
        <w:rPr>
          <w:rFonts w:asciiTheme="majorHAnsi" w:hAnsiTheme="majorHAnsi" w:cstheme="majorHAnsi"/>
        </w:rPr>
        <w:t>continue to exert upward pressure on wages</w:t>
      </w:r>
      <w:r w:rsidR="00D81C94" w:rsidRPr="001677C7">
        <w:rPr>
          <w:rFonts w:asciiTheme="majorHAnsi" w:hAnsiTheme="majorHAnsi" w:cstheme="majorHAnsi"/>
        </w:rPr>
        <w:t>.</w:t>
      </w:r>
      <w:r w:rsidR="00DC4468" w:rsidRPr="001677C7">
        <w:rPr>
          <w:rFonts w:asciiTheme="majorHAnsi" w:hAnsiTheme="majorHAnsi" w:cstheme="majorHAnsi"/>
        </w:rPr>
        <w:t xml:space="preserve"> </w:t>
      </w:r>
      <w:r w:rsidR="002521C5">
        <w:rPr>
          <w:rFonts w:asciiTheme="majorHAnsi" w:hAnsiTheme="majorHAnsi" w:cstheme="majorHAnsi"/>
        </w:rPr>
        <w:t>I</w:t>
      </w:r>
      <w:r w:rsidR="00D81C94" w:rsidRPr="001677C7">
        <w:rPr>
          <w:rFonts w:asciiTheme="majorHAnsi" w:hAnsiTheme="majorHAnsi" w:cstheme="majorHAnsi"/>
        </w:rPr>
        <w:t>nflation</w:t>
      </w:r>
      <w:r w:rsidR="00A80F35" w:rsidRPr="001677C7">
        <w:rPr>
          <w:rFonts w:asciiTheme="majorHAnsi" w:hAnsiTheme="majorHAnsi" w:cstheme="majorHAnsi"/>
        </w:rPr>
        <w:t xml:space="preserve"> </w:t>
      </w:r>
      <w:r w:rsidR="002521C5">
        <w:rPr>
          <w:rFonts w:asciiTheme="majorHAnsi" w:hAnsiTheme="majorHAnsi" w:cstheme="majorHAnsi"/>
        </w:rPr>
        <w:t xml:space="preserve">is </w:t>
      </w:r>
      <w:r w:rsidR="00997791">
        <w:rPr>
          <w:rFonts w:asciiTheme="majorHAnsi" w:hAnsiTheme="majorHAnsi" w:cstheme="majorHAnsi"/>
        </w:rPr>
        <w:t>predicted</w:t>
      </w:r>
      <w:r w:rsidR="00D81C94" w:rsidRPr="001677C7">
        <w:rPr>
          <w:rFonts w:asciiTheme="majorHAnsi" w:hAnsiTheme="majorHAnsi" w:cstheme="majorHAnsi"/>
        </w:rPr>
        <w:t xml:space="preserve"> </w:t>
      </w:r>
      <w:r w:rsidR="002521C5">
        <w:rPr>
          <w:rFonts w:asciiTheme="majorHAnsi" w:hAnsiTheme="majorHAnsi" w:cstheme="majorHAnsi"/>
        </w:rPr>
        <w:t>to increase</w:t>
      </w:r>
      <w:r w:rsidR="00997791">
        <w:rPr>
          <w:rFonts w:asciiTheme="majorHAnsi" w:hAnsiTheme="majorHAnsi" w:cstheme="majorHAnsi"/>
        </w:rPr>
        <w:t xml:space="preserve"> as well</w:t>
      </w:r>
      <w:r w:rsidR="00D00E73" w:rsidRPr="001677C7">
        <w:rPr>
          <w:rFonts w:asciiTheme="majorHAnsi" w:hAnsiTheme="majorHAnsi" w:cstheme="majorHAnsi"/>
        </w:rPr>
        <w:t xml:space="preserve">. </w:t>
      </w:r>
    </w:p>
    <w:p w14:paraId="27555AFE" w14:textId="3555D34A" w:rsidR="006E3F3F" w:rsidRDefault="00C067E2" w:rsidP="0093301B">
      <w:pPr>
        <w:spacing w:after="0" w:line="240" w:lineRule="auto"/>
        <w:rPr>
          <w:rFonts w:asciiTheme="majorHAnsi" w:hAnsiTheme="majorHAnsi" w:cstheme="majorHAnsi"/>
        </w:rPr>
      </w:pPr>
      <w:r w:rsidRPr="001677C7">
        <w:rPr>
          <w:rFonts w:asciiTheme="majorHAnsi" w:hAnsiTheme="majorHAnsi" w:cstheme="majorHAnsi"/>
        </w:rPr>
        <w:br/>
      </w:r>
      <w:r w:rsidR="00BC5DD8" w:rsidRPr="001677C7">
        <w:rPr>
          <w:rFonts w:asciiTheme="majorHAnsi" w:hAnsiTheme="majorHAnsi" w:cstheme="majorHAnsi"/>
        </w:rPr>
        <w:t>These results come from a random sample of Minnesota businesse</w:t>
      </w:r>
      <w:r w:rsidR="006B6F5E" w:rsidRPr="001677C7">
        <w:rPr>
          <w:rFonts w:asciiTheme="majorHAnsi" w:hAnsiTheme="majorHAnsi" w:cstheme="majorHAnsi"/>
        </w:rPr>
        <w:t xml:space="preserve">s service firms conducted in </w:t>
      </w:r>
      <w:r w:rsidR="00396DC1" w:rsidRPr="001677C7">
        <w:rPr>
          <w:rFonts w:asciiTheme="majorHAnsi" w:hAnsiTheme="majorHAnsi" w:cstheme="majorHAnsi"/>
        </w:rPr>
        <w:t>May and June 202</w:t>
      </w:r>
      <w:r w:rsidR="00DC4468" w:rsidRPr="001677C7">
        <w:rPr>
          <w:rFonts w:asciiTheme="majorHAnsi" w:hAnsiTheme="majorHAnsi" w:cstheme="majorHAnsi"/>
        </w:rPr>
        <w:t>4</w:t>
      </w:r>
      <w:r w:rsidR="00396DC1" w:rsidRPr="001677C7">
        <w:rPr>
          <w:rFonts w:asciiTheme="majorHAnsi" w:hAnsiTheme="majorHAnsi" w:cstheme="majorHAnsi"/>
        </w:rPr>
        <w:t>,</w:t>
      </w:r>
      <w:r w:rsidR="00BC5DD8" w:rsidRPr="001677C7">
        <w:rPr>
          <w:rFonts w:asciiTheme="majorHAnsi" w:hAnsiTheme="majorHAnsi" w:cstheme="majorHAnsi"/>
        </w:rPr>
        <w:t xml:space="preserve"> by the Minnesota Department of Employment and Economic </w:t>
      </w:r>
      <w:r w:rsidR="009B07B0" w:rsidRPr="001677C7">
        <w:rPr>
          <w:rFonts w:asciiTheme="majorHAnsi" w:hAnsiTheme="majorHAnsi" w:cstheme="majorHAnsi"/>
        </w:rPr>
        <w:t>Development and the Federal Reserve Ban</w:t>
      </w:r>
      <w:r w:rsidR="006309E6" w:rsidRPr="001677C7">
        <w:rPr>
          <w:rFonts w:asciiTheme="majorHAnsi" w:hAnsiTheme="majorHAnsi" w:cstheme="majorHAnsi"/>
        </w:rPr>
        <w:t>k in Minne</w:t>
      </w:r>
      <w:r w:rsidR="00D53E18" w:rsidRPr="001677C7">
        <w:rPr>
          <w:rFonts w:asciiTheme="majorHAnsi" w:hAnsiTheme="majorHAnsi" w:cstheme="majorHAnsi"/>
        </w:rPr>
        <w:t>apolis</w:t>
      </w:r>
      <w:r w:rsidR="00CA4F8E" w:rsidRPr="001677C7">
        <w:rPr>
          <w:rFonts w:asciiTheme="majorHAnsi" w:hAnsiTheme="majorHAnsi" w:cstheme="majorHAnsi"/>
        </w:rPr>
        <w:t>.</w:t>
      </w:r>
      <w:r w:rsidR="00CA4F8E" w:rsidRPr="001677C7">
        <w:rPr>
          <w:rFonts w:asciiTheme="majorHAnsi" w:hAnsiTheme="majorHAnsi" w:cstheme="majorHAnsi"/>
        </w:rPr>
        <w:br/>
      </w:r>
      <w:r w:rsidR="003F62BE" w:rsidRPr="001677C7">
        <w:rPr>
          <w:rFonts w:asciiTheme="majorHAnsi" w:hAnsiTheme="majorHAnsi" w:cstheme="majorHAnsi"/>
        </w:rPr>
        <w:br/>
      </w:r>
      <w:r w:rsidRPr="001677C7">
        <w:rPr>
          <w:rStyle w:val="Heading2Char"/>
          <w:rFonts w:cstheme="majorHAnsi"/>
          <w:b/>
        </w:rPr>
        <w:t>Business Services Firms</w:t>
      </w:r>
      <w:r w:rsidR="008D3F64" w:rsidRPr="001677C7">
        <w:rPr>
          <w:rStyle w:val="Heading2Char"/>
          <w:rFonts w:cstheme="majorHAnsi"/>
          <w:b/>
        </w:rPr>
        <w:t xml:space="preserve">: </w:t>
      </w:r>
      <w:r w:rsidR="003368D3" w:rsidRPr="001677C7">
        <w:rPr>
          <w:rStyle w:val="Heading2Char"/>
          <w:rFonts w:cstheme="majorHAnsi"/>
          <w:b/>
        </w:rPr>
        <w:t xml:space="preserve">Previous </w:t>
      </w:r>
      <w:r w:rsidR="001667E5" w:rsidRPr="001677C7">
        <w:rPr>
          <w:rStyle w:val="Heading2Char"/>
          <w:rFonts w:cstheme="majorHAnsi"/>
          <w:b/>
        </w:rPr>
        <w:t>Year</w:t>
      </w:r>
      <w:r w:rsidR="00855892" w:rsidRPr="001677C7">
        <w:rPr>
          <w:rStyle w:val="Heading2Char"/>
          <w:rFonts w:cstheme="majorHAnsi"/>
        </w:rPr>
        <w:br/>
      </w:r>
      <w:r w:rsidR="006E3F3F" w:rsidRPr="006E3F3F">
        <w:rPr>
          <w:rFonts w:asciiTheme="majorHAnsi" w:hAnsiTheme="majorHAnsi" w:cstheme="majorHAnsi"/>
        </w:rPr>
        <w:t xml:space="preserve">Minnesota business services firms faced varied economic conditions. The diffusion indexes for revenue (57) and productivity (54) remained nearly unchanged from the previous year, indicating </w:t>
      </w:r>
      <w:r w:rsidR="00C75042">
        <w:rPr>
          <w:rFonts w:asciiTheme="majorHAnsi" w:hAnsiTheme="majorHAnsi" w:cstheme="majorHAnsi"/>
        </w:rPr>
        <w:t xml:space="preserve">expansion and </w:t>
      </w:r>
      <w:r w:rsidR="006E3F3F" w:rsidRPr="006E3F3F">
        <w:rPr>
          <w:rFonts w:asciiTheme="majorHAnsi" w:hAnsiTheme="majorHAnsi" w:cstheme="majorHAnsi"/>
        </w:rPr>
        <w:t>stable conditions. The employment level index rose slightly to 52, suggesting modest growth compared to the contraction indicated by the previous year's index of 48. Labor availability showed an index of 41, still in contraction territory but improved from</w:t>
      </w:r>
      <w:r w:rsidR="00747776">
        <w:rPr>
          <w:rFonts w:asciiTheme="majorHAnsi" w:hAnsiTheme="majorHAnsi" w:cstheme="majorHAnsi"/>
        </w:rPr>
        <w:t xml:space="preserve"> </w:t>
      </w:r>
      <w:r w:rsidR="006E3F3F" w:rsidRPr="006E3F3F">
        <w:rPr>
          <w:rFonts w:asciiTheme="majorHAnsi" w:hAnsiTheme="majorHAnsi" w:cstheme="majorHAnsi"/>
        </w:rPr>
        <w:t xml:space="preserve">32 the year before. </w:t>
      </w:r>
    </w:p>
    <w:p w14:paraId="13ED76CD" w14:textId="77777777" w:rsidR="006E3F3F" w:rsidRDefault="006E3F3F" w:rsidP="0093301B">
      <w:pPr>
        <w:spacing w:after="0" w:line="240" w:lineRule="auto"/>
        <w:rPr>
          <w:rFonts w:asciiTheme="majorHAnsi" w:hAnsiTheme="majorHAnsi" w:cstheme="majorHAnsi"/>
        </w:rPr>
      </w:pPr>
    </w:p>
    <w:p w14:paraId="1CD92A98" w14:textId="0FFE882F" w:rsidR="0050177E" w:rsidRPr="001677C7" w:rsidRDefault="006E3F3F" w:rsidP="0093301B">
      <w:pPr>
        <w:spacing w:after="0" w:line="240" w:lineRule="auto"/>
        <w:rPr>
          <w:rFonts w:asciiTheme="majorHAnsi" w:hAnsiTheme="majorHAnsi" w:cstheme="majorHAnsi"/>
        </w:rPr>
      </w:pPr>
      <w:r w:rsidRPr="006E3F3F">
        <w:rPr>
          <w:rFonts w:asciiTheme="majorHAnsi" w:hAnsiTheme="majorHAnsi" w:cstheme="majorHAnsi"/>
        </w:rPr>
        <w:t>The input cost index increased to 86 from 80, pointing to higher inflation</w:t>
      </w:r>
      <w:r w:rsidR="007B5927">
        <w:rPr>
          <w:rFonts w:asciiTheme="majorHAnsi" w:hAnsiTheme="majorHAnsi" w:cstheme="majorHAnsi"/>
        </w:rPr>
        <w:t xml:space="preserve"> (</w:t>
      </w:r>
      <w:r w:rsidRPr="006E3F3F">
        <w:rPr>
          <w:rFonts w:asciiTheme="majorHAnsi" w:hAnsiTheme="majorHAnsi" w:cstheme="majorHAnsi"/>
        </w:rPr>
        <w:t>Chart 1</w:t>
      </w:r>
      <w:r w:rsidR="00C24089">
        <w:rPr>
          <w:rFonts w:asciiTheme="majorHAnsi" w:hAnsiTheme="majorHAnsi" w:cstheme="majorHAnsi"/>
        </w:rPr>
        <w:t xml:space="preserve"> or Table 1</w:t>
      </w:r>
      <w:r w:rsidR="00C75042">
        <w:rPr>
          <w:rFonts w:asciiTheme="majorHAnsi" w:hAnsiTheme="majorHAnsi" w:cstheme="majorHAnsi"/>
        </w:rPr>
        <w:t>-A</w:t>
      </w:r>
      <w:r w:rsidR="00747776">
        <w:rPr>
          <w:rFonts w:asciiTheme="majorHAnsi" w:hAnsiTheme="majorHAnsi" w:cstheme="majorHAnsi"/>
        </w:rPr>
        <w:t>)</w:t>
      </w:r>
      <w:r w:rsidR="00C24089">
        <w:rPr>
          <w:rFonts w:asciiTheme="majorHAnsi" w:hAnsiTheme="majorHAnsi" w:cstheme="majorHAnsi"/>
        </w:rPr>
        <w:t>.</w:t>
      </w:r>
    </w:p>
    <w:p w14:paraId="6596EAEC" w14:textId="73DF7C17" w:rsidR="007E666B" w:rsidRPr="001677C7" w:rsidRDefault="003F4F11" w:rsidP="003F62BE">
      <w:pPr>
        <w:spacing w:after="0" w:line="240" w:lineRule="auto"/>
        <w:rPr>
          <w:rFonts w:asciiTheme="majorHAnsi" w:hAnsiTheme="majorHAnsi" w:cstheme="majorHAnsi"/>
        </w:rPr>
      </w:pPr>
      <w:r w:rsidRPr="001677C7">
        <w:rPr>
          <w:rFonts w:asciiTheme="majorHAnsi" w:hAnsiTheme="majorHAnsi" w:cstheme="majorHAnsi"/>
        </w:rPr>
        <w:br/>
      </w:r>
      <w:r w:rsidR="001D592F" w:rsidRPr="001677C7">
        <w:rPr>
          <w:rFonts w:asciiTheme="majorHAnsi" w:hAnsiTheme="majorHAnsi" w:cstheme="majorHAnsi"/>
          <w:noProof/>
        </w:rPr>
        <w:drawing>
          <wp:inline distT="0" distB="0" distL="0" distR="0" wp14:anchorId="10DF2E15" wp14:editId="3C937805">
            <wp:extent cx="2984601" cy="1704442"/>
            <wp:effectExtent l="0" t="0" r="6350" b="10160"/>
            <wp:docPr id="1" name="Chart 1" descr="Chart1: Economic Performance -- Previous Four Quarters.&#10;Indicator Diffusion Index &#10;Revenue: 57&#10;Profits: 48&#10;Productivity: 54&#10;Employment: 52&#10;Labor availability: 41&#10;Selling prices: 72&#10;Input costs: 86&#10;Space occupied: 50&#10;Exports: 45&#10;">
              <a:extLst xmlns:a="http://schemas.openxmlformats.org/drawingml/2006/main">
                <a:ext uri="{FF2B5EF4-FFF2-40B4-BE49-F238E27FC236}">
                  <a16:creationId xmlns:a16="http://schemas.microsoft.com/office/drawing/2014/main" id="{453668DD-5FA4-5935-7904-AF7A14838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10F37" w14:textId="5294C9BB" w:rsidR="00AB6F70" w:rsidRPr="001677C7" w:rsidRDefault="00684EC5" w:rsidP="003F62BE">
      <w:pPr>
        <w:spacing w:after="0" w:line="240" w:lineRule="auto"/>
        <w:rPr>
          <w:rFonts w:asciiTheme="majorHAnsi" w:hAnsiTheme="majorHAnsi" w:cstheme="majorHAnsi"/>
          <w:noProof/>
          <w:sz w:val="18"/>
          <w:szCs w:val="18"/>
        </w:rPr>
      </w:pPr>
      <w:r w:rsidRPr="001677C7">
        <w:rPr>
          <w:rFonts w:asciiTheme="majorHAnsi" w:hAnsiTheme="majorHAnsi" w:cstheme="majorHAnsi"/>
          <w:noProof/>
          <w:sz w:val="18"/>
          <w:szCs w:val="18"/>
        </w:rPr>
        <w:t>* Above 50 indicates expansion, below 50</w:t>
      </w:r>
      <w:r w:rsidR="00E211E5" w:rsidRPr="001677C7">
        <w:rPr>
          <w:rFonts w:asciiTheme="majorHAnsi" w:hAnsiTheme="majorHAnsi" w:cstheme="majorHAnsi"/>
          <w:noProof/>
          <w:sz w:val="18"/>
          <w:szCs w:val="18"/>
        </w:rPr>
        <w:t>,</w:t>
      </w:r>
      <w:r w:rsidRPr="001677C7">
        <w:rPr>
          <w:rFonts w:asciiTheme="majorHAnsi" w:hAnsiTheme="majorHAnsi" w:cstheme="majorHAnsi"/>
          <w:noProof/>
          <w:sz w:val="18"/>
          <w:szCs w:val="18"/>
        </w:rPr>
        <w:t xml:space="preserve"> contraction.</w:t>
      </w:r>
    </w:p>
    <w:p w14:paraId="548C29A0" w14:textId="54BC4942" w:rsidR="00143B8B" w:rsidRPr="001677C7" w:rsidRDefault="003368D3" w:rsidP="00E7356E">
      <w:pPr>
        <w:rPr>
          <w:rStyle w:val="Heading2Char"/>
          <w:rFonts w:eastAsiaTheme="minorHAnsi" w:cstheme="majorHAnsi"/>
          <w:color w:val="auto"/>
          <w:sz w:val="22"/>
          <w:szCs w:val="22"/>
        </w:rPr>
      </w:pPr>
      <w:r w:rsidRPr="001677C7">
        <w:rPr>
          <w:rStyle w:val="Heading2Char"/>
          <w:rFonts w:cstheme="majorHAnsi"/>
          <w:b/>
          <w:bCs/>
        </w:rPr>
        <w:t>Business Services Firms</w:t>
      </w:r>
      <w:r w:rsidR="008D3F64" w:rsidRPr="001677C7">
        <w:rPr>
          <w:rStyle w:val="Heading2Char"/>
          <w:rFonts w:cstheme="majorHAnsi"/>
          <w:b/>
          <w:bCs/>
        </w:rPr>
        <w:t>: T</w:t>
      </w:r>
      <w:r w:rsidRPr="001677C7">
        <w:rPr>
          <w:rStyle w:val="Heading2Char"/>
          <w:rFonts w:cstheme="majorHAnsi"/>
          <w:b/>
          <w:bCs/>
        </w:rPr>
        <w:t>he Coming Ye</w:t>
      </w:r>
      <w:r w:rsidR="004211C2" w:rsidRPr="001677C7">
        <w:rPr>
          <w:rStyle w:val="Heading2Char"/>
          <w:rFonts w:cstheme="majorHAnsi"/>
          <w:b/>
          <w:bCs/>
        </w:rPr>
        <w:t>ar</w:t>
      </w:r>
      <w:r w:rsidRPr="001677C7">
        <w:rPr>
          <w:rStyle w:val="Heading2Char"/>
          <w:rFonts w:cstheme="majorHAnsi"/>
        </w:rPr>
        <w:br/>
      </w:r>
      <w:r w:rsidR="006F1451" w:rsidRPr="006F1451">
        <w:rPr>
          <w:rFonts w:asciiTheme="majorHAnsi" w:hAnsiTheme="majorHAnsi" w:cstheme="majorHAnsi"/>
        </w:rPr>
        <w:t>Minnesota business services firms are cautiously optimistic about the upcoming four quarters, expecting modest growth in revenue, profits, productivity, and employment</w:t>
      </w:r>
      <w:r w:rsidR="000358C0">
        <w:rPr>
          <w:rFonts w:asciiTheme="majorHAnsi" w:hAnsiTheme="majorHAnsi" w:cstheme="majorHAnsi"/>
        </w:rPr>
        <w:t xml:space="preserve"> shown by diffusion indexes</w:t>
      </w:r>
      <w:r w:rsidR="006F1451" w:rsidRPr="006F1451">
        <w:rPr>
          <w:rFonts w:asciiTheme="majorHAnsi" w:hAnsiTheme="majorHAnsi" w:cstheme="majorHAnsi"/>
        </w:rPr>
        <w:t>. Although the diffusion index for labor availability remains in contraction at 46, this marks an improvement from the previous year's index of 41. However, this improvement comes at a cost: 58% of respondents anticipate raising wages at least 3% to attract workers. Input costs remain a concern, reflected by a diffusion index of 80</w:t>
      </w:r>
      <w:r w:rsidR="007B5927">
        <w:rPr>
          <w:rFonts w:asciiTheme="majorHAnsi" w:hAnsiTheme="majorHAnsi" w:cstheme="majorHAnsi"/>
        </w:rPr>
        <w:t xml:space="preserve"> (</w:t>
      </w:r>
      <w:r w:rsidR="00C24089">
        <w:rPr>
          <w:rFonts w:asciiTheme="majorHAnsi" w:hAnsiTheme="majorHAnsi" w:cstheme="majorHAnsi"/>
        </w:rPr>
        <w:t>Chart 2 or Table 1</w:t>
      </w:r>
      <w:r w:rsidR="00C75042">
        <w:rPr>
          <w:rFonts w:asciiTheme="majorHAnsi" w:hAnsiTheme="majorHAnsi" w:cstheme="majorHAnsi"/>
        </w:rPr>
        <w:t>-B</w:t>
      </w:r>
      <w:r w:rsidR="007B5927">
        <w:rPr>
          <w:rFonts w:asciiTheme="majorHAnsi" w:hAnsiTheme="majorHAnsi" w:cstheme="majorHAnsi"/>
        </w:rPr>
        <w:t>)</w:t>
      </w:r>
      <w:r w:rsidR="00C24089">
        <w:rPr>
          <w:rFonts w:asciiTheme="majorHAnsi" w:hAnsiTheme="majorHAnsi" w:cstheme="majorHAnsi"/>
        </w:rPr>
        <w:t>.</w:t>
      </w:r>
    </w:p>
    <w:p w14:paraId="25E4DF7B" w14:textId="0D4CFF55" w:rsidR="00143B8B" w:rsidRPr="001677C7" w:rsidRDefault="00097F32" w:rsidP="00143B8B">
      <w:pPr>
        <w:rPr>
          <w:rFonts w:asciiTheme="majorHAnsi" w:hAnsiTheme="majorHAnsi" w:cstheme="majorHAnsi"/>
          <w:noProof/>
          <w:sz w:val="18"/>
          <w:szCs w:val="18"/>
        </w:rPr>
      </w:pPr>
      <w:r w:rsidRPr="001677C7">
        <w:rPr>
          <w:rFonts w:asciiTheme="majorHAnsi" w:hAnsiTheme="majorHAnsi" w:cstheme="majorHAnsi"/>
          <w:noProof/>
        </w:rPr>
        <w:drawing>
          <wp:inline distT="0" distB="0" distL="0" distR="0" wp14:anchorId="6DB54D76" wp14:editId="14C955E7">
            <wp:extent cx="3128452" cy="2082800"/>
            <wp:effectExtent l="0" t="0" r="15240" b="12700"/>
            <wp:docPr id="11" name="Chart 11" descr="Chart2: Economic Performance -- Next Four Quarters.&#10;Revenue: 62&#10;Profits: 53&#10;Productivity: 60&#10;Employment: 57&#10;Labor availability: 46&#10;Selling prices: 67&#10;Input costs: 80&#10;Space occupied: 52&#10;Exports: 51&#10;">
              <a:extLst xmlns:a="http://schemas.openxmlformats.org/drawingml/2006/main">
                <a:ext uri="{FF2B5EF4-FFF2-40B4-BE49-F238E27FC236}">
                  <a16:creationId xmlns:a16="http://schemas.microsoft.com/office/drawing/2014/main" id="{8113EAA4-17B9-B6AD-1CF2-008D8F2B9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677C7">
        <w:rPr>
          <w:rFonts w:asciiTheme="majorHAnsi" w:hAnsiTheme="majorHAnsi" w:cstheme="majorHAnsi"/>
          <w:noProof/>
          <w:sz w:val="18"/>
          <w:szCs w:val="18"/>
        </w:rPr>
        <w:br/>
      </w:r>
      <w:r w:rsidR="00143B8B" w:rsidRPr="001677C7">
        <w:rPr>
          <w:rFonts w:asciiTheme="majorHAnsi" w:hAnsiTheme="majorHAnsi" w:cstheme="majorHAnsi"/>
          <w:noProof/>
          <w:sz w:val="18"/>
          <w:szCs w:val="18"/>
        </w:rPr>
        <w:t>* Above 50 indicates expansion, below 50</w:t>
      </w:r>
      <w:r w:rsidR="007D3DE8" w:rsidRPr="001677C7">
        <w:rPr>
          <w:rFonts w:asciiTheme="majorHAnsi" w:hAnsiTheme="majorHAnsi" w:cstheme="majorHAnsi"/>
          <w:noProof/>
          <w:sz w:val="18"/>
          <w:szCs w:val="18"/>
        </w:rPr>
        <w:t>,</w:t>
      </w:r>
      <w:r w:rsidR="00143B8B" w:rsidRPr="001677C7">
        <w:rPr>
          <w:rFonts w:asciiTheme="majorHAnsi" w:hAnsiTheme="majorHAnsi" w:cstheme="majorHAnsi"/>
          <w:noProof/>
          <w:sz w:val="18"/>
          <w:szCs w:val="18"/>
        </w:rPr>
        <w:t xml:space="preserve"> contraction.</w:t>
      </w:r>
    </w:p>
    <w:p w14:paraId="4886595A" w14:textId="0E7ED0B7" w:rsidR="00B86180" w:rsidRPr="001677C7" w:rsidRDefault="00A66699" w:rsidP="00814ED5">
      <w:pPr>
        <w:rPr>
          <w:rFonts w:asciiTheme="majorHAnsi" w:hAnsiTheme="majorHAnsi" w:cstheme="majorHAnsi"/>
        </w:rPr>
        <w:sectPr w:rsidR="00B86180" w:rsidRPr="001677C7" w:rsidSect="009B07B0">
          <w:type w:val="continuous"/>
          <w:pgSz w:w="12240" w:h="15840"/>
          <w:pgMar w:top="720" w:right="720" w:bottom="720" w:left="720" w:header="720" w:footer="720" w:gutter="0"/>
          <w:cols w:num="2" w:space="720"/>
          <w:docGrid w:linePitch="360"/>
        </w:sectPr>
      </w:pPr>
      <w:r w:rsidRPr="001677C7">
        <w:rPr>
          <w:rStyle w:val="Heading2Char"/>
          <w:rFonts w:cstheme="majorHAnsi"/>
          <w:b/>
        </w:rPr>
        <w:t xml:space="preserve">Outlook </w:t>
      </w:r>
      <w:r w:rsidR="00557345" w:rsidRPr="001677C7">
        <w:rPr>
          <w:rStyle w:val="Heading2Char"/>
          <w:rFonts w:cstheme="majorHAnsi"/>
          <w:b/>
        </w:rPr>
        <w:t>O</w:t>
      </w:r>
      <w:r w:rsidRPr="001677C7">
        <w:rPr>
          <w:rStyle w:val="Heading2Char"/>
          <w:rFonts w:cstheme="majorHAnsi"/>
          <w:b/>
        </w:rPr>
        <w:t xml:space="preserve">n </w:t>
      </w:r>
      <w:r w:rsidR="00557345" w:rsidRPr="001677C7">
        <w:rPr>
          <w:rStyle w:val="Heading2Char"/>
          <w:rFonts w:cstheme="majorHAnsi"/>
          <w:b/>
        </w:rPr>
        <w:t>T</w:t>
      </w:r>
      <w:r w:rsidRPr="001677C7">
        <w:rPr>
          <w:rStyle w:val="Heading2Char"/>
          <w:rFonts w:cstheme="majorHAnsi"/>
          <w:b/>
        </w:rPr>
        <w:t>he State Economy</w:t>
      </w:r>
      <w:r w:rsidR="00E66F63" w:rsidRPr="001677C7">
        <w:rPr>
          <w:rStyle w:val="Heading2Char"/>
          <w:rFonts w:cstheme="majorHAnsi"/>
          <w:b/>
        </w:rPr>
        <w:t>: Next Year</w:t>
      </w:r>
      <w:r w:rsidR="00520911" w:rsidRPr="001677C7">
        <w:rPr>
          <w:rFonts w:asciiTheme="majorHAnsi" w:hAnsiTheme="majorHAnsi" w:cstheme="majorHAnsi"/>
        </w:rPr>
        <w:t xml:space="preserve"> </w:t>
      </w:r>
      <w:r w:rsidR="002B3361" w:rsidRPr="001677C7">
        <w:rPr>
          <w:rFonts w:asciiTheme="majorHAnsi" w:hAnsiTheme="majorHAnsi" w:cstheme="majorHAnsi"/>
        </w:rPr>
        <w:t xml:space="preserve"> </w:t>
      </w:r>
      <w:r w:rsidR="008A7529" w:rsidRPr="008A7529">
        <w:rPr>
          <w:rFonts w:asciiTheme="majorHAnsi" w:hAnsiTheme="majorHAnsi" w:cstheme="majorHAnsi"/>
        </w:rPr>
        <w:t>Minnesota business services firms hold a pessimistic outlook for the overall economy in the coming year. The diffusion index for consumer spending has declined to 37 from 40, indicating further contraction. Similarly, the diffusion index for corporate profits has dropped to 40 from 45, reflecting diminishing profitability. While respondents expect inflation to rise, the diffusion index of 73, down from 79 the previous year, indicates cautious optimism about slowing price increases</w:t>
      </w:r>
      <w:r w:rsidR="00557345" w:rsidRPr="001677C7">
        <w:rPr>
          <w:rFonts w:asciiTheme="majorHAnsi" w:hAnsiTheme="majorHAnsi" w:cstheme="majorHAnsi"/>
        </w:rPr>
        <w:t xml:space="preserve"> </w:t>
      </w:r>
      <w:r w:rsidR="007B5927">
        <w:rPr>
          <w:rFonts w:asciiTheme="majorHAnsi" w:hAnsiTheme="majorHAnsi" w:cstheme="majorHAnsi"/>
        </w:rPr>
        <w:t>(</w:t>
      </w:r>
      <w:r w:rsidR="00557345" w:rsidRPr="001677C7">
        <w:rPr>
          <w:rFonts w:asciiTheme="majorHAnsi" w:hAnsiTheme="majorHAnsi" w:cstheme="majorHAnsi"/>
        </w:rPr>
        <w:t>Table 1</w:t>
      </w:r>
      <w:r w:rsidR="00C75042">
        <w:rPr>
          <w:rFonts w:asciiTheme="majorHAnsi" w:hAnsiTheme="majorHAnsi" w:cstheme="majorHAnsi"/>
        </w:rPr>
        <w:t>-C</w:t>
      </w:r>
      <w:r w:rsidR="007B5927">
        <w:rPr>
          <w:rFonts w:asciiTheme="majorHAnsi" w:hAnsiTheme="majorHAnsi" w:cstheme="majorHAnsi"/>
        </w:rPr>
        <w:t>)</w:t>
      </w:r>
      <w:r w:rsidR="00557345" w:rsidRPr="001677C7">
        <w:rPr>
          <w:rFonts w:asciiTheme="majorHAnsi" w:hAnsiTheme="majorHAnsi" w:cstheme="majorHAnsi"/>
        </w:rPr>
        <w:t xml:space="preserve">. </w:t>
      </w:r>
      <w:r w:rsidR="00097F32" w:rsidRPr="001677C7">
        <w:rPr>
          <w:rFonts w:asciiTheme="majorHAnsi" w:hAnsiTheme="majorHAnsi" w:cstheme="majorHAnsi"/>
        </w:rPr>
        <w:t xml:space="preserve"> </w:t>
      </w:r>
    </w:p>
    <w:p w14:paraId="651EAD68" w14:textId="77777777" w:rsidR="009969EB" w:rsidRPr="001677C7" w:rsidRDefault="009969EB" w:rsidP="009B3DF5">
      <w:pPr>
        <w:spacing w:line="240" w:lineRule="auto"/>
        <w:rPr>
          <w:rFonts w:asciiTheme="majorHAnsi" w:eastAsiaTheme="majorEastAsia" w:hAnsiTheme="majorHAnsi" w:cstheme="majorHAnsi"/>
          <w:color w:val="1F4D78" w:themeColor="accent1" w:themeShade="7F"/>
          <w:sz w:val="24"/>
          <w:szCs w:val="24"/>
        </w:rPr>
        <w:sectPr w:rsidR="009969EB" w:rsidRPr="001677C7" w:rsidSect="009B07B0">
          <w:type w:val="continuous"/>
          <w:pgSz w:w="12240" w:h="15840"/>
          <w:pgMar w:top="720" w:right="720" w:bottom="720" w:left="720" w:header="720" w:footer="720" w:gutter="0"/>
          <w:cols w:num="2" w:space="720"/>
          <w:docGrid w:linePitch="360"/>
        </w:sectPr>
      </w:pPr>
    </w:p>
    <w:p w14:paraId="4459F01A" w14:textId="3603C6DF" w:rsidR="00CE2823" w:rsidRPr="001677C7" w:rsidRDefault="00A573B1" w:rsidP="0093301B">
      <w:pPr>
        <w:rPr>
          <w:rFonts w:asciiTheme="majorHAnsi" w:hAnsiTheme="majorHAnsi" w:cstheme="majorHAnsi"/>
        </w:rPr>
      </w:pPr>
      <w:r w:rsidRPr="00A573B1">
        <w:rPr>
          <w:rFonts w:asciiTheme="majorHAnsi" w:hAnsiTheme="majorHAnsi" w:cstheme="majorHAnsi"/>
        </w:rPr>
        <w:t>A question about credit conditions revealed that businesses experienced a slight deterioration compared to the previous year. Approximately 40% reported higher interest rates, up from 35% the year before. Twelve percent indicated difficulties accessing capital, compared to 9% previously, and 18% experienced a decrease in hiring, compared to 11% the prior year</w:t>
      </w:r>
      <w:r w:rsidR="002B4C24" w:rsidRPr="001677C7">
        <w:rPr>
          <w:rFonts w:asciiTheme="majorHAnsi" w:hAnsiTheme="majorHAnsi" w:cstheme="majorHAnsi"/>
        </w:rPr>
        <w:t xml:space="preserve"> </w:t>
      </w:r>
      <w:r w:rsidR="007B5927">
        <w:rPr>
          <w:rFonts w:asciiTheme="majorHAnsi" w:hAnsiTheme="majorHAnsi" w:cstheme="majorHAnsi"/>
        </w:rPr>
        <w:t>(</w:t>
      </w:r>
      <w:r w:rsidR="002B4C24" w:rsidRPr="001677C7">
        <w:rPr>
          <w:rFonts w:asciiTheme="majorHAnsi" w:hAnsiTheme="majorHAnsi" w:cstheme="majorHAnsi"/>
        </w:rPr>
        <w:t>Table 1</w:t>
      </w:r>
      <w:r w:rsidR="00C75042">
        <w:rPr>
          <w:rFonts w:asciiTheme="majorHAnsi" w:hAnsiTheme="majorHAnsi" w:cstheme="majorHAnsi"/>
        </w:rPr>
        <w:t>-D</w:t>
      </w:r>
      <w:r w:rsidR="007B5927">
        <w:rPr>
          <w:rFonts w:asciiTheme="majorHAnsi" w:hAnsiTheme="majorHAnsi" w:cstheme="majorHAnsi"/>
        </w:rPr>
        <w:t>)</w:t>
      </w:r>
      <w:r w:rsidR="002B4C24" w:rsidRPr="001677C7">
        <w:rPr>
          <w:rFonts w:asciiTheme="majorHAnsi" w:hAnsiTheme="majorHAnsi" w:cstheme="majorHAnsi"/>
        </w:rPr>
        <w:t>.</w:t>
      </w:r>
    </w:p>
    <w:p w14:paraId="65D9A251" w14:textId="77777777" w:rsidR="004770F3" w:rsidRDefault="004770F3" w:rsidP="00D60273">
      <w:pPr>
        <w:pStyle w:val="Title"/>
        <w:ind w:left="180"/>
        <w:jc w:val="both"/>
        <w:rPr>
          <w:rFonts w:cstheme="majorHAnsi"/>
          <w:b/>
          <w:color w:val="1F4E79" w:themeColor="accent1" w:themeShade="80"/>
          <w:sz w:val="22"/>
          <w:szCs w:val="22"/>
        </w:rPr>
        <w:sectPr w:rsidR="004770F3" w:rsidSect="004770F3">
          <w:type w:val="continuous"/>
          <w:pgSz w:w="12240" w:h="15840"/>
          <w:pgMar w:top="720" w:right="720" w:bottom="720" w:left="720" w:header="720" w:footer="720" w:gutter="0"/>
          <w:cols w:num="2" w:space="720"/>
          <w:docGrid w:linePitch="360"/>
        </w:sectPr>
      </w:pPr>
    </w:p>
    <w:p w14:paraId="64EF5535" w14:textId="39D0FC20" w:rsidR="007F61A9" w:rsidRPr="001677C7" w:rsidRDefault="00033FB0" w:rsidP="00D60273">
      <w:pPr>
        <w:pStyle w:val="Title"/>
        <w:ind w:left="180"/>
        <w:jc w:val="both"/>
        <w:rPr>
          <w:rFonts w:cstheme="majorHAnsi"/>
          <w:b/>
          <w:color w:val="1F4E79" w:themeColor="accent1" w:themeShade="80"/>
          <w:sz w:val="22"/>
          <w:szCs w:val="22"/>
        </w:rPr>
      </w:pPr>
      <w:r w:rsidRPr="001677C7">
        <w:rPr>
          <w:rFonts w:cstheme="majorHAnsi"/>
          <w:b/>
          <w:color w:val="1F4E79" w:themeColor="accent1" w:themeShade="80"/>
          <w:sz w:val="22"/>
          <w:szCs w:val="22"/>
        </w:rPr>
        <w:t xml:space="preserve">Table 1: </w:t>
      </w:r>
      <w:r w:rsidR="00F86309" w:rsidRPr="001677C7">
        <w:rPr>
          <w:rFonts w:cstheme="majorHAnsi"/>
          <w:b/>
          <w:color w:val="1F4E79" w:themeColor="accent1" w:themeShade="80"/>
          <w:sz w:val="22"/>
          <w:szCs w:val="22"/>
        </w:rPr>
        <w:t>Minnesota 202</w:t>
      </w:r>
      <w:r w:rsidR="00A7075E" w:rsidRPr="001677C7">
        <w:rPr>
          <w:rFonts w:cstheme="majorHAnsi"/>
          <w:b/>
          <w:color w:val="1F4E79" w:themeColor="accent1" w:themeShade="80"/>
          <w:sz w:val="22"/>
          <w:szCs w:val="22"/>
        </w:rPr>
        <w:t>4</w:t>
      </w:r>
      <w:r w:rsidR="009969EB" w:rsidRPr="001677C7">
        <w:rPr>
          <w:rFonts w:cstheme="majorHAnsi"/>
          <w:b/>
          <w:color w:val="1F4E79" w:themeColor="accent1" w:themeShade="80"/>
          <w:sz w:val="22"/>
          <w:szCs w:val="22"/>
        </w:rPr>
        <w:t xml:space="preserve"> Business </w:t>
      </w:r>
      <w:r w:rsidR="00EC6FBE" w:rsidRPr="001677C7">
        <w:rPr>
          <w:rFonts w:cstheme="majorHAnsi"/>
          <w:b/>
          <w:color w:val="1F4E79" w:themeColor="accent1" w:themeShade="80"/>
          <w:sz w:val="22"/>
          <w:szCs w:val="22"/>
        </w:rPr>
        <w:t xml:space="preserve">Services </w:t>
      </w:r>
      <w:r w:rsidR="003F5F27" w:rsidRPr="001677C7">
        <w:rPr>
          <w:rFonts w:cstheme="majorHAnsi"/>
          <w:b/>
          <w:color w:val="1F4E79" w:themeColor="accent1" w:themeShade="80"/>
          <w:sz w:val="22"/>
          <w:szCs w:val="22"/>
        </w:rPr>
        <w:t xml:space="preserve">Firms </w:t>
      </w:r>
      <w:r w:rsidR="009969EB" w:rsidRPr="001677C7">
        <w:rPr>
          <w:rFonts w:cstheme="majorHAnsi"/>
          <w:b/>
          <w:color w:val="1F4E79" w:themeColor="accent1" w:themeShade="80"/>
          <w:sz w:val="22"/>
          <w:szCs w:val="22"/>
        </w:rPr>
        <w:t>Condition Survey Results</w:t>
      </w:r>
      <w:r w:rsidR="009713A3" w:rsidRPr="001677C7">
        <w:rPr>
          <w:rFonts w:cstheme="majorHAnsi"/>
          <w:b/>
          <w:color w:val="1F4E79" w:themeColor="accent1" w:themeShade="80"/>
          <w:sz w:val="22"/>
          <w:szCs w:val="22"/>
          <w:vertAlign w:val="superscript"/>
        </w:rPr>
        <w:t>1</w:t>
      </w:r>
    </w:p>
    <w:tbl>
      <w:tblPr>
        <w:tblStyle w:val="PlainTable5"/>
        <w:tblW w:w="10525"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Business Comparison Indicators: 2020"/>
        <w:tblDescription w:val="Minnesota business services firms described unchanged or declining conditions. Seventy-nine percent of respondents indicated no changes in selling prices and 70 percent experienced stable labor availability. Additionally, 62 percent reported unchanged employment level. However, 53 percent indicated decline in sales revenue and 52 percent reported a drop in profits. Declining conditions were confirmed by diffusion indices, most of which were below 50 indicating contraction."/>
      </w:tblPr>
      <w:tblGrid>
        <w:gridCol w:w="3897"/>
        <w:gridCol w:w="1338"/>
        <w:gridCol w:w="1338"/>
        <w:gridCol w:w="1338"/>
        <w:gridCol w:w="1338"/>
        <w:gridCol w:w="1276"/>
      </w:tblGrid>
      <w:tr w:rsidR="001D0139" w:rsidRPr="001677C7" w14:paraId="01C96E47"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single" w:sz="4" w:space="0" w:color="auto"/>
              <w:right w:val="nil"/>
            </w:tcBorders>
            <w:shd w:val="clear" w:color="auto" w:fill="BDD6EE" w:themeFill="accent1" w:themeFillTint="66"/>
            <w:noWrap/>
            <w:hideMark/>
          </w:tcPr>
          <w:p w14:paraId="4CA4B7B5" w14:textId="3D09532C" w:rsidR="00A97C01" w:rsidRPr="00C75042" w:rsidRDefault="00722892" w:rsidP="00C75042">
            <w:pPr>
              <w:pStyle w:val="ListParagraph"/>
              <w:numPr>
                <w:ilvl w:val="0"/>
                <w:numId w:val="14"/>
              </w:numPr>
              <w:rPr>
                <w:rFonts w:eastAsia="Times New Roman" w:cstheme="majorHAnsi"/>
                <w:b/>
                <w:bCs/>
                <w:i w:val="0"/>
                <w:iCs w:val="0"/>
                <w:color w:val="000000"/>
                <w:sz w:val="18"/>
                <w:szCs w:val="18"/>
              </w:rPr>
            </w:pPr>
            <w:bookmarkStart w:id="0" w:name="_Hlk76110608"/>
            <w:r w:rsidRPr="00C75042">
              <w:rPr>
                <w:rFonts w:eastAsia="Times New Roman" w:cstheme="majorHAnsi"/>
                <w:b/>
                <w:bCs/>
                <w:i w:val="0"/>
                <w:iCs w:val="0"/>
                <w:color w:val="000000"/>
                <w:sz w:val="18"/>
                <w:szCs w:val="18"/>
              </w:rPr>
              <w:t>Business i</w:t>
            </w:r>
            <w:r w:rsidR="0043194C" w:rsidRPr="00C75042">
              <w:rPr>
                <w:rFonts w:eastAsia="Times New Roman" w:cstheme="majorHAnsi"/>
                <w:b/>
                <w:bCs/>
                <w:i w:val="0"/>
                <w:iCs w:val="0"/>
                <w:color w:val="000000"/>
                <w:sz w:val="18"/>
                <w:szCs w:val="18"/>
              </w:rPr>
              <w:t>ndicators in the last</w:t>
            </w:r>
            <w:r w:rsidR="007C7CDC" w:rsidRPr="00C75042">
              <w:rPr>
                <w:rFonts w:eastAsia="Times New Roman" w:cstheme="majorHAnsi"/>
                <w:b/>
                <w:bCs/>
                <w:i w:val="0"/>
                <w:iCs w:val="0"/>
                <w:color w:val="000000"/>
                <w:sz w:val="18"/>
                <w:szCs w:val="18"/>
              </w:rPr>
              <w:t xml:space="preserve"> year</w:t>
            </w:r>
          </w:p>
        </w:tc>
        <w:tc>
          <w:tcPr>
            <w:tcW w:w="1338" w:type="dxa"/>
            <w:tcBorders>
              <w:top w:val="single" w:sz="4" w:space="0" w:color="auto"/>
              <w:left w:val="nil"/>
              <w:bottom w:val="single" w:sz="4" w:space="0" w:color="auto"/>
            </w:tcBorders>
            <w:shd w:val="clear" w:color="auto" w:fill="BDD6EE" w:themeFill="accent1" w:themeFillTint="66"/>
            <w:noWrap/>
            <w:hideMark/>
          </w:tcPr>
          <w:p w14:paraId="66287258" w14:textId="77777777" w:rsidR="00A97C01" w:rsidRPr="001677C7" w:rsidRDefault="00A97C01" w:rsidP="001631F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Up</w:t>
            </w:r>
          </w:p>
        </w:tc>
        <w:tc>
          <w:tcPr>
            <w:tcW w:w="1338" w:type="dxa"/>
            <w:tcBorders>
              <w:top w:val="single" w:sz="4" w:space="0" w:color="auto"/>
              <w:bottom w:val="single" w:sz="4" w:space="0" w:color="auto"/>
            </w:tcBorders>
            <w:shd w:val="clear" w:color="auto" w:fill="BDD6EE" w:themeFill="accent1" w:themeFillTint="66"/>
            <w:noWrap/>
            <w:hideMark/>
          </w:tcPr>
          <w:p w14:paraId="38B780C5" w14:textId="77777777" w:rsidR="00A97C01" w:rsidRPr="001677C7" w:rsidRDefault="00A97C01" w:rsidP="001631F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Same</w:t>
            </w:r>
          </w:p>
        </w:tc>
        <w:tc>
          <w:tcPr>
            <w:tcW w:w="1338" w:type="dxa"/>
            <w:tcBorders>
              <w:top w:val="single" w:sz="4" w:space="0" w:color="auto"/>
              <w:bottom w:val="single" w:sz="4" w:space="0" w:color="auto"/>
            </w:tcBorders>
            <w:shd w:val="clear" w:color="auto" w:fill="BDD6EE" w:themeFill="accent1" w:themeFillTint="66"/>
            <w:noWrap/>
            <w:hideMark/>
          </w:tcPr>
          <w:p w14:paraId="72D3E77F" w14:textId="77777777" w:rsidR="00A97C01" w:rsidRPr="001677C7" w:rsidRDefault="00A97C01" w:rsidP="001631F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Down</w:t>
            </w:r>
          </w:p>
        </w:tc>
        <w:tc>
          <w:tcPr>
            <w:tcW w:w="1338" w:type="dxa"/>
            <w:tcBorders>
              <w:top w:val="single" w:sz="4" w:space="0" w:color="auto"/>
              <w:bottom w:val="single" w:sz="4" w:space="0" w:color="auto"/>
            </w:tcBorders>
            <w:shd w:val="clear" w:color="auto" w:fill="BDD6EE" w:themeFill="accent1" w:themeFillTint="66"/>
            <w:noWrap/>
            <w:hideMark/>
          </w:tcPr>
          <w:p w14:paraId="4664DC7C" w14:textId="01616E54" w:rsidR="00A97C01" w:rsidRPr="001677C7" w:rsidRDefault="00A97C01" w:rsidP="00367060">
            <w:pPr>
              <w:jc w:val="center"/>
              <w:rPr>
                <w:rFonts w:eastAsia="Times New Roman" w:cstheme="majorHAnsi"/>
                <w:b/>
                <w:bCs/>
                <w:i w:val="0"/>
                <w:sz w:val="18"/>
                <w:szCs w:val="18"/>
              </w:rPr>
            </w:pPr>
            <w:r w:rsidRPr="001677C7">
              <w:rPr>
                <w:rFonts w:eastAsia="Times New Roman" w:cstheme="majorHAnsi"/>
                <w:b/>
                <w:bCs/>
                <w:i w:val="0"/>
                <w:sz w:val="18"/>
                <w:szCs w:val="18"/>
              </w:rPr>
              <w:t xml:space="preserve">Diffusion </w:t>
            </w:r>
            <w:r w:rsidR="00A47862" w:rsidRPr="001677C7">
              <w:rPr>
                <w:rFonts w:eastAsia="Times New Roman" w:cstheme="majorHAnsi"/>
                <w:b/>
                <w:bCs/>
                <w:i w:val="0"/>
                <w:sz w:val="18"/>
                <w:szCs w:val="18"/>
              </w:rPr>
              <w:t>i</w:t>
            </w:r>
            <w:r w:rsidRPr="001677C7">
              <w:rPr>
                <w:rFonts w:eastAsia="Times New Roman" w:cstheme="majorHAnsi"/>
                <w:b/>
                <w:bCs/>
                <w:i w:val="0"/>
                <w:sz w:val="18"/>
                <w:szCs w:val="18"/>
              </w:rPr>
              <w:t>ndex</w:t>
            </w:r>
            <w:r w:rsidR="000631E3" w:rsidRPr="001677C7">
              <w:rPr>
                <w:rFonts w:eastAsia="Times New Roman" w:cstheme="majorHAnsi"/>
                <w:b/>
                <w:bCs/>
                <w:i w:val="0"/>
                <w:sz w:val="18"/>
                <w:szCs w:val="18"/>
              </w:rPr>
              <w:t xml:space="preserve"> 202</w:t>
            </w:r>
            <w:r w:rsidR="00A7075E" w:rsidRPr="001677C7">
              <w:rPr>
                <w:rFonts w:eastAsia="Times New Roman" w:cstheme="majorHAnsi"/>
                <w:b/>
                <w:bCs/>
                <w:i w:val="0"/>
                <w:sz w:val="18"/>
                <w:szCs w:val="18"/>
              </w:rPr>
              <w:t>4</w:t>
            </w:r>
            <w:r w:rsidR="008E7E58" w:rsidRPr="001677C7">
              <w:rPr>
                <w:rFonts w:eastAsia="Times New Roman" w:cstheme="majorHAnsi"/>
                <w:b/>
                <w:bCs/>
                <w:i w:val="0"/>
                <w:sz w:val="18"/>
                <w:szCs w:val="18"/>
                <w:vertAlign w:val="superscript"/>
              </w:rPr>
              <w:t>(</w:t>
            </w:r>
            <w:r w:rsidR="00C80C65" w:rsidRPr="001677C7">
              <w:rPr>
                <w:rFonts w:eastAsia="Times New Roman" w:cstheme="majorHAnsi"/>
                <w:b/>
                <w:bCs/>
                <w:i w:val="0"/>
                <w:sz w:val="18"/>
                <w:szCs w:val="18"/>
                <w:vertAlign w:val="superscript"/>
              </w:rPr>
              <w:t>2)</w:t>
            </w:r>
          </w:p>
        </w:tc>
        <w:tc>
          <w:tcPr>
            <w:tcW w:w="1276" w:type="dxa"/>
            <w:tcBorders>
              <w:top w:val="single" w:sz="4" w:space="0" w:color="auto"/>
              <w:bottom w:val="single" w:sz="4" w:space="0" w:color="auto"/>
            </w:tcBorders>
            <w:shd w:val="clear" w:color="auto" w:fill="BDD6EE" w:themeFill="accent1" w:themeFillTint="66"/>
            <w:noWrap/>
            <w:hideMark/>
          </w:tcPr>
          <w:p w14:paraId="266B69E0" w14:textId="4AF918EB" w:rsidR="00A97C01" w:rsidRPr="001677C7" w:rsidRDefault="0089194E" w:rsidP="001631FC">
            <w:pPr>
              <w:jc w:val="center"/>
              <w:rPr>
                <w:rFonts w:eastAsia="Times New Roman" w:cstheme="majorHAnsi"/>
                <w:b/>
                <w:bCs/>
                <w:i w:val="0"/>
                <w:color w:val="FF0000"/>
                <w:sz w:val="18"/>
                <w:szCs w:val="18"/>
              </w:rPr>
            </w:pPr>
            <w:r w:rsidRPr="001677C7">
              <w:rPr>
                <w:rFonts w:eastAsia="Times New Roman" w:cstheme="majorHAnsi"/>
                <w:b/>
                <w:bCs/>
                <w:i w:val="0"/>
                <w:sz w:val="18"/>
                <w:szCs w:val="18"/>
              </w:rPr>
              <w:t>D</w:t>
            </w:r>
            <w:r w:rsidR="000631E3" w:rsidRPr="001677C7">
              <w:rPr>
                <w:rFonts w:eastAsia="Times New Roman" w:cstheme="majorHAnsi"/>
                <w:b/>
                <w:bCs/>
                <w:i w:val="0"/>
                <w:sz w:val="18"/>
                <w:szCs w:val="18"/>
              </w:rPr>
              <w:t xml:space="preserve">iffusion </w:t>
            </w:r>
            <w:r w:rsidR="00A47862" w:rsidRPr="001677C7">
              <w:rPr>
                <w:rFonts w:eastAsia="Times New Roman" w:cstheme="majorHAnsi"/>
                <w:b/>
                <w:bCs/>
                <w:i w:val="0"/>
                <w:sz w:val="18"/>
                <w:szCs w:val="18"/>
              </w:rPr>
              <w:t>i</w:t>
            </w:r>
            <w:r w:rsidR="000631E3" w:rsidRPr="001677C7">
              <w:rPr>
                <w:rFonts w:eastAsia="Times New Roman" w:cstheme="majorHAnsi"/>
                <w:b/>
                <w:bCs/>
                <w:i w:val="0"/>
                <w:sz w:val="18"/>
                <w:szCs w:val="18"/>
              </w:rPr>
              <w:t>ndex 20</w:t>
            </w:r>
            <w:r w:rsidR="003B7BDF" w:rsidRPr="001677C7">
              <w:rPr>
                <w:rFonts w:eastAsia="Times New Roman" w:cstheme="majorHAnsi"/>
                <w:b/>
                <w:bCs/>
                <w:i w:val="0"/>
                <w:sz w:val="18"/>
                <w:szCs w:val="18"/>
              </w:rPr>
              <w:t>2</w:t>
            </w:r>
            <w:r w:rsidR="00A7075E" w:rsidRPr="001677C7">
              <w:rPr>
                <w:rFonts w:eastAsia="Times New Roman" w:cstheme="majorHAnsi"/>
                <w:b/>
                <w:bCs/>
                <w:i w:val="0"/>
                <w:sz w:val="18"/>
                <w:szCs w:val="18"/>
              </w:rPr>
              <w:t>3</w:t>
            </w:r>
            <w:r w:rsidRPr="001677C7">
              <w:rPr>
                <w:rFonts w:eastAsia="Times New Roman" w:cstheme="majorHAnsi"/>
                <w:b/>
                <w:bCs/>
                <w:i w:val="0"/>
                <w:sz w:val="18"/>
                <w:szCs w:val="18"/>
                <w:vertAlign w:val="superscript"/>
              </w:rPr>
              <w:t>(</w:t>
            </w:r>
            <w:r w:rsidR="00C80C65" w:rsidRPr="001677C7">
              <w:rPr>
                <w:rFonts w:eastAsia="Times New Roman" w:cstheme="majorHAnsi"/>
                <w:b/>
                <w:bCs/>
                <w:i w:val="0"/>
                <w:sz w:val="18"/>
                <w:szCs w:val="18"/>
                <w:vertAlign w:val="superscript"/>
              </w:rPr>
              <w:t>2)</w:t>
            </w:r>
          </w:p>
        </w:tc>
      </w:tr>
      <w:tr w:rsidR="001D0139" w:rsidRPr="001677C7" w14:paraId="2BE5ACED"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none" w:sz="0" w:space="0" w:color="auto"/>
              <w:right w:val="nil"/>
            </w:tcBorders>
            <w:noWrap/>
            <w:hideMark/>
          </w:tcPr>
          <w:p w14:paraId="27983A3D" w14:textId="77777777" w:rsidR="00A97C01" w:rsidRPr="001677C7" w:rsidRDefault="0043194C" w:rsidP="001631FC">
            <w:pPr>
              <w:rPr>
                <w:rFonts w:eastAsia="Times New Roman" w:cstheme="majorHAnsi"/>
                <w:i w:val="0"/>
                <w:color w:val="000000"/>
                <w:sz w:val="18"/>
                <w:szCs w:val="18"/>
              </w:rPr>
            </w:pPr>
            <w:r w:rsidRPr="001677C7">
              <w:rPr>
                <w:rFonts w:eastAsia="Times New Roman" w:cstheme="majorHAnsi"/>
                <w:i w:val="0"/>
                <w:color w:val="000000"/>
                <w:sz w:val="18"/>
                <w:szCs w:val="18"/>
              </w:rPr>
              <w:t>Sales revenue</w:t>
            </w:r>
          </w:p>
        </w:tc>
        <w:tc>
          <w:tcPr>
            <w:tcW w:w="1338" w:type="dxa"/>
            <w:tcBorders>
              <w:top w:val="single" w:sz="4" w:space="0" w:color="auto"/>
              <w:left w:val="nil"/>
              <w:bottom w:val="none" w:sz="0" w:space="0" w:color="auto"/>
            </w:tcBorders>
            <w:noWrap/>
            <w:hideMark/>
          </w:tcPr>
          <w:p w14:paraId="15FF0298" w14:textId="433E475C" w:rsidR="00A97C01" w:rsidRPr="001677C7" w:rsidRDefault="00304A04"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4</w:t>
            </w:r>
            <w:r w:rsidR="00A7075E" w:rsidRPr="001677C7">
              <w:rPr>
                <w:rFonts w:eastAsia="Times New Roman" w:cstheme="majorHAnsi"/>
                <w:i w:val="0"/>
                <w:color w:val="000000"/>
                <w:sz w:val="18"/>
                <w:szCs w:val="18"/>
              </w:rPr>
              <w:t>6</w:t>
            </w:r>
            <w:r w:rsidR="00A97C01" w:rsidRPr="001677C7">
              <w:rPr>
                <w:rFonts w:eastAsia="Times New Roman" w:cstheme="majorHAnsi"/>
                <w:i w:val="0"/>
                <w:color w:val="000000"/>
                <w:sz w:val="18"/>
                <w:szCs w:val="18"/>
              </w:rPr>
              <w:t>%</w:t>
            </w:r>
          </w:p>
        </w:tc>
        <w:tc>
          <w:tcPr>
            <w:tcW w:w="1338" w:type="dxa"/>
            <w:tcBorders>
              <w:top w:val="single" w:sz="4" w:space="0" w:color="auto"/>
              <w:bottom w:val="none" w:sz="0" w:space="0" w:color="auto"/>
            </w:tcBorders>
            <w:noWrap/>
            <w:hideMark/>
          </w:tcPr>
          <w:p w14:paraId="73132FD2" w14:textId="24CB8E98" w:rsidR="00A97C01" w:rsidRPr="001677C7" w:rsidRDefault="000631E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w:t>
            </w:r>
            <w:r w:rsidR="00A7075E" w:rsidRPr="001677C7">
              <w:rPr>
                <w:rFonts w:eastAsia="Times New Roman" w:cstheme="majorHAnsi"/>
                <w:i w:val="0"/>
                <w:color w:val="000000"/>
                <w:sz w:val="18"/>
                <w:szCs w:val="18"/>
              </w:rPr>
              <w:t>1</w:t>
            </w:r>
            <w:r w:rsidR="00A97C01" w:rsidRPr="001677C7">
              <w:rPr>
                <w:rFonts w:eastAsia="Times New Roman" w:cstheme="majorHAnsi"/>
                <w:i w:val="0"/>
                <w:color w:val="000000"/>
                <w:sz w:val="18"/>
                <w:szCs w:val="18"/>
              </w:rPr>
              <w:t>%</w:t>
            </w:r>
          </w:p>
        </w:tc>
        <w:tc>
          <w:tcPr>
            <w:tcW w:w="1338" w:type="dxa"/>
            <w:tcBorders>
              <w:top w:val="single" w:sz="4" w:space="0" w:color="auto"/>
              <w:bottom w:val="none" w:sz="0" w:space="0" w:color="auto"/>
            </w:tcBorders>
            <w:noWrap/>
            <w:hideMark/>
          </w:tcPr>
          <w:p w14:paraId="421E8ABE" w14:textId="5CFF7E19"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3</w:t>
            </w:r>
            <w:r w:rsidR="00A7075E" w:rsidRPr="001677C7">
              <w:rPr>
                <w:rFonts w:eastAsia="Times New Roman" w:cstheme="majorHAnsi"/>
                <w:i w:val="0"/>
                <w:color w:val="000000"/>
                <w:sz w:val="18"/>
                <w:szCs w:val="18"/>
              </w:rPr>
              <w:t>4</w:t>
            </w:r>
            <w:r w:rsidR="00A97C01" w:rsidRPr="001677C7">
              <w:rPr>
                <w:rFonts w:eastAsia="Times New Roman" w:cstheme="majorHAnsi"/>
                <w:i w:val="0"/>
                <w:color w:val="000000"/>
                <w:sz w:val="18"/>
                <w:szCs w:val="18"/>
              </w:rPr>
              <w:t>%</w:t>
            </w:r>
          </w:p>
        </w:tc>
        <w:tc>
          <w:tcPr>
            <w:tcW w:w="1338" w:type="dxa"/>
            <w:tcBorders>
              <w:top w:val="single" w:sz="4" w:space="0" w:color="auto"/>
              <w:bottom w:val="none" w:sz="0" w:space="0" w:color="auto"/>
            </w:tcBorders>
            <w:noWrap/>
            <w:hideMark/>
          </w:tcPr>
          <w:p w14:paraId="28BD73D1" w14:textId="1909BC95" w:rsidR="00A97C01" w:rsidRPr="001677C7" w:rsidRDefault="008A5913" w:rsidP="00E647F4">
            <w:pPr>
              <w:jc w:val="center"/>
              <w:rPr>
                <w:rFonts w:eastAsia="Times New Roman" w:cstheme="majorHAnsi"/>
                <w:i w:val="0"/>
                <w:sz w:val="18"/>
                <w:szCs w:val="18"/>
              </w:rPr>
            </w:pPr>
            <w:r w:rsidRPr="001677C7">
              <w:rPr>
                <w:rFonts w:eastAsia="Times New Roman" w:cstheme="majorHAnsi"/>
                <w:i w:val="0"/>
                <w:sz w:val="18"/>
                <w:szCs w:val="18"/>
              </w:rPr>
              <w:t>57</w:t>
            </w:r>
          </w:p>
        </w:tc>
        <w:tc>
          <w:tcPr>
            <w:tcW w:w="1276" w:type="dxa"/>
            <w:tcBorders>
              <w:top w:val="single" w:sz="4" w:space="0" w:color="auto"/>
              <w:bottom w:val="none" w:sz="0" w:space="0" w:color="auto"/>
            </w:tcBorders>
            <w:noWrap/>
            <w:hideMark/>
          </w:tcPr>
          <w:p w14:paraId="0710D5C5" w14:textId="608B9DE5" w:rsidR="00A97C01" w:rsidRPr="001677C7" w:rsidRDefault="00A7075E" w:rsidP="00E647F4">
            <w:pPr>
              <w:jc w:val="center"/>
              <w:rPr>
                <w:rFonts w:eastAsia="Times New Roman" w:cstheme="majorHAnsi"/>
                <w:i w:val="0"/>
                <w:sz w:val="18"/>
                <w:szCs w:val="18"/>
              </w:rPr>
            </w:pPr>
            <w:r w:rsidRPr="001677C7">
              <w:rPr>
                <w:rFonts w:eastAsia="Times New Roman" w:cstheme="majorHAnsi"/>
                <w:i w:val="0"/>
                <w:sz w:val="18"/>
                <w:szCs w:val="18"/>
              </w:rPr>
              <w:t>57</w:t>
            </w:r>
          </w:p>
        </w:tc>
      </w:tr>
      <w:tr w:rsidR="001D0139" w:rsidRPr="001677C7" w14:paraId="38AE6A5D"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2527C914" w14:textId="77777777" w:rsidR="00A97C01" w:rsidRPr="001677C7" w:rsidRDefault="0043194C" w:rsidP="001631FC">
            <w:pPr>
              <w:rPr>
                <w:rFonts w:eastAsia="Times New Roman" w:cstheme="majorHAnsi"/>
                <w:i w:val="0"/>
                <w:color w:val="000000"/>
                <w:sz w:val="18"/>
                <w:szCs w:val="18"/>
              </w:rPr>
            </w:pPr>
            <w:r w:rsidRPr="001677C7">
              <w:rPr>
                <w:rFonts w:eastAsia="Times New Roman" w:cstheme="majorHAnsi"/>
                <w:i w:val="0"/>
                <w:color w:val="000000"/>
                <w:sz w:val="18"/>
                <w:szCs w:val="18"/>
              </w:rPr>
              <w:t>Profits</w:t>
            </w:r>
          </w:p>
        </w:tc>
        <w:tc>
          <w:tcPr>
            <w:tcW w:w="1338" w:type="dxa"/>
            <w:tcBorders>
              <w:left w:val="nil"/>
              <w:bottom w:val="none" w:sz="0" w:space="0" w:color="auto"/>
            </w:tcBorders>
            <w:noWrap/>
            <w:hideMark/>
          </w:tcPr>
          <w:p w14:paraId="0259DAF6" w14:textId="4444D61A" w:rsidR="00A97C01" w:rsidRPr="001677C7" w:rsidRDefault="00304A04"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3</w:t>
            </w:r>
            <w:r w:rsidR="008A5913" w:rsidRPr="001677C7">
              <w:rPr>
                <w:rFonts w:eastAsia="Times New Roman" w:cstheme="majorHAnsi"/>
                <w:i w:val="0"/>
                <w:color w:val="000000"/>
                <w:sz w:val="18"/>
                <w:szCs w:val="18"/>
              </w:rPr>
              <w:t>6</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4C31C8E9" w14:textId="4C134A87"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w:t>
            </w:r>
            <w:r w:rsidR="00A7075E" w:rsidRPr="001677C7">
              <w:rPr>
                <w:rFonts w:eastAsia="Times New Roman" w:cstheme="majorHAnsi"/>
                <w:i w:val="0"/>
                <w:color w:val="000000"/>
                <w:sz w:val="18"/>
                <w:szCs w:val="18"/>
              </w:rPr>
              <w:t>4</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2CF57FAB" w14:textId="09A1538C"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41</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612F989D" w14:textId="0F657B89" w:rsidR="00A97C01" w:rsidRPr="001677C7" w:rsidRDefault="008A5913" w:rsidP="00E647F4">
            <w:pPr>
              <w:jc w:val="center"/>
              <w:rPr>
                <w:rFonts w:eastAsia="Times New Roman" w:cstheme="majorHAnsi"/>
                <w:i w:val="0"/>
                <w:sz w:val="18"/>
                <w:szCs w:val="18"/>
              </w:rPr>
            </w:pPr>
            <w:r w:rsidRPr="001677C7">
              <w:rPr>
                <w:rFonts w:eastAsia="Times New Roman" w:cstheme="majorHAnsi"/>
                <w:i w:val="0"/>
                <w:sz w:val="18"/>
                <w:szCs w:val="18"/>
              </w:rPr>
              <w:t>4</w:t>
            </w:r>
            <w:r w:rsidR="00A7075E" w:rsidRPr="001677C7">
              <w:rPr>
                <w:rFonts w:eastAsia="Times New Roman" w:cstheme="majorHAnsi"/>
                <w:i w:val="0"/>
                <w:sz w:val="18"/>
                <w:szCs w:val="18"/>
              </w:rPr>
              <w:t>8</w:t>
            </w:r>
          </w:p>
        </w:tc>
        <w:tc>
          <w:tcPr>
            <w:tcW w:w="1276" w:type="dxa"/>
            <w:tcBorders>
              <w:bottom w:val="none" w:sz="0" w:space="0" w:color="auto"/>
            </w:tcBorders>
            <w:noWrap/>
            <w:hideMark/>
          </w:tcPr>
          <w:p w14:paraId="79FEA289" w14:textId="60B3EE89" w:rsidR="00A97C01" w:rsidRPr="001677C7" w:rsidRDefault="00A7075E" w:rsidP="00E647F4">
            <w:pPr>
              <w:jc w:val="center"/>
              <w:rPr>
                <w:rFonts w:eastAsia="Times New Roman" w:cstheme="majorHAnsi"/>
                <w:i w:val="0"/>
                <w:sz w:val="18"/>
                <w:szCs w:val="18"/>
              </w:rPr>
            </w:pPr>
            <w:r w:rsidRPr="001677C7">
              <w:rPr>
                <w:rFonts w:eastAsia="Times New Roman" w:cstheme="majorHAnsi"/>
                <w:i w:val="0"/>
                <w:sz w:val="18"/>
                <w:szCs w:val="18"/>
              </w:rPr>
              <w:t>49</w:t>
            </w:r>
          </w:p>
        </w:tc>
      </w:tr>
      <w:tr w:rsidR="001D0139" w:rsidRPr="001677C7" w14:paraId="7FEA755F"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163350B9" w14:textId="77777777" w:rsidR="00A97C01" w:rsidRPr="001677C7" w:rsidRDefault="009A1D8F" w:rsidP="001631FC">
            <w:pPr>
              <w:rPr>
                <w:rFonts w:eastAsia="Times New Roman" w:cstheme="majorHAnsi"/>
                <w:i w:val="0"/>
                <w:color w:val="000000"/>
                <w:sz w:val="18"/>
                <w:szCs w:val="18"/>
              </w:rPr>
            </w:pPr>
            <w:r w:rsidRPr="001677C7">
              <w:rPr>
                <w:rFonts w:eastAsia="Times New Roman" w:cstheme="majorHAnsi"/>
                <w:i w:val="0"/>
                <w:color w:val="000000"/>
                <w:sz w:val="18"/>
                <w:szCs w:val="18"/>
              </w:rPr>
              <w:t>Productivity</w:t>
            </w:r>
          </w:p>
        </w:tc>
        <w:tc>
          <w:tcPr>
            <w:tcW w:w="1338" w:type="dxa"/>
            <w:tcBorders>
              <w:left w:val="nil"/>
              <w:bottom w:val="none" w:sz="0" w:space="0" w:color="auto"/>
            </w:tcBorders>
            <w:noWrap/>
            <w:hideMark/>
          </w:tcPr>
          <w:p w14:paraId="49AC8201" w14:textId="47FEE0CC"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29</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7A042E10" w14:textId="6438DD2B"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49</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0D680384" w14:textId="39FDA279"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21</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6A5BA16A" w14:textId="622A49D3" w:rsidR="00A97C01" w:rsidRPr="001677C7" w:rsidRDefault="00304A04" w:rsidP="00E647F4">
            <w:pPr>
              <w:jc w:val="center"/>
              <w:rPr>
                <w:rFonts w:eastAsia="Times New Roman" w:cstheme="majorHAnsi"/>
                <w:i w:val="0"/>
                <w:sz w:val="18"/>
                <w:szCs w:val="18"/>
              </w:rPr>
            </w:pPr>
            <w:r w:rsidRPr="001677C7">
              <w:rPr>
                <w:rFonts w:eastAsia="Times New Roman" w:cstheme="majorHAnsi"/>
                <w:i w:val="0"/>
                <w:sz w:val="18"/>
                <w:szCs w:val="18"/>
              </w:rPr>
              <w:t>5</w:t>
            </w:r>
            <w:r w:rsidR="00A7075E" w:rsidRPr="001677C7">
              <w:rPr>
                <w:rFonts w:eastAsia="Times New Roman" w:cstheme="majorHAnsi"/>
                <w:i w:val="0"/>
                <w:sz w:val="18"/>
                <w:szCs w:val="18"/>
              </w:rPr>
              <w:t>4</w:t>
            </w:r>
          </w:p>
        </w:tc>
        <w:tc>
          <w:tcPr>
            <w:tcW w:w="1276" w:type="dxa"/>
            <w:tcBorders>
              <w:bottom w:val="none" w:sz="0" w:space="0" w:color="auto"/>
            </w:tcBorders>
            <w:noWrap/>
            <w:hideMark/>
          </w:tcPr>
          <w:p w14:paraId="584C3DC4" w14:textId="57718DF6" w:rsidR="00A97C01" w:rsidRPr="001677C7" w:rsidRDefault="008A5913" w:rsidP="00E647F4">
            <w:pPr>
              <w:jc w:val="center"/>
              <w:rPr>
                <w:rFonts w:eastAsia="Times New Roman" w:cstheme="majorHAnsi"/>
                <w:i w:val="0"/>
                <w:sz w:val="18"/>
                <w:szCs w:val="18"/>
              </w:rPr>
            </w:pPr>
            <w:r w:rsidRPr="001677C7">
              <w:rPr>
                <w:rFonts w:eastAsia="Times New Roman" w:cstheme="majorHAnsi"/>
                <w:i w:val="0"/>
                <w:sz w:val="18"/>
                <w:szCs w:val="18"/>
              </w:rPr>
              <w:t>5</w:t>
            </w:r>
            <w:r w:rsidR="00A7075E" w:rsidRPr="001677C7">
              <w:rPr>
                <w:rFonts w:eastAsia="Times New Roman" w:cstheme="majorHAnsi"/>
                <w:i w:val="0"/>
                <w:sz w:val="18"/>
                <w:szCs w:val="18"/>
              </w:rPr>
              <w:t>5</w:t>
            </w:r>
          </w:p>
        </w:tc>
      </w:tr>
      <w:tr w:rsidR="001D0139" w:rsidRPr="001677C7" w14:paraId="1AB7E379"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60A5B04D" w14:textId="77777777" w:rsidR="00A97C01" w:rsidRPr="001677C7" w:rsidRDefault="009A1D8F" w:rsidP="001631FC">
            <w:pPr>
              <w:rPr>
                <w:rFonts w:eastAsia="Times New Roman" w:cstheme="majorHAnsi"/>
                <w:i w:val="0"/>
                <w:color w:val="000000"/>
                <w:sz w:val="18"/>
                <w:szCs w:val="18"/>
              </w:rPr>
            </w:pPr>
            <w:r w:rsidRPr="001677C7">
              <w:rPr>
                <w:rFonts w:eastAsia="Times New Roman" w:cstheme="majorHAnsi"/>
                <w:i w:val="0"/>
                <w:color w:val="000000"/>
                <w:sz w:val="18"/>
                <w:szCs w:val="18"/>
              </w:rPr>
              <w:t>Employment level</w:t>
            </w:r>
          </w:p>
        </w:tc>
        <w:tc>
          <w:tcPr>
            <w:tcW w:w="1338" w:type="dxa"/>
            <w:tcBorders>
              <w:left w:val="nil"/>
              <w:bottom w:val="none" w:sz="0" w:space="0" w:color="auto"/>
            </w:tcBorders>
            <w:noWrap/>
            <w:hideMark/>
          </w:tcPr>
          <w:p w14:paraId="4F695E4D" w14:textId="1CD6702D"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26</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18539222" w14:textId="63166072" w:rsidR="00A97C01" w:rsidRPr="001677C7" w:rsidRDefault="00A7075E" w:rsidP="00367060">
            <w:pPr>
              <w:jc w:val="center"/>
              <w:rPr>
                <w:rFonts w:eastAsia="Times New Roman" w:cstheme="majorHAnsi"/>
                <w:i w:val="0"/>
                <w:color w:val="000000"/>
                <w:sz w:val="18"/>
                <w:szCs w:val="18"/>
              </w:rPr>
            </w:pPr>
            <w:r w:rsidRPr="001677C7">
              <w:rPr>
                <w:rFonts w:eastAsia="Times New Roman" w:cstheme="majorHAnsi"/>
                <w:i w:val="0"/>
                <w:color w:val="000000"/>
                <w:sz w:val="18"/>
                <w:szCs w:val="18"/>
              </w:rPr>
              <w:t>51</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5919D3E1" w14:textId="36F8AD08"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23</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4EE23B0D" w14:textId="0F64A41F" w:rsidR="00A97C01" w:rsidRPr="001677C7" w:rsidRDefault="00A7075E" w:rsidP="00E647F4">
            <w:pPr>
              <w:jc w:val="center"/>
              <w:rPr>
                <w:rFonts w:eastAsia="Times New Roman" w:cstheme="majorHAnsi"/>
                <w:i w:val="0"/>
                <w:sz w:val="18"/>
                <w:szCs w:val="18"/>
              </w:rPr>
            </w:pPr>
            <w:r w:rsidRPr="001677C7">
              <w:rPr>
                <w:rFonts w:eastAsia="Times New Roman" w:cstheme="majorHAnsi"/>
                <w:i w:val="0"/>
                <w:sz w:val="18"/>
                <w:szCs w:val="18"/>
              </w:rPr>
              <w:t>52</w:t>
            </w:r>
          </w:p>
        </w:tc>
        <w:tc>
          <w:tcPr>
            <w:tcW w:w="1276" w:type="dxa"/>
            <w:tcBorders>
              <w:bottom w:val="none" w:sz="0" w:space="0" w:color="auto"/>
            </w:tcBorders>
            <w:noWrap/>
            <w:hideMark/>
          </w:tcPr>
          <w:p w14:paraId="5800332B" w14:textId="44CC873E" w:rsidR="00A97C01" w:rsidRPr="001677C7" w:rsidRDefault="00A72C89" w:rsidP="00E647F4">
            <w:pPr>
              <w:jc w:val="center"/>
              <w:rPr>
                <w:rFonts w:eastAsia="Times New Roman" w:cstheme="majorHAnsi"/>
                <w:i w:val="0"/>
                <w:sz w:val="18"/>
                <w:szCs w:val="18"/>
              </w:rPr>
            </w:pPr>
            <w:r w:rsidRPr="001677C7">
              <w:rPr>
                <w:rFonts w:eastAsia="Times New Roman" w:cstheme="majorHAnsi"/>
                <w:i w:val="0"/>
                <w:sz w:val="18"/>
                <w:szCs w:val="18"/>
              </w:rPr>
              <w:t>4</w:t>
            </w:r>
            <w:r w:rsidR="00A7075E" w:rsidRPr="001677C7">
              <w:rPr>
                <w:rFonts w:eastAsia="Times New Roman" w:cstheme="majorHAnsi"/>
                <w:i w:val="0"/>
                <w:sz w:val="18"/>
                <w:szCs w:val="18"/>
              </w:rPr>
              <w:t>8</w:t>
            </w:r>
          </w:p>
        </w:tc>
      </w:tr>
      <w:tr w:rsidR="001D0139" w:rsidRPr="001677C7" w14:paraId="74DD30A1"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1B9E4D2F" w14:textId="77777777" w:rsidR="00A97C01" w:rsidRPr="001677C7" w:rsidRDefault="009A1D8F" w:rsidP="001631FC">
            <w:pPr>
              <w:rPr>
                <w:rFonts w:eastAsia="Times New Roman" w:cstheme="majorHAnsi"/>
                <w:i w:val="0"/>
                <w:color w:val="000000"/>
                <w:sz w:val="18"/>
                <w:szCs w:val="18"/>
              </w:rPr>
            </w:pPr>
            <w:r w:rsidRPr="001677C7">
              <w:rPr>
                <w:rFonts w:eastAsia="Times New Roman" w:cstheme="majorHAnsi"/>
                <w:i w:val="0"/>
                <w:color w:val="000000"/>
                <w:sz w:val="18"/>
                <w:szCs w:val="18"/>
              </w:rPr>
              <w:t>Labor availability</w:t>
            </w:r>
          </w:p>
        </w:tc>
        <w:tc>
          <w:tcPr>
            <w:tcW w:w="1338" w:type="dxa"/>
            <w:tcBorders>
              <w:left w:val="nil"/>
              <w:bottom w:val="none" w:sz="0" w:space="0" w:color="auto"/>
            </w:tcBorders>
            <w:noWrap/>
            <w:hideMark/>
          </w:tcPr>
          <w:p w14:paraId="2303CEB4" w14:textId="08D0D5BD"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12</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641DA5EE" w14:textId="12F60853"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5</w:t>
            </w:r>
            <w:r w:rsidR="00A7075E" w:rsidRPr="001677C7">
              <w:rPr>
                <w:rFonts w:eastAsia="Times New Roman" w:cstheme="majorHAnsi"/>
                <w:i w:val="0"/>
                <w:color w:val="000000"/>
                <w:sz w:val="18"/>
                <w:szCs w:val="18"/>
              </w:rPr>
              <w:t>8</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607393CB" w14:textId="1C2501C4"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30</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4CF9C802" w14:textId="4386993A" w:rsidR="00A97C01" w:rsidRPr="001677C7" w:rsidRDefault="00A7075E" w:rsidP="00E647F4">
            <w:pPr>
              <w:jc w:val="center"/>
              <w:rPr>
                <w:rFonts w:eastAsia="Times New Roman" w:cstheme="majorHAnsi"/>
                <w:i w:val="0"/>
                <w:sz w:val="18"/>
                <w:szCs w:val="18"/>
              </w:rPr>
            </w:pPr>
            <w:r w:rsidRPr="001677C7">
              <w:rPr>
                <w:rFonts w:eastAsia="Times New Roman" w:cstheme="majorHAnsi"/>
                <w:i w:val="0"/>
                <w:sz w:val="18"/>
                <w:szCs w:val="18"/>
              </w:rPr>
              <w:t>41</w:t>
            </w:r>
          </w:p>
        </w:tc>
        <w:tc>
          <w:tcPr>
            <w:tcW w:w="1276" w:type="dxa"/>
            <w:tcBorders>
              <w:bottom w:val="none" w:sz="0" w:space="0" w:color="auto"/>
            </w:tcBorders>
            <w:noWrap/>
            <w:hideMark/>
          </w:tcPr>
          <w:p w14:paraId="257AD8D5" w14:textId="2C3C60AF" w:rsidR="00A97C01" w:rsidRPr="001677C7" w:rsidRDefault="00304A04" w:rsidP="00E647F4">
            <w:pPr>
              <w:jc w:val="center"/>
              <w:rPr>
                <w:rFonts w:eastAsia="Times New Roman" w:cstheme="majorHAnsi"/>
                <w:i w:val="0"/>
                <w:sz w:val="18"/>
                <w:szCs w:val="18"/>
              </w:rPr>
            </w:pPr>
            <w:r w:rsidRPr="001677C7">
              <w:rPr>
                <w:rFonts w:eastAsia="Times New Roman" w:cstheme="majorHAnsi"/>
                <w:i w:val="0"/>
                <w:sz w:val="18"/>
                <w:szCs w:val="18"/>
              </w:rPr>
              <w:t>3</w:t>
            </w:r>
            <w:r w:rsidR="00A7075E" w:rsidRPr="001677C7">
              <w:rPr>
                <w:rFonts w:eastAsia="Times New Roman" w:cstheme="majorHAnsi"/>
                <w:i w:val="0"/>
                <w:sz w:val="18"/>
                <w:szCs w:val="18"/>
              </w:rPr>
              <w:t>2</w:t>
            </w:r>
          </w:p>
        </w:tc>
      </w:tr>
      <w:tr w:rsidR="001D0139" w:rsidRPr="001677C7" w14:paraId="187D85BC"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649F74BE" w14:textId="5216D4B8" w:rsidR="00A97C01" w:rsidRPr="001677C7" w:rsidRDefault="009A1D8F" w:rsidP="001631FC">
            <w:pPr>
              <w:rPr>
                <w:rFonts w:eastAsia="Times New Roman" w:cstheme="majorHAnsi"/>
                <w:i w:val="0"/>
                <w:color w:val="000000"/>
                <w:sz w:val="18"/>
                <w:szCs w:val="18"/>
              </w:rPr>
            </w:pPr>
            <w:r w:rsidRPr="001677C7">
              <w:rPr>
                <w:rFonts w:eastAsia="Times New Roman" w:cstheme="majorHAnsi"/>
                <w:i w:val="0"/>
                <w:color w:val="000000"/>
                <w:sz w:val="18"/>
                <w:szCs w:val="18"/>
              </w:rPr>
              <w:t xml:space="preserve">Selling </w:t>
            </w:r>
            <w:r w:rsidR="00097993" w:rsidRPr="001677C7">
              <w:rPr>
                <w:rFonts w:eastAsia="Times New Roman" w:cstheme="majorHAnsi"/>
                <w:i w:val="0"/>
                <w:color w:val="000000"/>
                <w:sz w:val="18"/>
                <w:szCs w:val="18"/>
              </w:rPr>
              <w:t>p</w:t>
            </w:r>
            <w:r w:rsidRPr="001677C7">
              <w:rPr>
                <w:rFonts w:eastAsia="Times New Roman" w:cstheme="majorHAnsi"/>
                <w:i w:val="0"/>
                <w:color w:val="000000"/>
                <w:sz w:val="18"/>
                <w:szCs w:val="18"/>
              </w:rPr>
              <w:t>rices</w:t>
            </w:r>
          </w:p>
        </w:tc>
        <w:tc>
          <w:tcPr>
            <w:tcW w:w="1338" w:type="dxa"/>
            <w:tcBorders>
              <w:left w:val="nil"/>
              <w:bottom w:val="none" w:sz="0" w:space="0" w:color="auto"/>
            </w:tcBorders>
            <w:noWrap/>
            <w:hideMark/>
          </w:tcPr>
          <w:p w14:paraId="544E785C" w14:textId="50142DD9"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53</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616C4B5E" w14:textId="63CC2ECA"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38</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12944F36" w14:textId="3904CBA0"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9</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5EAF79F8" w14:textId="4C29B72C" w:rsidR="00A97C01" w:rsidRPr="001677C7" w:rsidRDefault="00304A04" w:rsidP="00E647F4">
            <w:pPr>
              <w:jc w:val="center"/>
              <w:rPr>
                <w:rFonts w:eastAsia="Times New Roman" w:cstheme="majorHAnsi"/>
                <w:i w:val="0"/>
                <w:sz w:val="18"/>
                <w:szCs w:val="18"/>
              </w:rPr>
            </w:pPr>
            <w:r w:rsidRPr="001677C7">
              <w:rPr>
                <w:rFonts w:eastAsia="Times New Roman" w:cstheme="majorHAnsi"/>
                <w:i w:val="0"/>
                <w:sz w:val="18"/>
                <w:szCs w:val="18"/>
              </w:rPr>
              <w:t>7</w:t>
            </w:r>
            <w:r w:rsidR="00A7075E" w:rsidRPr="001677C7">
              <w:rPr>
                <w:rFonts w:eastAsia="Times New Roman" w:cstheme="majorHAnsi"/>
                <w:i w:val="0"/>
                <w:sz w:val="18"/>
                <w:szCs w:val="18"/>
              </w:rPr>
              <w:t>2</w:t>
            </w:r>
          </w:p>
        </w:tc>
        <w:tc>
          <w:tcPr>
            <w:tcW w:w="1276" w:type="dxa"/>
            <w:tcBorders>
              <w:bottom w:val="none" w:sz="0" w:space="0" w:color="auto"/>
            </w:tcBorders>
            <w:noWrap/>
            <w:hideMark/>
          </w:tcPr>
          <w:p w14:paraId="0CE71782" w14:textId="74E6F771" w:rsidR="00A97C01" w:rsidRPr="001677C7" w:rsidRDefault="008A5913" w:rsidP="00E647F4">
            <w:pPr>
              <w:jc w:val="center"/>
              <w:rPr>
                <w:rFonts w:eastAsia="Times New Roman" w:cstheme="majorHAnsi"/>
                <w:i w:val="0"/>
                <w:sz w:val="18"/>
                <w:szCs w:val="18"/>
              </w:rPr>
            </w:pPr>
            <w:r w:rsidRPr="001677C7">
              <w:rPr>
                <w:rFonts w:eastAsia="Times New Roman" w:cstheme="majorHAnsi"/>
                <w:i w:val="0"/>
                <w:sz w:val="18"/>
                <w:szCs w:val="18"/>
              </w:rPr>
              <w:t>7</w:t>
            </w:r>
            <w:r w:rsidR="00A7075E" w:rsidRPr="001677C7">
              <w:rPr>
                <w:rFonts w:eastAsia="Times New Roman" w:cstheme="majorHAnsi"/>
                <w:i w:val="0"/>
                <w:sz w:val="18"/>
                <w:szCs w:val="18"/>
              </w:rPr>
              <w:t>0</w:t>
            </w:r>
          </w:p>
        </w:tc>
      </w:tr>
      <w:tr w:rsidR="001D0139" w:rsidRPr="001677C7" w14:paraId="3D7C383F"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228036EB" w14:textId="743790C5" w:rsidR="00A97C01" w:rsidRPr="001677C7" w:rsidRDefault="009A1D8F" w:rsidP="001631FC">
            <w:pPr>
              <w:rPr>
                <w:rFonts w:eastAsia="Times New Roman" w:cstheme="majorHAnsi"/>
                <w:i w:val="0"/>
                <w:color w:val="000000"/>
                <w:sz w:val="18"/>
                <w:szCs w:val="18"/>
              </w:rPr>
            </w:pPr>
            <w:r w:rsidRPr="001677C7">
              <w:rPr>
                <w:rFonts w:eastAsia="Times New Roman" w:cstheme="majorHAnsi"/>
                <w:i w:val="0"/>
                <w:color w:val="000000"/>
                <w:sz w:val="18"/>
                <w:szCs w:val="18"/>
              </w:rPr>
              <w:t xml:space="preserve">Input </w:t>
            </w:r>
            <w:r w:rsidR="00097993" w:rsidRPr="001677C7">
              <w:rPr>
                <w:rFonts w:eastAsia="Times New Roman" w:cstheme="majorHAnsi"/>
                <w:i w:val="0"/>
                <w:color w:val="000000"/>
                <w:sz w:val="18"/>
                <w:szCs w:val="18"/>
              </w:rPr>
              <w:t>c</w:t>
            </w:r>
            <w:r w:rsidRPr="001677C7">
              <w:rPr>
                <w:rFonts w:eastAsia="Times New Roman" w:cstheme="majorHAnsi"/>
                <w:i w:val="0"/>
                <w:color w:val="000000"/>
                <w:sz w:val="18"/>
                <w:szCs w:val="18"/>
              </w:rPr>
              <w:t>osts</w:t>
            </w:r>
          </w:p>
        </w:tc>
        <w:tc>
          <w:tcPr>
            <w:tcW w:w="1338" w:type="dxa"/>
            <w:tcBorders>
              <w:left w:val="nil"/>
              <w:bottom w:val="none" w:sz="0" w:space="0" w:color="auto"/>
            </w:tcBorders>
            <w:noWrap/>
            <w:hideMark/>
          </w:tcPr>
          <w:p w14:paraId="2BC7A300" w14:textId="2A0C186F"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73</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24C4F15F" w14:textId="29D3FDB6"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25</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326C9018" w14:textId="4B8B3E8B" w:rsidR="00A97C01" w:rsidRPr="001677C7" w:rsidRDefault="008A591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2</w:t>
            </w:r>
            <w:r w:rsidR="00A97C01" w:rsidRPr="001677C7">
              <w:rPr>
                <w:rFonts w:eastAsia="Times New Roman" w:cstheme="majorHAnsi"/>
                <w:i w:val="0"/>
                <w:color w:val="000000"/>
                <w:sz w:val="18"/>
                <w:szCs w:val="18"/>
              </w:rPr>
              <w:t>%</w:t>
            </w:r>
          </w:p>
        </w:tc>
        <w:tc>
          <w:tcPr>
            <w:tcW w:w="1338" w:type="dxa"/>
            <w:tcBorders>
              <w:bottom w:val="none" w:sz="0" w:space="0" w:color="auto"/>
            </w:tcBorders>
            <w:noWrap/>
            <w:hideMark/>
          </w:tcPr>
          <w:p w14:paraId="09E0C69C" w14:textId="08A51BAC" w:rsidR="00A97C01" w:rsidRPr="001677C7" w:rsidRDefault="00304A04" w:rsidP="00E647F4">
            <w:pPr>
              <w:jc w:val="center"/>
              <w:rPr>
                <w:rFonts w:eastAsia="Times New Roman" w:cstheme="majorHAnsi"/>
                <w:i w:val="0"/>
                <w:sz w:val="18"/>
                <w:szCs w:val="18"/>
              </w:rPr>
            </w:pPr>
            <w:r w:rsidRPr="001677C7">
              <w:rPr>
                <w:rFonts w:eastAsia="Times New Roman" w:cstheme="majorHAnsi"/>
                <w:i w:val="0"/>
                <w:sz w:val="18"/>
                <w:szCs w:val="18"/>
              </w:rPr>
              <w:t>8</w:t>
            </w:r>
            <w:r w:rsidR="00A7075E" w:rsidRPr="001677C7">
              <w:rPr>
                <w:rFonts w:eastAsia="Times New Roman" w:cstheme="majorHAnsi"/>
                <w:i w:val="0"/>
                <w:sz w:val="18"/>
                <w:szCs w:val="18"/>
              </w:rPr>
              <w:t>6</w:t>
            </w:r>
          </w:p>
        </w:tc>
        <w:tc>
          <w:tcPr>
            <w:tcW w:w="1276" w:type="dxa"/>
            <w:tcBorders>
              <w:bottom w:val="none" w:sz="0" w:space="0" w:color="auto"/>
            </w:tcBorders>
            <w:noWrap/>
            <w:hideMark/>
          </w:tcPr>
          <w:p w14:paraId="0F2FF2A4" w14:textId="02622F27" w:rsidR="00A97C01" w:rsidRPr="001677C7" w:rsidRDefault="008A5913" w:rsidP="00E647F4">
            <w:pPr>
              <w:jc w:val="center"/>
              <w:rPr>
                <w:rFonts w:eastAsia="Times New Roman" w:cstheme="majorHAnsi"/>
                <w:i w:val="0"/>
                <w:sz w:val="18"/>
                <w:szCs w:val="18"/>
              </w:rPr>
            </w:pPr>
            <w:r w:rsidRPr="001677C7">
              <w:rPr>
                <w:rFonts w:eastAsia="Times New Roman" w:cstheme="majorHAnsi"/>
                <w:i w:val="0"/>
                <w:sz w:val="18"/>
                <w:szCs w:val="18"/>
              </w:rPr>
              <w:t>8</w:t>
            </w:r>
            <w:r w:rsidR="00A7075E" w:rsidRPr="001677C7">
              <w:rPr>
                <w:rFonts w:eastAsia="Times New Roman" w:cstheme="majorHAnsi"/>
                <w:i w:val="0"/>
                <w:sz w:val="18"/>
                <w:szCs w:val="18"/>
              </w:rPr>
              <w:t>0</w:t>
            </w:r>
          </w:p>
        </w:tc>
      </w:tr>
      <w:tr w:rsidR="001D0139" w:rsidRPr="001677C7" w14:paraId="23245E2D" w14:textId="77777777" w:rsidTr="009A1D8F">
        <w:trPr>
          <w:cnfStyle w:val="100000000000" w:firstRow="1" w:lastRow="0" w:firstColumn="0" w:lastColumn="0" w:oddVBand="0" w:evenVBand="0" w:oddHBand="0" w:evenHBand="0" w:firstRowFirstColumn="0" w:firstRowLastColumn="0" w:lastRowFirstColumn="0" w:lastRowLastColumn="0"/>
          <w:trHeight w:val="477"/>
          <w:tblHeader/>
          <w:jc w:val="center"/>
        </w:trPr>
        <w:tc>
          <w:tcPr>
            <w:tcW w:w="3897" w:type="dxa"/>
            <w:tcBorders>
              <w:bottom w:val="single" w:sz="4" w:space="0" w:color="auto"/>
              <w:right w:val="nil"/>
            </w:tcBorders>
            <w:noWrap/>
            <w:hideMark/>
          </w:tcPr>
          <w:p w14:paraId="6186AB57" w14:textId="336C2CB6" w:rsidR="00A97C01" w:rsidRPr="001677C7" w:rsidRDefault="00174C4B" w:rsidP="001631FC">
            <w:pPr>
              <w:rPr>
                <w:rFonts w:eastAsia="Times New Roman" w:cstheme="majorHAnsi"/>
                <w:i w:val="0"/>
                <w:color w:val="000000"/>
                <w:sz w:val="18"/>
                <w:szCs w:val="18"/>
              </w:rPr>
            </w:pPr>
            <w:r w:rsidRPr="001677C7">
              <w:rPr>
                <w:rFonts w:eastAsia="Times New Roman" w:cstheme="majorHAnsi"/>
                <w:i w:val="0"/>
                <w:color w:val="000000"/>
                <w:sz w:val="18"/>
                <w:szCs w:val="18"/>
              </w:rPr>
              <w:t>Space occupied (</w:t>
            </w:r>
            <w:r w:rsidR="00097993" w:rsidRPr="001677C7">
              <w:rPr>
                <w:rFonts w:eastAsia="Times New Roman" w:cstheme="majorHAnsi"/>
                <w:i w:val="0"/>
                <w:color w:val="000000"/>
                <w:sz w:val="18"/>
                <w:szCs w:val="18"/>
              </w:rPr>
              <w:t>s</w:t>
            </w:r>
            <w:r w:rsidRPr="001677C7">
              <w:rPr>
                <w:rFonts w:eastAsia="Times New Roman" w:cstheme="majorHAnsi"/>
                <w:i w:val="0"/>
                <w:color w:val="000000"/>
                <w:sz w:val="18"/>
                <w:szCs w:val="18"/>
              </w:rPr>
              <w:t>quare footage)</w:t>
            </w:r>
            <w:r w:rsidR="009A1D8F" w:rsidRPr="001677C7">
              <w:rPr>
                <w:rFonts w:eastAsia="Times New Roman" w:cstheme="majorHAnsi"/>
                <w:i w:val="0"/>
                <w:color w:val="000000"/>
                <w:sz w:val="18"/>
                <w:szCs w:val="18"/>
              </w:rPr>
              <w:br/>
              <w:t>Exports (sales for foreign clients)</w:t>
            </w:r>
          </w:p>
        </w:tc>
        <w:tc>
          <w:tcPr>
            <w:tcW w:w="1338" w:type="dxa"/>
            <w:tcBorders>
              <w:left w:val="nil"/>
              <w:bottom w:val="none" w:sz="0" w:space="0" w:color="auto"/>
            </w:tcBorders>
            <w:noWrap/>
            <w:hideMark/>
          </w:tcPr>
          <w:p w14:paraId="06681C60" w14:textId="0C84D0C9"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9</w:t>
            </w:r>
            <w:r w:rsidR="00A97C01" w:rsidRPr="001677C7">
              <w:rPr>
                <w:rFonts w:eastAsia="Times New Roman" w:cstheme="majorHAnsi"/>
                <w:i w:val="0"/>
                <w:color w:val="000000"/>
                <w:sz w:val="18"/>
                <w:szCs w:val="18"/>
              </w:rPr>
              <w:t>%</w:t>
            </w:r>
            <w:r w:rsidR="000631E3" w:rsidRPr="001677C7">
              <w:rPr>
                <w:rFonts w:eastAsia="Times New Roman" w:cstheme="majorHAnsi"/>
                <w:i w:val="0"/>
                <w:color w:val="000000"/>
                <w:sz w:val="18"/>
                <w:szCs w:val="18"/>
              </w:rPr>
              <w:br/>
            </w:r>
            <w:r w:rsidRPr="001677C7">
              <w:rPr>
                <w:rFonts w:eastAsia="Times New Roman" w:cstheme="majorHAnsi"/>
                <w:i w:val="0"/>
                <w:color w:val="000000"/>
                <w:sz w:val="18"/>
                <w:szCs w:val="18"/>
              </w:rPr>
              <w:t>2</w:t>
            </w:r>
            <w:r w:rsidR="009A1D8F" w:rsidRPr="001677C7">
              <w:rPr>
                <w:rFonts w:eastAsia="Times New Roman" w:cstheme="majorHAnsi"/>
                <w:i w:val="0"/>
                <w:color w:val="000000"/>
                <w:sz w:val="18"/>
                <w:szCs w:val="18"/>
              </w:rPr>
              <w:t>%</w:t>
            </w:r>
          </w:p>
        </w:tc>
        <w:tc>
          <w:tcPr>
            <w:tcW w:w="1338" w:type="dxa"/>
            <w:tcBorders>
              <w:bottom w:val="none" w:sz="0" w:space="0" w:color="auto"/>
            </w:tcBorders>
            <w:noWrap/>
            <w:hideMark/>
          </w:tcPr>
          <w:p w14:paraId="63153456" w14:textId="32F8F396" w:rsidR="00A97C01" w:rsidRPr="001677C7" w:rsidRDefault="000631E3"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8</w:t>
            </w:r>
            <w:r w:rsidR="00A7075E" w:rsidRPr="001677C7">
              <w:rPr>
                <w:rFonts w:eastAsia="Times New Roman" w:cstheme="majorHAnsi"/>
                <w:i w:val="0"/>
                <w:color w:val="000000"/>
                <w:sz w:val="18"/>
                <w:szCs w:val="18"/>
              </w:rPr>
              <w:t>1</w:t>
            </w:r>
            <w:r w:rsidR="00A97C01" w:rsidRPr="001677C7">
              <w:rPr>
                <w:rFonts w:eastAsia="Times New Roman" w:cstheme="majorHAnsi"/>
                <w:i w:val="0"/>
                <w:color w:val="000000"/>
                <w:sz w:val="18"/>
                <w:szCs w:val="18"/>
              </w:rPr>
              <w:t>%</w:t>
            </w:r>
            <w:r w:rsidRPr="001677C7">
              <w:rPr>
                <w:rFonts w:eastAsia="Times New Roman" w:cstheme="majorHAnsi"/>
                <w:i w:val="0"/>
                <w:color w:val="000000"/>
                <w:sz w:val="18"/>
                <w:szCs w:val="18"/>
              </w:rPr>
              <w:br/>
            </w:r>
            <w:r w:rsidR="00A7075E" w:rsidRPr="001677C7">
              <w:rPr>
                <w:rFonts w:eastAsia="Times New Roman" w:cstheme="majorHAnsi"/>
                <w:i w:val="0"/>
                <w:color w:val="000000"/>
                <w:sz w:val="18"/>
                <w:szCs w:val="18"/>
              </w:rPr>
              <w:t>85</w:t>
            </w:r>
            <w:r w:rsidR="009A1D8F" w:rsidRPr="001677C7">
              <w:rPr>
                <w:rFonts w:eastAsia="Times New Roman" w:cstheme="majorHAnsi"/>
                <w:i w:val="0"/>
                <w:color w:val="000000"/>
                <w:sz w:val="18"/>
                <w:szCs w:val="18"/>
              </w:rPr>
              <w:t>%</w:t>
            </w:r>
          </w:p>
        </w:tc>
        <w:tc>
          <w:tcPr>
            <w:tcW w:w="1338" w:type="dxa"/>
            <w:tcBorders>
              <w:bottom w:val="none" w:sz="0" w:space="0" w:color="auto"/>
            </w:tcBorders>
            <w:noWrap/>
            <w:hideMark/>
          </w:tcPr>
          <w:p w14:paraId="3F85C08D" w14:textId="4FAF7DE1" w:rsidR="00A97C01" w:rsidRPr="001677C7" w:rsidRDefault="00A7075E" w:rsidP="00E647F4">
            <w:pPr>
              <w:jc w:val="center"/>
              <w:rPr>
                <w:rFonts w:eastAsia="Times New Roman" w:cstheme="majorHAnsi"/>
                <w:i w:val="0"/>
                <w:color w:val="000000"/>
                <w:sz w:val="18"/>
                <w:szCs w:val="18"/>
              </w:rPr>
            </w:pPr>
            <w:r w:rsidRPr="001677C7">
              <w:rPr>
                <w:rFonts w:eastAsia="Times New Roman" w:cstheme="majorHAnsi"/>
                <w:i w:val="0"/>
                <w:color w:val="000000"/>
                <w:sz w:val="18"/>
                <w:szCs w:val="18"/>
              </w:rPr>
              <w:t>10</w:t>
            </w:r>
            <w:r w:rsidR="00A97C01" w:rsidRPr="001677C7">
              <w:rPr>
                <w:rFonts w:eastAsia="Times New Roman" w:cstheme="majorHAnsi"/>
                <w:i w:val="0"/>
                <w:color w:val="000000"/>
                <w:sz w:val="18"/>
                <w:szCs w:val="18"/>
              </w:rPr>
              <w:t>%</w:t>
            </w:r>
            <w:r w:rsidR="000631E3" w:rsidRPr="001677C7">
              <w:rPr>
                <w:rFonts w:eastAsia="Times New Roman" w:cstheme="majorHAnsi"/>
                <w:i w:val="0"/>
                <w:color w:val="000000"/>
                <w:sz w:val="18"/>
                <w:szCs w:val="18"/>
              </w:rPr>
              <w:br/>
            </w:r>
            <w:r w:rsidRPr="001677C7">
              <w:rPr>
                <w:rFonts w:eastAsia="Times New Roman" w:cstheme="majorHAnsi"/>
                <w:i w:val="0"/>
                <w:color w:val="000000"/>
                <w:sz w:val="18"/>
                <w:szCs w:val="18"/>
              </w:rPr>
              <w:t>13</w:t>
            </w:r>
            <w:r w:rsidR="009A1D8F" w:rsidRPr="001677C7">
              <w:rPr>
                <w:rFonts w:eastAsia="Times New Roman" w:cstheme="majorHAnsi"/>
                <w:i w:val="0"/>
                <w:color w:val="000000"/>
                <w:sz w:val="18"/>
                <w:szCs w:val="18"/>
              </w:rPr>
              <w:t>%</w:t>
            </w:r>
          </w:p>
        </w:tc>
        <w:tc>
          <w:tcPr>
            <w:tcW w:w="1338" w:type="dxa"/>
            <w:tcBorders>
              <w:bottom w:val="none" w:sz="0" w:space="0" w:color="auto"/>
            </w:tcBorders>
            <w:noWrap/>
            <w:hideMark/>
          </w:tcPr>
          <w:p w14:paraId="0938BDFD" w14:textId="4DFE8D7C" w:rsidR="00A97C01" w:rsidRPr="001677C7" w:rsidRDefault="00D40360" w:rsidP="00E647F4">
            <w:pPr>
              <w:jc w:val="center"/>
              <w:rPr>
                <w:rFonts w:eastAsia="Times New Roman" w:cstheme="majorHAnsi"/>
                <w:i w:val="0"/>
                <w:sz w:val="18"/>
                <w:szCs w:val="18"/>
              </w:rPr>
            </w:pPr>
            <w:r w:rsidRPr="001677C7">
              <w:rPr>
                <w:rFonts w:eastAsia="Times New Roman" w:cstheme="majorHAnsi"/>
                <w:i w:val="0"/>
                <w:sz w:val="18"/>
                <w:szCs w:val="18"/>
              </w:rPr>
              <w:t>5</w:t>
            </w:r>
            <w:r w:rsidR="00F411B9" w:rsidRPr="001677C7">
              <w:rPr>
                <w:rFonts w:eastAsia="Times New Roman" w:cstheme="majorHAnsi"/>
                <w:i w:val="0"/>
                <w:sz w:val="18"/>
                <w:szCs w:val="18"/>
              </w:rPr>
              <w:t>0</w:t>
            </w:r>
            <w:r w:rsidR="000631E3" w:rsidRPr="001677C7">
              <w:rPr>
                <w:rFonts w:eastAsia="Times New Roman" w:cstheme="majorHAnsi"/>
                <w:i w:val="0"/>
                <w:sz w:val="18"/>
                <w:szCs w:val="18"/>
              </w:rPr>
              <w:br/>
            </w:r>
            <w:r w:rsidR="00A7075E" w:rsidRPr="001677C7">
              <w:rPr>
                <w:rFonts w:eastAsia="Times New Roman" w:cstheme="majorHAnsi"/>
                <w:i w:val="0"/>
                <w:sz w:val="18"/>
                <w:szCs w:val="18"/>
              </w:rPr>
              <w:t>45</w:t>
            </w:r>
          </w:p>
        </w:tc>
        <w:tc>
          <w:tcPr>
            <w:tcW w:w="1276" w:type="dxa"/>
            <w:tcBorders>
              <w:bottom w:val="none" w:sz="0" w:space="0" w:color="auto"/>
            </w:tcBorders>
            <w:noWrap/>
            <w:hideMark/>
          </w:tcPr>
          <w:p w14:paraId="60DD4170" w14:textId="0345FF8E" w:rsidR="00A97C01" w:rsidRPr="001677C7" w:rsidRDefault="00F411B9" w:rsidP="00E647F4">
            <w:pPr>
              <w:jc w:val="center"/>
              <w:rPr>
                <w:rFonts w:eastAsia="Times New Roman" w:cstheme="majorHAnsi"/>
                <w:i w:val="0"/>
                <w:sz w:val="18"/>
                <w:szCs w:val="18"/>
              </w:rPr>
            </w:pPr>
            <w:r w:rsidRPr="001677C7">
              <w:rPr>
                <w:rFonts w:eastAsia="Times New Roman" w:cstheme="majorHAnsi"/>
                <w:i w:val="0"/>
                <w:sz w:val="18"/>
                <w:szCs w:val="18"/>
              </w:rPr>
              <w:t>5</w:t>
            </w:r>
            <w:r w:rsidR="00A7075E" w:rsidRPr="001677C7">
              <w:rPr>
                <w:rFonts w:eastAsia="Times New Roman" w:cstheme="majorHAnsi"/>
                <w:i w:val="0"/>
                <w:sz w:val="18"/>
                <w:szCs w:val="18"/>
              </w:rPr>
              <w:t>0</w:t>
            </w:r>
            <w:r w:rsidR="00DD0D08" w:rsidRPr="001677C7">
              <w:rPr>
                <w:rFonts w:eastAsia="Times New Roman" w:cstheme="majorHAnsi"/>
                <w:i w:val="0"/>
                <w:sz w:val="18"/>
                <w:szCs w:val="18"/>
              </w:rPr>
              <w:br/>
            </w:r>
            <w:r w:rsidR="00A7075E" w:rsidRPr="001677C7">
              <w:rPr>
                <w:rFonts w:eastAsia="Times New Roman" w:cstheme="majorHAnsi"/>
                <w:i w:val="0"/>
                <w:sz w:val="18"/>
                <w:szCs w:val="18"/>
              </w:rPr>
              <w:t>50</w:t>
            </w:r>
          </w:p>
        </w:tc>
      </w:tr>
    </w:tbl>
    <w:p w14:paraId="453D9AD2" w14:textId="77777777" w:rsidR="00A97C01" w:rsidRPr="001677C7" w:rsidRDefault="00A97C01" w:rsidP="009B3DF5">
      <w:pPr>
        <w:spacing w:after="0" w:line="72" w:lineRule="auto"/>
        <w:contextualSpacing/>
        <w:rPr>
          <w:rFonts w:asciiTheme="majorHAnsi" w:hAnsiTheme="majorHAnsi" w:cstheme="majorHAnsi"/>
        </w:rPr>
      </w:pPr>
    </w:p>
    <w:tbl>
      <w:tblPr>
        <w:tblStyle w:val="PlainTable4"/>
        <w:tblW w:w="10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Comparison Worker's Indicators"/>
        <w:tblDescription w:val="Table showing labor indicators. Forty-seven percent of respondents indicated no changes for wages per worker while 59 percent specified no changes for benefirs per worker."/>
      </w:tblPr>
      <w:tblGrid>
        <w:gridCol w:w="2880"/>
        <w:gridCol w:w="902"/>
        <w:gridCol w:w="1334"/>
        <w:gridCol w:w="1350"/>
        <w:gridCol w:w="1350"/>
        <w:gridCol w:w="1350"/>
        <w:gridCol w:w="1355"/>
      </w:tblGrid>
      <w:tr w:rsidR="00E647F4" w:rsidRPr="001677C7" w14:paraId="15C0300A"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right w:val="nil"/>
            </w:tcBorders>
            <w:shd w:val="clear" w:color="auto" w:fill="BDD6EE" w:themeFill="accent1" w:themeFillTint="66"/>
            <w:noWrap/>
            <w:hideMark/>
          </w:tcPr>
          <w:p w14:paraId="67694626" w14:textId="2DE08A04" w:rsidR="00A97C01" w:rsidRPr="001677C7" w:rsidRDefault="00722892"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Labor i</w:t>
            </w:r>
            <w:r w:rsidR="00531B2D" w:rsidRPr="001677C7">
              <w:rPr>
                <w:rFonts w:asciiTheme="majorHAnsi" w:eastAsia="Times New Roman" w:hAnsiTheme="majorHAnsi" w:cstheme="majorHAnsi"/>
                <w:color w:val="000000"/>
                <w:sz w:val="18"/>
                <w:szCs w:val="18"/>
              </w:rPr>
              <w:t>ndic</w:t>
            </w:r>
            <w:r w:rsidR="0043194C" w:rsidRPr="001677C7">
              <w:rPr>
                <w:rFonts w:asciiTheme="majorHAnsi" w:eastAsia="Times New Roman" w:hAnsiTheme="majorHAnsi" w:cstheme="majorHAnsi"/>
                <w:color w:val="000000"/>
                <w:sz w:val="18"/>
                <w:szCs w:val="18"/>
              </w:rPr>
              <w:t xml:space="preserve">ators last 4 </w:t>
            </w:r>
            <w:proofErr w:type="gramStart"/>
            <w:r w:rsidR="007C7CDC" w:rsidRPr="001677C7">
              <w:rPr>
                <w:rFonts w:asciiTheme="majorHAnsi" w:eastAsia="Times New Roman" w:hAnsiTheme="majorHAnsi" w:cstheme="majorHAnsi"/>
                <w:color w:val="000000"/>
                <w:sz w:val="18"/>
                <w:szCs w:val="18"/>
              </w:rPr>
              <w:t>year</w:t>
            </w:r>
            <w:proofErr w:type="gramEnd"/>
          </w:p>
        </w:tc>
        <w:tc>
          <w:tcPr>
            <w:tcW w:w="902" w:type="dxa"/>
            <w:tcBorders>
              <w:top w:val="single" w:sz="4" w:space="0" w:color="auto"/>
              <w:left w:val="nil"/>
              <w:bottom w:val="single" w:sz="4" w:space="0" w:color="auto"/>
            </w:tcBorders>
            <w:shd w:val="clear" w:color="auto" w:fill="BDD6EE" w:themeFill="accent1" w:themeFillTint="66"/>
            <w:noWrap/>
            <w:hideMark/>
          </w:tcPr>
          <w:p w14:paraId="4CB5142B"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59D392D5"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0</w:t>
            </w:r>
            <w:r w:rsidR="00933559" w:rsidRPr="001677C7">
              <w:rPr>
                <w:rFonts w:asciiTheme="majorHAnsi" w:eastAsia="Times New Roman" w:hAnsiTheme="majorHAnsi" w:cstheme="majorHAnsi"/>
                <w:color w:val="000000"/>
                <w:sz w:val="18"/>
                <w:szCs w:val="18"/>
              </w:rPr>
              <w:t>%</w:t>
            </w:r>
          </w:p>
        </w:tc>
        <w:tc>
          <w:tcPr>
            <w:tcW w:w="1350" w:type="dxa"/>
            <w:tcBorders>
              <w:top w:val="single" w:sz="4" w:space="0" w:color="auto"/>
              <w:bottom w:val="single" w:sz="4" w:space="0" w:color="auto"/>
            </w:tcBorders>
            <w:shd w:val="clear" w:color="auto" w:fill="BDD6EE" w:themeFill="accent1" w:themeFillTint="66"/>
            <w:noWrap/>
            <w:hideMark/>
          </w:tcPr>
          <w:p w14:paraId="24B4CDB9"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p>
        </w:tc>
        <w:tc>
          <w:tcPr>
            <w:tcW w:w="1350" w:type="dxa"/>
            <w:tcBorders>
              <w:top w:val="single" w:sz="4" w:space="0" w:color="auto"/>
              <w:bottom w:val="single" w:sz="4" w:space="0" w:color="auto"/>
            </w:tcBorders>
            <w:shd w:val="clear" w:color="auto" w:fill="BDD6EE" w:themeFill="accent1" w:themeFillTint="66"/>
            <w:noWrap/>
            <w:hideMark/>
          </w:tcPr>
          <w:p w14:paraId="4744EB9A"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3A0F5208"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6-9%</w:t>
            </w:r>
          </w:p>
        </w:tc>
        <w:tc>
          <w:tcPr>
            <w:tcW w:w="1355" w:type="dxa"/>
            <w:tcBorders>
              <w:top w:val="single" w:sz="4" w:space="0" w:color="auto"/>
              <w:bottom w:val="single" w:sz="4" w:space="0" w:color="auto"/>
            </w:tcBorders>
            <w:shd w:val="clear" w:color="auto" w:fill="BDD6EE" w:themeFill="accent1" w:themeFillTint="66"/>
            <w:noWrap/>
            <w:hideMark/>
          </w:tcPr>
          <w:p w14:paraId="78CAC3A3"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&gt;10%</w:t>
            </w:r>
          </w:p>
        </w:tc>
      </w:tr>
      <w:tr w:rsidR="001D0139" w:rsidRPr="001677C7" w14:paraId="7DF943B6"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right w:val="nil"/>
            </w:tcBorders>
            <w:noWrap/>
            <w:hideMark/>
          </w:tcPr>
          <w:p w14:paraId="08FFB1CC" w14:textId="77777777" w:rsidR="00A97C01" w:rsidRPr="001677C7" w:rsidRDefault="00A97C01" w:rsidP="001631F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Wages per worker</w:t>
            </w:r>
          </w:p>
        </w:tc>
        <w:tc>
          <w:tcPr>
            <w:tcW w:w="902" w:type="dxa"/>
            <w:tcBorders>
              <w:top w:val="single" w:sz="4" w:space="0" w:color="auto"/>
              <w:left w:val="nil"/>
            </w:tcBorders>
            <w:noWrap/>
            <w:hideMark/>
          </w:tcPr>
          <w:p w14:paraId="5454A17F" w14:textId="02C90314" w:rsidR="00A97C01" w:rsidRPr="001677C7" w:rsidRDefault="00A7075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9</w:t>
            </w:r>
            <w:r w:rsidR="00A97C01" w:rsidRPr="001677C7">
              <w:rPr>
                <w:rFonts w:asciiTheme="majorHAnsi" w:eastAsia="Times New Roman" w:hAnsiTheme="majorHAnsi" w:cstheme="majorHAnsi"/>
                <w:b w:val="0"/>
                <w:color w:val="000000"/>
                <w:sz w:val="18"/>
                <w:szCs w:val="18"/>
              </w:rPr>
              <w:t>%</w:t>
            </w:r>
          </w:p>
        </w:tc>
        <w:tc>
          <w:tcPr>
            <w:tcW w:w="1334" w:type="dxa"/>
            <w:tcBorders>
              <w:top w:val="single" w:sz="4" w:space="0" w:color="auto"/>
            </w:tcBorders>
            <w:noWrap/>
            <w:hideMark/>
          </w:tcPr>
          <w:p w14:paraId="4DC45C6D" w14:textId="78DA4CC6"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9</w:t>
            </w:r>
            <w:r w:rsidR="00A97C01" w:rsidRPr="001677C7">
              <w:rPr>
                <w:rFonts w:asciiTheme="majorHAnsi" w:eastAsia="Times New Roman" w:hAnsiTheme="majorHAnsi" w:cstheme="majorHAnsi"/>
                <w:b w:val="0"/>
                <w:color w:val="000000"/>
                <w:sz w:val="18"/>
                <w:szCs w:val="18"/>
              </w:rPr>
              <w:t>%</w:t>
            </w:r>
          </w:p>
        </w:tc>
        <w:tc>
          <w:tcPr>
            <w:tcW w:w="1350" w:type="dxa"/>
            <w:tcBorders>
              <w:top w:val="single" w:sz="4" w:space="0" w:color="auto"/>
            </w:tcBorders>
            <w:noWrap/>
            <w:hideMark/>
          </w:tcPr>
          <w:p w14:paraId="011AB2E5" w14:textId="0F43219F"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7</w:t>
            </w:r>
            <w:r w:rsidR="00A97C01" w:rsidRPr="001677C7">
              <w:rPr>
                <w:rFonts w:asciiTheme="majorHAnsi" w:eastAsia="Times New Roman" w:hAnsiTheme="majorHAnsi" w:cstheme="majorHAnsi"/>
                <w:b w:val="0"/>
                <w:color w:val="000000"/>
                <w:sz w:val="18"/>
                <w:szCs w:val="18"/>
              </w:rPr>
              <w:t>%</w:t>
            </w:r>
          </w:p>
        </w:tc>
        <w:tc>
          <w:tcPr>
            <w:tcW w:w="1350" w:type="dxa"/>
            <w:tcBorders>
              <w:top w:val="single" w:sz="4" w:space="0" w:color="auto"/>
            </w:tcBorders>
            <w:noWrap/>
            <w:hideMark/>
          </w:tcPr>
          <w:p w14:paraId="784DA0E1" w14:textId="39252F14"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45</w:t>
            </w:r>
            <w:r w:rsidR="00A97C01" w:rsidRPr="001677C7">
              <w:rPr>
                <w:rFonts w:asciiTheme="majorHAnsi" w:eastAsia="Times New Roman" w:hAnsiTheme="majorHAnsi" w:cstheme="majorHAnsi"/>
                <w:b w:val="0"/>
                <w:color w:val="000000"/>
                <w:sz w:val="18"/>
                <w:szCs w:val="18"/>
              </w:rPr>
              <w:t>%</w:t>
            </w:r>
          </w:p>
        </w:tc>
        <w:tc>
          <w:tcPr>
            <w:tcW w:w="1350" w:type="dxa"/>
            <w:tcBorders>
              <w:top w:val="single" w:sz="4" w:space="0" w:color="auto"/>
            </w:tcBorders>
            <w:noWrap/>
            <w:hideMark/>
          </w:tcPr>
          <w:p w14:paraId="5521BF97" w14:textId="7236134B"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20</w:t>
            </w:r>
            <w:r w:rsidR="00A97C01" w:rsidRPr="001677C7">
              <w:rPr>
                <w:rFonts w:asciiTheme="majorHAnsi" w:eastAsia="Times New Roman" w:hAnsiTheme="majorHAnsi" w:cstheme="majorHAnsi"/>
                <w:b w:val="0"/>
                <w:color w:val="000000"/>
                <w:sz w:val="18"/>
                <w:szCs w:val="18"/>
              </w:rPr>
              <w:t>%</w:t>
            </w:r>
          </w:p>
        </w:tc>
        <w:tc>
          <w:tcPr>
            <w:tcW w:w="1355" w:type="dxa"/>
            <w:tcBorders>
              <w:top w:val="single" w:sz="4" w:space="0" w:color="auto"/>
            </w:tcBorders>
            <w:noWrap/>
            <w:hideMark/>
          </w:tcPr>
          <w:p w14:paraId="0ABFDFCC" w14:textId="523998BB" w:rsidR="00A97C01" w:rsidRPr="001677C7" w:rsidRDefault="00D40360"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1</w:t>
            </w:r>
            <w:r w:rsidR="00540208" w:rsidRPr="001677C7">
              <w:rPr>
                <w:rFonts w:asciiTheme="majorHAnsi" w:eastAsia="Times New Roman" w:hAnsiTheme="majorHAnsi" w:cstheme="majorHAnsi"/>
                <w:b w:val="0"/>
                <w:color w:val="000000"/>
                <w:sz w:val="18"/>
                <w:szCs w:val="18"/>
              </w:rPr>
              <w:t>0</w:t>
            </w:r>
            <w:r w:rsidR="00A97C01" w:rsidRPr="001677C7">
              <w:rPr>
                <w:rFonts w:asciiTheme="majorHAnsi" w:eastAsia="Times New Roman" w:hAnsiTheme="majorHAnsi" w:cstheme="majorHAnsi"/>
                <w:b w:val="0"/>
                <w:color w:val="000000"/>
                <w:sz w:val="18"/>
                <w:szCs w:val="18"/>
              </w:rPr>
              <w:t>%</w:t>
            </w:r>
          </w:p>
        </w:tc>
      </w:tr>
      <w:tr w:rsidR="00E647F4" w:rsidRPr="001677C7" w14:paraId="0B4135D7"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right w:val="nil"/>
            </w:tcBorders>
            <w:noWrap/>
            <w:hideMark/>
          </w:tcPr>
          <w:p w14:paraId="5EA79C92" w14:textId="77777777" w:rsidR="00A97C01" w:rsidRPr="001677C7" w:rsidRDefault="00A97C01" w:rsidP="001631F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Benefits per worker</w:t>
            </w:r>
          </w:p>
        </w:tc>
        <w:tc>
          <w:tcPr>
            <w:tcW w:w="902" w:type="dxa"/>
            <w:tcBorders>
              <w:left w:val="nil"/>
            </w:tcBorders>
            <w:noWrap/>
            <w:hideMark/>
          </w:tcPr>
          <w:p w14:paraId="5F2E65D4" w14:textId="05C78187"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5</w:t>
            </w:r>
            <w:r w:rsidR="00A97C01" w:rsidRPr="001677C7">
              <w:rPr>
                <w:rFonts w:asciiTheme="majorHAnsi" w:eastAsia="Times New Roman" w:hAnsiTheme="majorHAnsi" w:cstheme="majorHAnsi"/>
                <w:b w:val="0"/>
                <w:color w:val="000000"/>
                <w:sz w:val="18"/>
                <w:szCs w:val="18"/>
              </w:rPr>
              <w:t>%</w:t>
            </w:r>
          </w:p>
        </w:tc>
        <w:tc>
          <w:tcPr>
            <w:tcW w:w="1334" w:type="dxa"/>
            <w:noWrap/>
            <w:hideMark/>
          </w:tcPr>
          <w:p w14:paraId="12055939" w14:textId="2CAC56EB"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23</w:t>
            </w:r>
            <w:r w:rsidR="00A97C01" w:rsidRPr="001677C7">
              <w:rPr>
                <w:rFonts w:asciiTheme="majorHAnsi" w:eastAsia="Times New Roman" w:hAnsiTheme="majorHAnsi" w:cstheme="majorHAnsi"/>
                <w:b w:val="0"/>
                <w:color w:val="000000"/>
                <w:sz w:val="18"/>
                <w:szCs w:val="18"/>
              </w:rPr>
              <w:t>%</w:t>
            </w:r>
          </w:p>
        </w:tc>
        <w:tc>
          <w:tcPr>
            <w:tcW w:w="1350" w:type="dxa"/>
            <w:noWrap/>
            <w:hideMark/>
          </w:tcPr>
          <w:p w14:paraId="723CA610" w14:textId="122472BD"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8</w:t>
            </w:r>
            <w:r w:rsidR="00A97C01" w:rsidRPr="001677C7">
              <w:rPr>
                <w:rFonts w:asciiTheme="majorHAnsi" w:eastAsia="Times New Roman" w:hAnsiTheme="majorHAnsi" w:cstheme="majorHAnsi"/>
                <w:b w:val="0"/>
                <w:color w:val="000000"/>
                <w:sz w:val="18"/>
                <w:szCs w:val="18"/>
              </w:rPr>
              <w:t>%</w:t>
            </w:r>
          </w:p>
        </w:tc>
        <w:tc>
          <w:tcPr>
            <w:tcW w:w="1350" w:type="dxa"/>
            <w:noWrap/>
            <w:hideMark/>
          </w:tcPr>
          <w:p w14:paraId="1BBBA329" w14:textId="3EBBEA63" w:rsidR="00A97C01" w:rsidRPr="001677C7" w:rsidRDefault="0054020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30</w:t>
            </w:r>
            <w:r w:rsidR="00A97C01" w:rsidRPr="001677C7">
              <w:rPr>
                <w:rFonts w:asciiTheme="majorHAnsi" w:eastAsia="Times New Roman" w:hAnsiTheme="majorHAnsi" w:cstheme="majorHAnsi"/>
                <w:b w:val="0"/>
                <w:color w:val="000000"/>
                <w:sz w:val="18"/>
                <w:szCs w:val="18"/>
              </w:rPr>
              <w:t>%</w:t>
            </w:r>
          </w:p>
        </w:tc>
        <w:tc>
          <w:tcPr>
            <w:tcW w:w="1350" w:type="dxa"/>
            <w:noWrap/>
            <w:hideMark/>
          </w:tcPr>
          <w:p w14:paraId="086F0C60" w14:textId="215ED615" w:rsidR="00A97C01" w:rsidRPr="001677C7"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1</w:t>
            </w:r>
            <w:r w:rsidR="00540208" w:rsidRPr="001677C7">
              <w:rPr>
                <w:rFonts w:asciiTheme="majorHAnsi" w:eastAsia="Times New Roman" w:hAnsiTheme="majorHAnsi" w:cstheme="majorHAnsi"/>
                <w:b w:val="0"/>
                <w:color w:val="000000"/>
                <w:sz w:val="18"/>
                <w:szCs w:val="18"/>
              </w:rPr>
              <w:t>9</w:t>
            </w:r>
            <w:r w:rsidR="00A97C01" w:rsidRPr="001677C7">
              <w:rPr>
                <w:rFonts w:asciiTheme="majorHAnsi" w:eastAsia="Times New Roman" w:hAnsiTheme="majorHAnsi" w:cstheme="majorHAnsi"/>
                <w:b w:val="0"/>
                <w:color w:val="000000"/>
                <w:sz w:val="18"/>
                <w:szCs w:val="18"/>
              </w:rPr>
              <w:t>%</w:t>
            </w:r>
          </w:p>
        </w:tc>
        <w:tc>
          <w:tcPr>
            <w:tcW w:w="1355" w:type="dxa"/>
            <w:noWrap/>
            <w:hideMark/>
          </w:tcPr>
          <w:p w14:paraId="273A865C" w14:textId="2DC71E19" w:rsidR="00A97C01" w:rsidRPr="001677C7"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1</w:t>
            </w:r>
            <w:r w:rsidR="00540208" w:rsidRPr="001677C7">
              <w:rPr>
                <w:rFonts w:asciiTheme="majorHAnsi" w:eastAsia="Times New Roman" w:hAnsiTheme="majorHAnsi" w:cstheme="majorHAnsi"/>
                <w:b w:val="0"/>
                <w:color w:val="000000"/>
                <w:sz w:val="18"/>
                <w:szCs w:val="18"/>
              </w:rPr>
              <w:t>5</w:t>
            </w:r>
            <w:r w:rsidR="00A97C01" w:rsidRPr="001677C7">
              <w:rPr>
                <w:rFonts w:asciiTheme="majorHAnsi" w:eastAsia="Times New Roman" w:hAnsiTheme="majorHAnsi" w:cstheme="majorHAnsi"/>
                <w:b w:val="0"/>
                <w:color w:val="000000"/>
                <w:sz w:val="18"/>
                <w:szCs w:val="18"/>
              </w:rPr>
              <w:t>%</w:t>
            </w:r>
          </w:p>
        </w:tc>
      </w:tr>
    </w:tbl>
    <w:p w14:paraId="5FBB3858" w14:textId="77777777" w:rsidR="00A97C01" w:rsidRPr="001677C7" w:rsidRDefault="00A97C01" w:rsidP="009B3DF5">
      <w:pPr>
        <w:spacing w:after="0" w:line="72" w:lineRule="auto"/>
        <w:rPr>
          <w:rFonts w:asciiTheme="majorHAnsi" w:hAnsiTheme="majorHAnsi" w:cstheme="majorHAnsi"/>
        </w:rPr>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Caption w:val="Business Expectations for 2020"/>
        <w:tblDescription w:val="Minnesota business services firms expect unchanged or declining conditions for the coming year. Seventy-eight percent anticipate unchanged space occupied and 74 expect constant selling prices. Sixty-seven percent foresee unchanged labor availability. Nonetheless, nearly half of respondents expect a decline in profits while 43 percent anticipate a decline in sales revenue. All diffusion indexes were below 50 indicating contraction with profits showing the greatest decline at 34, compared to 62 the year before.&#10;"/>
      </w:tblPr>
      <w:tblGrid>
        <w:gridCol w:w="3775"/>
        <w:gridCol w:w="1440"/>
        <w:gridCol w:w="1350"/>
        <w:gridCol w:w="1260"/>
        <w:gridCol w:w="1350"/>
        <w:gridCol w:w="1355"/>
      </w:tblGrid>
      <w:tr w:rsidR="00A97C01" w:rsidRPr="001677C7" w14:paraId="2A762DD6"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shd w:val="clear" w:color="auto" w:fill="BDD6EE" w:themeFill="accent1" w:themeFillTint="66"/>
            <w:noWrap/>
            <w:hideMark/>
          </w:tcPr>
          <w:p w14:paraId="2C6D6D80" w14:textId="2E0FB2D4" w:rsidR="00A97C01" w:rsidRPr="00C75042" w:rsidRDefault="00722892" w:rsidP="00C75042">
            <w:pPr>
              <w:pStyle w:val="ListParagraph"/>
              <w:numPr>
                <w:ilvl w:val="0"/>
                <w:numId w:val="14"/>
              </w:numPr>
              <w:rPr>
                <w:rFonts w:asciiTheme="majorHAnsi" w:eastAsia="Times New Roman" w:hAnsiTheme="majorHAnsi" w:cstheme="majorHAnsi"/>
                <w:color w:val="000000"/>
                <w:sz w:val="18"/>
                <w:szCs w:val="18"/>
              </w:rPr>
            </w:pPr>
            <w:r w:rsidRPr="00C75042">
              <w:rPr>
                <w:rFonts w:asciiTheme="majorHAnsi" w:eastAsia="Times New Roman" w:hAnsiTheme="majorHAnsi" w:cstheme="majorHAnsi"/>
                <w:color w:val="000000"/>
                <w:sz w:val="18"/>
                <w:szCs w:val="18"/>
              </w:rPr>
              <w:t>Expected business i</w:t>
            </w:r>
            <w:r w:rsidR="00584451" w:rsidRPr="00C75042">
              <w:rPr>
                <w:rFonts w:asciiTheme="majorHAnsi" w:eastAsia="Times New Roman" w:hAnsiTheme="majorHAnsi" w:cstheme="majorHAnsi"/>
                <w:color w:val="000000"/>
                <w:sz w:val="18"/>
                <w:szCs w:val="18"/>
              </w:rPr>
              <w:t xml:space="preserve">ndicators during next </w:t>
            </w:r>
            <w:r w:rsidR="007C7CDC" w:rsidRPr="00C75042">
              <w:rPr>
                <w:rFonts w:asciiTheme="majorHAnsi" w:eastAsia="Times New Roman" w:hAnsiTheme="majorHAnsi" w:cstheme="majorHAnsi"/>
                <w:color w:val="000000"/>
                <w:sz w:val="18"/>
                <w:szCs w:val="18"/>
              </w:rPr>
              <w:t>year</w:t>
            </w:r>
          </w:p>
        </w:tc>
        <w:tc>
          <w:tcPr>
            <w:tcW w:w="1440" w:type="dxa"/>
            <w:tcBorders>
              <w:top w:val="single" w:sz="4" w:space="0" w:color="auto"/>
              <w:bottom w:val="single" w:sz="4" w:space="0" w:color="auto"/>
            </w:tcBorders>
            <w:shd w:val="clear" w:color="auto" w:fill="BDD6EE" w:themeFill="accent1" w:themeFillTint="66"/>
            <w:noWrap/>
            <w:hideMark/>
          </w:tcPr>
          <w:p w14:paraId="7D0E7FB1"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Up</w:t>
            </w:r>
          </w:p>
        </w:tc>
        <w:tc>
          <w:tcPr>
            <w:tcW w:w="1350" w:type="dxa"/>
            <w:tcBorders>
              <w:top w:val="single" w:sz="4" w:space="0" w:color="auto"/>
              <w:bottom w:val="single" w:sz="4" w:space="0" w:color="auto"/>
            </w:tcBorders>
            <w:shd w:val="clear" w:color="auto" w:fill="BDD6EE" w:themeFill="accent1" w:themeFillTint="66"/>
            <w:noWrap/>
            <w:hideMark/>
          </w:tcPr>
          <w:p w14:paraId="3045B259"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Same</w:t>
            </w:r>
          </w:p>
        </w:tc>
        <w:tc>
          <w:tcPr>
            <w:tcW w:w="1260" w:type="dxa"/>
            <w:tcBorders>
              <w:top w:val="single" w:sz="4" w:space="0" w:color="auto"/>
              <w:bottom w:val="single" w:sz="4" w:space="0" w:color="auto"/>
            </w:tcBorders>
            <w:shd w:val="clear" w:color="auto" w:fill="BDD6EE" w:themeFill="accent1" w:themeFillTint="66"/>
            <w:noWrap/>
            <w:hideMark/>
          </w:tcPr>
          <w:p w14:paraId="7CD7BC59" w14:textId="77777777" w:rsidR="00A97C01" w:rsidRPr="001677C7"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Down</w:t>
            </w:r>
          </w:p>
        </w:tc>
        <w:tc>
          <w:tcPr>
            <w:tcW w:w="1350" w:type="dxa"/>
            <w:tcBorders>
              <w:top w:val="single" w:sz="4" w:space="0" w:color="auto"/>
              <w:bottom w:val="single" w:sz="4" w:space="0" w:color="auto"/>
            </w:tcBorders>
            <w:shd w:val="clear" w:color="auto" w:fill="BDD6EE" w:themeFill="accent1" w:themeFillTint="66"/>
            <w:noWrap/>
            <w:hideMark/>
          </w:tcPr>
          <w:p w14:paraId="7B618F20" w14:textId="00B18938" w:rsidR="00A97C01" w:rsidRPr="001677C7" w:rsidRDefault="00391C69"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 xml:space="preserve">Diffusion </w:t>
            </w:r>
            <w:r w:rsidR="00A47862" w:rsidRPr="001677C7">
              <w:rPr>
                <w:rFonts w:asciiTheme="majorHAnsi" w:eastAsia="Times New Roman" w:hAnsiTheme="majorHAnsi" w:cstheme="majorHAnsi"/>
                <w:sz w:val="18"/>
                <w:szCs w:val="18"/>
              </w:rPr>
              <w:t>i</w:t>
            </w:r>
            <w:r w:rsidRPr="001677C7">
              <w:rPr>
                <w:rFonts w:asciiTheme="majorHAnsi" w:eastAsia="Times New Roman" w:hAnsiTheme="majorHAnsi" w:cstheme="majorHAnsi"/>
                <w:sz w:val="18"/>
                <w:szCs w:val="18"/>
              </w:rPr>
              <w:t>ndex 202</w:t>
            </w:r>
            <w:r w:rsidR="00540208" w:rsidRPr="001677C7">
              <w:rPr>
                <w:rFonts w:asciiTheme="majorHAnsi" w:eastAsia="Times New Roman" w:hAnsiTheme="majorHAnsi" w:cstheme="majorHAnsi"/>
                <w:sz w:val="18"/>
                <w:szCs w:val="18"/>
              </w:rPr>
              <w:t>4</w:t>
            </w:r>
            <w:r w:rsidR="00AE0EFF" w:rsidRPr="001677C7">
              <w:rPr>
                <w:rFonts w:asciiTheme="majorHAnsi" w:eastAsia="Times New Roman" w:hAnsiTheme="majorHAnsi" w:cstheme="majorHAnsi"/>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14:paraId="68BCB4EF" w14:textId="64CC985C" w:rsidR="00A97C01" w:rsidRPr="001677C7" w:rsidRDefault="00391C69"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 xml:space="preserve">Diffusion </w:t>
            </w:r>
            <w:r w:rsidR="00A47862" w:rsidRPr="001677C7">
              <w:rPr>
                <w:rFonts w:asciiTheme="majorHAnsi" w:eastAsia="Times New Roman" w:hAnsiTheme="majorHAnsi" w:cstheme="majorHAnsi"/>
                <w:sz w:val="18"/>
                <w:szCs w:val="18"/>
              </w:rPr>
              <w:t>i</w:t>
            </w:r>
            <w:r w:rsidRPr="001677C7">
              <w:rPr>
                <w:rFonts w:asciiTheme="majorHAnsi" w:eastAsia="Times New Roman" w:hAnsiTheme="majorHAnsi" w:cstheme="majorHAnsi"/>
                <w:sz w:val="18"/>
                <w:szCs w:val="18"/>
              </w:rPr>
              <w:t>ndex 20</w:t>
            </w:r>
            <w:r w:rsidR="00A72C89" w:rsidRPr="001677C7">
              <w:rPr>
                <w:rFonts w:asciiTheme="majorHAnsi" w:eastAsia="Times New Roman" w:hAnsiTheme="majorHAnsi" w:cstheme="majorHAnsi"/>
                <w:sz w:val="18"/>
                <w:szCs w:val="18"/>
              </w:rPr>
              <w:t>2</w:t>
            </w:r>
            <w:r w:rsidR="00540208" w:rsidRPr="001677C7">
              <w:rPr>
                <w:rFonts w:asciiTheme="majorHAnsi" w:eastAsia="Times New Roman" w:hAnsiTheme="majorHAnsi" w:cstheme="majorHAnsi"/>
                <w:sz w:val="18"/>
                <w:szCs w:val="18"/>
              </w:rPr>
              <w:t>3</w:t>
            </w:r>
            <w:r w:rsidR="00AE0EFF" w:rsidRPr="001677C7">
              <w:rPr>
                <w:rFonts w:asciiTheme="majorHAnsi" w:eastAsia="Times New Roman" w:hAnsiTheme="majorHAnsi" w:cstheme="majorHAnsi"/>
                <w:sz w:val="18"/>
                <w:szCs w:val="18"/>
                <w:vertAlign w:val="superscript"/>
              </w:rPr>
              <w:t>(2)</w:t>
            </w:r>
          </w:p>
        </w:tc>
      </w:tr>
      <w:tr w:rsidR="00391C69" w:rsidRPr="001677C7" w14:paraId="4C9ED75D"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noWrap/>
            <w:hideMark/>
          </w:tcPr>
          <w:p w14:paraId="12C92BA2"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Sales revenue</w:t>
            </w:r>
          </w:p>
        </w:tc>
        <w:tc>
          <w:tcPr>
            <w:tcW w:w="1440" w:type="dxa"/>
            <w:tcBorders>
              <w:top w:val="single" w:sz="4" w:space="0" w:color="auto"/>
            </w:tcBorders>
            <w:noWrap/>
            <w:hideMark/>
          </w:tcPr>
          <w:p w14:paraId="4A9BA4DE" w14:textId="0E6EB3F0"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45</w:t>
            </w:r>
            <w:r w:rsidR="00391C69" w:rsidRPr="001677C7">
              <w:rPr>
                <w:rFonts w:asciiTheme="majorHAnsi" w:eastAsia="Times New Roman" w:hAnsiTheme="majorHAnsi" w:cstheme="majorHAnsi"/>
                <w:color w:val="000000"/>
                <w:sz w:val="18"/>
                <w:szCs w:val="18"/>
              </w:rPr>
              <w:t>%</w:t>
            </w:r>
          </w:p>
        </w:tc>
        <w:tc>
          <w:tcPr>
            <w:tcW w:w="1350" w:type="dxa"/>
            <w:tcBorders>
              <w:top w:val="single" w:sz="4" w:space="0" w:color="auto"/>
            </w:tcBorders>
            <w:noWrap/>
            <w:hideMark/>
          </w:tcPr>
          <w:p w14:paraId="5010A945" w14:textId="515B15D8"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w:t>
            </w:r>
            <w:r w:rsidR="00F411B9" w:rsidRPr="001677C7">
              <w:rPr>
                <w:rFonts w:asciiTheme="majorHAnsi" w:eastAsia="Times New Roman" w:hAnsiTheme="majorHAnsi" w:cstheme="majorHAnsi"/>
                <w:color w:val="000000"/>
                <w:sz w:val="18"/>
                <w:szCs w:val="18"/>
              </w:rPr>
              <w:t>3</w:t>
            </w:r>
            <w:r w:rsidR="00391C69" w:rsidRPr="001677C7">
              <w:rPr>
                <w:rFonts w:asciiTheme="majorHAnsi" w:eastAsia="Times New Roman" w:hAnsiTheme="majorHAnsi" w:cstheme="majorHAnsi"/>
                <w:color w:val="000000"/>
                <w:sz w:val="18"/>
                <w:szCs w:val="18"/>
              </w:rPr>
              <w:t>%</w:t>
            </w:r>
          </w:p>
        </w:tc>
        <w:tc>
          <w:tcPr>
            <w:tcW w:w="1260" w:type="dxa"/>
            <w:tcBorders>
              <w:top w:val="single" w:sz="4" w:space="0" w:color="auto"/>
            </w:tcBorders>
            <w:noWrap/>
            <w:hideMark/>
          </w:tcPr>
          <w:p w14:paraId="2A3AA6FE" w14:textId="79EEC7F9"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w:t>
            </w:r>
            <w:r w:rsidR="00540208" w:rsidRPr="001677C7">
              <w:rPr>
                <w:rFonts w:asciiTheme="majorHAnsi" w:eastAsia="Times New Roman" w:hAnsiTheme="majorHAnsi" w:cstheme="majorHAnsi"/>
                <w:color w:val="000000"/>
                <w:sz w:val="18"/>
                <w:szCs w:val="18"/>
              </w:rPr>
              <w:t>2</w:t>
            </w:r>
            <w:r w:rsidR="00391C69" w:rsidRPr="001677C7">
              <w:rPr>
                <w:rFonts w:asciiTheme="majorHAnsi" w:eastAsia="Times New Roman" w:hAnsiTheme="majorHAnsi" w:cstheme="majorHAnsi"/>
                <w:color w:val="000000"/>
                <w:sz w:val="18"/>
                <w:szCs w:val="18"/>
              </w:rPr>
              <w:t>%</w:t>
            </w:r>
          </w:p>
        </w:tc>
        <w:tc>
          <w:tcPr>
            <w:tcW w:w="1350" w:type="dxa"/>
            <w:tcBorders>
              <w:top w:val="single" w:sz="4" w:space="0" w:color="auto"/>
            </w:tcBorders>
            <w:noWrap/>
            <w:hideMark/>
          </w:tcPr>
          <w:p w14:paraId="27251978" w14:textId="29BF22DB"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62</w:t>
            </w:r>
          </w:p>
        </w:tc>
        <w:tc>
          <w:tcPr>
            <w:tcW w:w="1355" w:type="dxa"/>
            <w:tcBorders>
              <w:top w:val="single" w:sz="4" w:space="0" w:color="auto"/>
            </w:tcBorders>
            <w:noWrap/>
            <w:hideMark/>
          </w:tcPr>
          <w:p w14:paraId="554ED71A" w14:textId="5E1FA309"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58</w:t>
            </w:r>
          </w:p>
        </w:tc>
      </w:tr>
      <w:tr w:rsidR="00391C69" w:rsidRPr="001677C7" w14:paraId="0E714465"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4B8D93D"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Profits</w:t>
            </w:r>
          </w:p>
        </w:tc>
        <w:tc>
          <w:tcPr>
            <w:tcW w:w="1440" w:type="dxa"/>
            <w:noWrap/>
            <w:hideMark/>
          </w:tcPr>
          <w:p w14:paraId="4272B374" w14:textId="2C1E0555"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36</w:t>
            </w:r>
            <w:r w:rsidR="00391C69" w:rsidRPr="001677C7">
              <w:rPr>
                <w:rFonts w:asciiTheme="majorHAnsi" w:eastAsia="Times New Roman" w:hAnsiTheme="majorHAnsi" w:cstheme="majorHAnsi"/>
                <w:color w:val="000000"/>
                <w:sz w:val="18"/>
                <w:szCs w:val="18"/>
              </w:rPr>
              <w:t>%</w:t>
            </w:r>
          </w:p>
        </w:tc>
        <w:tc>
          <w:tcPr>
            <w:tcW w:w="1350" w:type="dxa"/>
            <w:noWrap/>
            <w:hideMark/>
          </w:tcPr>
          <w:p w14:paraId="455B4F1E" w14:textId="563A0A31"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33</w:t>
            </w:r>
            <w:r w:rsidR="00391C69" w:rsidRPr="001677C7">
              <w:rPr>
                <w:rFonts w:asciiTheme="majorHAnsi" w:eastAsia="Times New Roman" w:hAnsiTheme="majorHAnsi" w:cstheme="majorHAnsi"/>
                <w:color w:val="000000"/>
                <w:sz w:val="18"/>
                <w:szCs w:val="18"/>
              </w:rPr>
              <w:t>%</w:t>
            </w:r>
          </w:p>
        </w:tc>
        <w:tc>
          <w:tcPr>
            <w:tcW w:w="1260" w:type="dxa"/>
            <w:noWrap/>
            <w:hideMark/>
          </w:tcPr>
          <w:p w14:paraId="5AF713E7" w14:textId="5C124EF2"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31</w:t>
            </w:r>
            <w:r w:rsidR="00391C69" w:rsidRPr="001677C7">
              <w:rPr>
                <w:rFonts w:asciiTheme="majorHAnsi" w:eastAsia="Times New Roman" w:hAnsiTheme="majorHAnsi" w:cstheme="majorHAnsi"/>
                <w:color w:val="000000"/>
                <w:sz w:val="18"/>
                <w:szCs w:val="18"/>
              </w:rPr>
              <w:t>%</w:t>
            </w:r>
          </w:p>
        </w:tc>
        <w:tc>
          <w:tcPr>
            <w:tcW w:w="1350" w:type="dxa"/>
            <w:noWrap/>
            <w:hideMark/>
          </w:tcPr>
          <w:p w14:paraId="53C3753C" w14:textId="49B6FD15" w:rsidR="00391C69" w:rsidRPr="001677C7"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3</w:t>
            </w:r>
          </w:p>
        </w:tc>
        <w:tc>
          <w:tcPr>
            <w:tcW w:w="1355" w:type="dxa"/>
            <w:noWrap/>
            <w:hideMark/>
          </w:tcPr>
          <w:p w14:paraId="0C75635B" w14:textId="0C4C749F" w:rsidR="00391C69" w:rsidRPr="001677C7"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0</w:t>
            </w:r>
          </w:p>
        </w:tc>
      </w:tr>
      <w:tr w:rsidR="00391C69" w:rsidRPr="001677C7" w14:paraId="70306819"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A59A239"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Productivity</w:t>
            </w:r>
          </w:p>
        </w:tc>
        <w:tc>
          <w:tcPr>
            <w:tcW w:w="1440" w:type="dxa"/>
            <w:noWrap/>
            <w:hideMark/>
          </w:tcPr>
          <w:p w14:paraId="4BB11BC7" w14:textId="0BA816F6" w:rsidR="00391C69" w:rsidRPr="001677C7"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w:t>
            </w:r>
            <w:r w:rsidR="00540208" w:rsidRPr="001677C7">
              <w:rPr>
                <w:rFonts w:asciiTheme="majorHAnsi" w:eastAsia="Times New Roman" w:hAnsiTheme="majorHAnsi" w:cstheme="majorHAnsi"/>
                <w:color w:val="000000"/>
                <w:sz w:val="18"/>
                <w:szCs w:val="18"/>
              </w:rPr>
              <w:t>9</w:t>
            </w:r>
            <w:r w:rsidR="00391C69" w:rsidRPr="001677C7">
              <w:rPr>
                <w:rFonts w:asciiTheme="majorHAnsi" w:eastAsia="Times New Roman" w:hAnsiTheme="majorHAnsi" w:cstheme="majorHAnsi"/>
                <w:color w:val="000000"/>
                <w:sz w:val="18"/>
                <w:szCs w:val="18"/>
              </w:rPr>
              <w:t>%</w:t>
            </w:r>
          </w:p>
        </w:tc>
        <w:tc>
          <w:tcPr>
            <w:tcW w:w="1350" w:type="dxa"/>
            <w:noWrap/>
            <w:hideMark/>
          </w:tcPr>
          <w:p w14:paraId="64838E89" w14:textId="01C87A81" w:rsidR="00391C69" w:rsidRPr="001677C7"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w:t>
            </w:r>
            <w:r w:rsidR="00540208" w:rsidRPr="001677C7">
              <w:rPr>
                <w:rFonts w:asciiTheme="majorHAnsi" w:eastAsia="Times New Roman" w:hAnsiTheme="majorHAnsi" w:cstheme="majorHAnsi"/>
                <w:color w:val="000000"/>
                <w:sz w:val="18"/>
                <w:szCs w:val="18"/>
              </w:rPr>
              <w:t>1</w:t>
            </w:r>
            <w:r w:rsidR="00391C69" w:rsidRPr="001677C7">
              <w:rPr>
                <w:rFonts w:asciiTheme="majorHAnsi" w:eastAsia="Times New Roman" w:hAnsiTheme="majorHAnsi" w:cstheme="majorHAnsi"/>
                <w:color w:val="000000"/>
                <w:sz w:val="18"/>
                <w:szCs w:val="18"/>
              </w:rPr>
              <w:t>%</w:t>
            </w:r>
          </w:p>
        </w:tc>
        <w:tc>
          <w:tcPr>
            <w:tcW w:w="1260" w:type="dxa"/>
            <w:noWrap/>
            <w:hideMark/>
          </w:tcPr>
          <w:p w14:paraId="26001788" w14:textId="273DF812" w:rsidR="00391C69" w:rsidRPr="001677C7" w:rsidRDefault="00A2685D"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0</w:t>
            </w:r>
            <w:r w:rsidR="00391C69" w:rsidRPr="001677C7">
              <w:rPr>
                <w:rFonts w:asciiTheme="majorHAnsi" w:eastAsia="Times New Roman" w:hAnsiTheme="majorHAnsi" w:cstheme="majorHAnsi"/>
                <w:color w:val="000000"/>
                <w:sz w:val="18"/>
                <w:szCs w:val="18"/>
              </w:rPr>
              <w:t>%</w:t>
            </w:r>
          </w:p>
        </w:tc>
        <w:tc>
          <w:tcPr>
            <w:tcW w:w="1350" w:type="dxa"/>
            <w:noWrap/>
            <w:hideMark/>
          </w:tcPr>
          <w:p w14:paraId="6C937640" w14:textId="0D1E8D97"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60</w:t>
            </w:r>
          </w:p>
        </w:tc>
        <w:tc>
          <w:tcPr>
            <w:tcW w:w="1355" w:type="dxa"/>
            <w:noWrap/>
            <w:hideMark/>
          </w:tcPr>
          <w:p w14:paraId="702C57C7" w14:textId="4390E6A5"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6</w:t>
            </w:r>
          </w:p>
        </w:tc>
      </w:tr>
      <w:tr w:rsidR="00391C69" w:rsidRPr="001677C7" w14:paraId="3D45BA6C"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C167C33"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Employment level</w:t>
            </w:r>
          </w:p>
        </w:tc>
        <w:tc>
          <w:tcPr>
            <w:tcW w:w="1440" w:type="dxa"/>
            <w:noWrap/>
            <w:hideMark/>
          </w:tcPr>
          <w:p w14:paraId="55A76068" w14:textId="2C1D0D0B"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30</w:t>
            </w:r>
            <w:r w:rsidR="00391C69" w:rsidRPr="001677C7">
              <w:rPr>
                <w:rFonts w:asciiTheme="majorHAnsi" w:eastAsia="Times New Roman" w:hAnsiTheme="majorHAnsi" w:cstheme="majorHAnsi"/>
                <w:color w:val="000000"/>
                <w:sz w:val="18"/>
                <w:szCs w:val="18"/>
              </w:rPr>
              <w:t>%</w:t>
            </w:r>
          </w:p>
        </w:tc>
        <w:tc>
          <w:tcPr>
            <w:tcW w:w="1350" w:type="dxa"/>
            <w:noWrap/>
            <w:hideMark/>
          </w:tcPr>
          <w:p w14:paraId="112A523F" w14:textId="493C4661"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54</w:t>
            </w:r>
            <w:r w:rsidR="00391C69" w:rsidRPr="001677C7">
              <w:rPr>
                <w:rFonts w:asciiTheme="majorHAnsi" w:eastAsia="Times New Roman" w:hAnsiTheme="majorHAnsi" w:cstheme="majorHAnsi"/>
                <w:color w:val="000000"/>
                <w:sz w:val="18"/>
                <w:szCs w:val="18"/>
              </w:rPr>
              <w:t>%</w:t>
            </w:r>
          </w:p>
        </w:tc>
        <w:tc>
          <w:tcPr>
            <w:tcW w:w="1260" w:type="dxa"/>
            <w:noWrap/>
            <w:hideMark/>
          </w:tcPr>
          <w:p w14:paraId="1FA1F3E9" w14:textId="3DC448CD" w:rsidR="00391C69" w:rsidRPr="001677C7" w:rsidRDefault="00A2685D"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6</w:t>
            </w:r>
            <w:r w:rsidR="00391C69" w:rsidRPr="001677C7">
              <w:rPr>
                <w:rFonts w:asciiTheme="majorHAnsi" w:eastAsia="Times New Roman" w:hAnsiTheme="majorHAnsi" w:cstheme="majorHAnsi"/>
                <w:color w:val="000000"/>
                <w:sz w:val="18"/>
                <w:szCs w:val="18"/>
              </w:rPr>
              <w:t>%</w:t>
            </w:r>
          </w:p>
        </w:tc>
        <w:tc>
          <w:tcPr>
            <w:tcW w:w="1350" w:type="dxa"/>
            <w:noWrap/>
            <w:hideMark/>
          </w:tcPr>
          <w:p w14:paraId="2316EDE4" w14:textId="11EE9FF6" w:rsidR="00391C69" w:rsidRPr="001677C7"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7</w:t>
            </w:r>
          </w:p>
        </w:tc>
        <w:tc>
          <w:tcPr>
            <w:tcW w:w="1355" w:type="dxa"/>
            <w:noWrap/>
            <w:hideMark/>
          </w:tcPr>
          <w:p w14:paraId="41B0F8CD" w14:textId="3A464061" w:rsidR="00391C69" w:rsidRPr="001677C7"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2</w:t>
            </w:r>
          </w:p>
        </w:tc>
      </w:tr>
      <w:tr w:rsidR="00391C69" w:rsidRPr="001677C7" w14:paraId="6260106F"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70D94EE"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Labor availability</w:t>
            </w:r>
          </w:p>
        </w:tc>
        <w:tc>
          <w:tcPr>
            <w:tcW w:w="1440" w:type="dxa"/>
            <w:noWrap/>
            <w:hideMark/>
          </w:tcPr>
          <w:p w14:paraId="1F17442E" w14:textId="0353BAFD"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r w:rsidR="00391C69" w:rsidRPr="001677C7">
              <w:rPr>
                <w:rFonts w:asciiTheme="majorHAnsi" w:eastAsia="Times New Roman" w:hAnsiTheme="majorHAnsi" w:cstheme="majorHAnsi"/>
                <w:color w:val="000000"/>
                <w:sz w:val="18"/>
                <w:szCs w:val="18"/>
              </w:rPr>
              <w:t>%</w:t>
            </w:r>
          </w:p>
        </w:tc>
        <w:tc>
          <w:tcPr>
            <w:tcW w:w="1350" w:type="dxa"/>
            <w:noWrap/>
            <w:hideMark/>
          </w:tcPr>
          <w:p w14:paraId="5A9F6AC2" w14:textId="3379D387" w:rsidR="00391C69" w:rsidRPr="001677C7" w:rsidRDefault="00391C6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w:t>
            </w:r>
            <w:r w:rsidR="00540208" w:rsidRPr="001677C7">
              <w:rPr>
                <w:rFonts w:asciiTheme="majorHAnsi" w:eastAsia="Times New Roman" w:hAnsiTheme="majorHAnsi" w:cstheme="majorHAnsi"/>
                <w:color w:val="000000"/>
                <w:sz w:val="18"/>
                <w:szCs w:val="18"/>
              </w:rPr>
              <w:t>7</w:t>
            </w:r>
            <w:r w:rsidRPr="001677C7">
              <w:rPr>
                <w:rFonts w:asciiTheme="majorHAnsi" w:eastAsia="Times New Roman" w:hAnsiTheme="majorHAnsi" w:cstheme="majorHAnsi"/>
                <w:color w:val="000000"/>
                <w:sz w:val="18"/>
                <w:szCs w:val="18"/>
              </w:rPr>
              <w:t>%</w:t>
            </w:r>
          </w:p>
        </w:tc>
        <w:tc>
          <w:tcPr>
            <w:tcW w:w="1260" w:type="dxa"/>
            <w:noWrap/>
            <w:hideMark/>
          </w:tcPr>
          <w:p w14:paraId="30CF6A58" w14:textId="25C133FC"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w:t>
            </w:r>
            <w:r w:rsidR="00540208" w:rsidRPr="001677C7">
              <w:rPr>
                <w:rFonts w:asciiTheme="majorHAnsi" w:eastAsia="Times New Roman" w:hAnsiTheme="majorHAnsi" w:cstheme="majorHAnsi"/>
                <w:color w:val="000000"/>
                <w:sz w:val="18"/>
                <w:szCs w:val="18"/>
              </w:rPr>
              <w:t>1</w:t>
            </w:r>
            <w:r w:rsidR="00391C69" w:rsidRPr="001677C7">
              <w:rPr>
                <w:rFonts w:asciiTheme="majorHAnsi" w:eastAsia="Times New Roman" w:hAnsiTheme="majorHAnsi" w:cstheme="majorHAnsi"/>
                <w:color w:val="000000"/>
                <w:sz w:val="18"/>
                <w:szCs w:val="18"/>
              </w:rPr>
              <w:t>%</w:t>
            </w:r>
          </w:p>
        </w:tc>
        <w:tc>
          <w:tcPr>
            <w:tcW w:w="1350" w:type="dxa"/>
            <w:noWrap/>
            <w:hideMark/>
          </w:tcPr>
          <w:p w14:paraId="202F91F4" w14:textId="51E015C2"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w:t>
            </w:r>
            <w:r w:rsidR="00540208" w:rsidRPr="001677C7">
              <w:rPr>
                <w:rFonts w:asciiTheme="majorHAnsi" w:eastAsia="Times New Roman" w:hAnsiTheme="majorHAnsi" w:cstheme="majorHAnsi"/>
                <w:sz w:val="18"/>
                <w:szCs w:val="18"/>
              </w:rPr>
              <w:t>6</w:t>
            </w:r>
          </w:p>
        </w:tc>
        <w:tc>
          <w:tcPr>
            <w:tcW w:w="1355" w:type="dxa"/>
            <w:noWrap/>
            <w:hideMark/>
          </w:tcPr>
          <w:p w14:paraId="5BFF0B44" w14:textId="5AB38D8E"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41</w:t>
            </w:r>
          </w:p>
        </w:tc>
      </w:tr>
      <w:tr w:rsidR="00391C69" w:rsidRPr="001677C7" w14:paraId="10EABF7A"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A635F46" w14:textId="1D70ED70"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Selling prices</w:t>
            </w:r>
            <w:r w:rsidRPr="001677C7">
              <w:rPr>
                <w:rFonts w:asciiTheme="majorHAnsi" w:eastAsia="Times New Roman" w:hAnsiTheme="majorHAnsi" w:cstheme="majorHAnsi"/>
                <w:b w:val="0"/>
                <w:color w:val="000000"/>
                <w:sz w:val="18"/>
                <w:szCs w:val="18"/>
              </w:rPr>
              <w:br/>
              <w:t xml:space="preserve">Input </w:t>
            </w:r>
            <w:r w:rsidR="00097993" w:rsidRPr="001677C7">
              <w:rPr>
                <w:rFonts w:asciiTheme="majorHAnsi" w:eastAsia="Times New Roman" w:hAnsiTheme="majorHAnsi" w:cstheme="majorHAnsi"/>
                <w:b w:val="0"/>
                <w:color w:val="000000"/>
                <w:sz w:val="18"/>
                <w:szCs w:val="18"/>
              </w:rPr>
              <w:t>c</w:t>
            </w:r>
            <w:r w:rsidRPr="001677C7">
              <w:rPr>
                <w:rFonts w:asciiTheme="majorHAnsi" w:eastAsia="Times New Roman" w:hAnsiTheme="majorHAnsi" w:cstheme="majorHAnsi"/>
                <w:b w:val="0"/>
                <w:color w:val="000000"/>
                <w:sz w:val="18"/>
                <w:szCs w:val="18"/>
              </w:rPr>
              <w:t>ost</w:t>
            </w:r>
            <w:r w:rsidR="00FA15BD" w:rsidRPr="001677C7">
              <w:rPr>
                <w:rFonts w:asciiTheme="majorHAnsi" w:eastAsia="Times New Roman" w:hAnsiTheme="majorHAnsi" w:cstheme="majorHAnsi"/>
                <w:b w:val="0"/>
                <w:color w:val="000000"/>
                <w:sz w:val="18"/>
                <w:szCs w:val="18"/>
              </w:rPr>
              <w:t>s</w:t>
            </w:r>
          </w:p>
        </w:tc>
        <w:tc>
          <w:tcPr>
            <w:tcW w:w="1440" w:type="dxa"/>
            <w:noWrap/>
            <w:hideMark/>
          </w:tcPr>
          <w:p w14:paraId="714AB7F3" w14:textId="07886B89"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40</w:t>
            </w:r>
            <w:r w:rsidR="00391C69" w:rsidRPr="001677C7">
              <w:rPr>
                <w:rFonts w:asciiTheme="majorHAnsi" w:eastAsia="Times New Roman" w:hAnsiTheme="majorHAnsi" w:cstheme="majorHAnsi"/>
                <w:color w:val="000000"/>
                <w:sz w:val="18"/>
                <w:szCs w:val="18"/>
              </w:rPr>
              <w:t>%</w:t>
            </w:r>
            <w:r w:rsidR="00391C69" w:rsidRPr="001677C7">
              <w:rPr>
                <w:rFonts w:asciiTheme="majorHAnsi" w:eastAsia="Times New Roman" w:hAnsiTheme="majorHAnsi" w:cstheme="majorHAnsi"/>
                <w:color w:val="000000"/>
                <w:sz w:val="18"/>
                <w:szCs w:val="18"/>
              </w:rPr>
              <w:br/>
            </w:r>
            <w:r w:rsidRPr="001677C7">
              <w:rPr>
                <w:rFonts w:asciiTheme="majorHAnsi" w:eastAsia="Times New Roman" w:hAnsiTheme="majorHAnsi" w:cstheme="majorHAnsi"/>
                <w:color w:val="000000"/>
                <w:sz w:val="18"/>
                <w:szCs w:val="18"/>
              </w:rPr>
              <w:t>60</w:t>
            </w:r>
            <w:r w:rsidR="00391C69" w:rsidRPr="001677C7">
              <w:rPr>
                <w:rFonts w:asciiTheme="majorHAnsi" w:eastAsia="Times New Roman" w:hAnsiTheme="majorHAnsi" w:cstheme="majorHAnsi"/>
                <w:color w:val="000000"/>
                <w:sz w:val="18"/>
                <w:szCs w:val="18"/>
              </w:rPr>
              <w:t>%</w:t>
            </w:r>
          </w:p>
        </w:tc>
        <w:tc>
          <w:tcPr>
            <w:tcW w:w="1350" w:type="dxa"/>
            <w:noWrap/>
            <w:hideMark/>
          </w:tcPr>
          <w:p w14:paraId="5A7FD5F8" w14:textId="15B31808"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5</w:t>
            </w:r>
            <w:r w:rsidR="00540208" w:rsidRPr="001677C7">
              <w:rPr>
                <w:rFonts w:asciiTheme="majorHAnsi" w:eastAsia="Times New Roman" w:hAnsiTheme="majorHAnsi" w:cstheme="majorHAnsi"/>
                <w:color w:val="000000"/>
                <w:sz w:val="18"/>
                <w:szCs w:val="18"/>
              </w:rPr>
              <w:t>4</w:t>
            </w:r>
            <w:r w:rsidR="00391C69" w:rsidRPr="001677C7">
              <w:rPr>
                <w:rFonts w:asciiTheme="majorHAnsi" w:eastAsia="Times New Roman" w:hAnsiTheme="majorHAnsi" w:cstheme="majorHAnsi"/>
                <w:color w:val="000000"/>
                <w:sz w:val="18"/>
                <w:szCs w:val="18"/>
              </w:rPr>
              <w:t>%</w:t>
            </w:r>
            <w:r w:rsidR="00391C69" w:rsidRPr="001677C7">
              <w:rPr>
                <w:rFonts w:asciiTheme="majorHAnsi" w:eastAsia="Times New Roman" w:hAnsiTheme="majorHAnsi" w:cstheme="majorHAnsi"/>
                <w:color w:val="000000"/>
                <w:sz w:val="18"/>
                <w:szCs w:val="18"/>
              </w:rPr>
              <w:br/>
            </w:r>
            <w:r w:rsidR="00540208" w:rsidRPr="001677C7">
              <w:rPr>
                <w:rFonts w:asciiTheme="majorHAnsi" w:eastAsia="Times New Roman" w:hAnsiTheme="majorHAnsi" w:cstheme="majorHAnsi"/>
                <w:color w:val="000000"/>
                <w:sz w:val="18"/>
                <w:szCs w:val="18"/>
              </w:rPr>
              <w:t>39</w:t>
            </w:r>
            <w:r w:rsidR="00391C69" w:rsidRPr="001677C7">
              <w:rPr>
                <w:rFonts w:asciiTheme="majorHAnsi" w:eastAsia="Times New Roman" w:hAnsiTheme="majorHAnsi" w:cstheme="majorHAnsi"/>
                <w:color w:val="000000"/>
                <w:sz w:val="18"/>
                <w:szCs w:val="18"/>
              </w:rPr>
              <w:t>%</w:t>
            </w:r>
          </w:p>
        </w:tc>
        <w:tc>
          <w:tcPr>
            <w:tcW w:w="1260" w:type="dxa"/>
            <w:noWrap/>
            <w:hideMark/>
          </w:tcPr>
          <w:p w14:paraId="75406C1F" w14:textId="2B8D7129"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w:t>
            </w:r>
            <w:r w:rsidR="00391C69" w:rsidRPr="001677C7">
              <w:rPr>
                <w:rFonts w:asciiTheme="majorHAnsi" w:eastAsia="Times New Roman" w:hAnsiTheme="majorHAnsi" w:cstheme="majorHAnsi"/>
                <w:color w:val="000000"/>
                <w:sz w:val="18"/>
                <w:szCs w:val="18"/>
              </w:rPr>
              <w:t>%</w:t>
            </w:r>
            <w:r w:rsidR="00391C69" w:rsidRPr="001677C7">
              <w:rPr>
                <w:rFonts w:asciiTheme="majorHAnsi" w:eastAsia="Times New Roman" w:hAnsiTheme="majorHAnsi" w:cstheme="majorHAnsi"/>
                <w:color w:val="000000"/>
                <w:sz w:val="18"/>
                <w:szCs w:val="18"/>
              </w:rPr>
              <w:br/>
            </w:r>
            <w:r w:rsidR="00540208" w:rsidRPr="001677C7">
              <w:rPr>
                <w:rFonts w:asciiTheme="majorHAnsi" w:eastAsia="Times New Roman" w:hAnsiTheme="majorHAnsi" w:cstheme="majorHAnsi"/>
                <w:color w:val="000000"/>
                <w:sz w:val="18"/>
                <w:szCs w:val="18"/>
              </w:rPr>
              <w:t>2</w:t>
            </w:r>
            <w:r w:rsidR="00391C69" w:rsidRPr="001677C7">
              <w:rPr>
                <w:rFonts w:asciiTheme="majorHAnsi" w:eastAsia="Times New Roman" w:hAnsiTheme="majorHAnsi" w:cstheme="majorHAnsi"/>
                <w:color w:val="000000"/>
                <w:sz w:val="18"/>
                <w:szCs w:val="18"/>
              </w:rPr>
              <w:t>%</w:t>
            </w:r>
          </w:p>
        </w:tc>
        <w:tc>
          <w:tcPr>
            <w:tcW w:w="1350" w:type="dxa"/>
            <w:noWrap/>
            <w:hideMark/>
          </w:tcPr>
          <w:p w14:paraId="4380EA15" w14:textId="0D551E9B" w:rsidR="00391C69" w:rsidRPr="001677C7"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6</w:t>
            </w:r>
            <w:r w:rsidR="00540208" w:rsidRPr="001677C7">
              <w:rPr>
                <w:rFonts w:asciiTheme="majorHAnsi" w:eastAsia="Times New Roman" w:hAnsiTheme="majorHAnsi" w:cstheme="majorHAnsi"/>
                <w:sz w:val="18"/>
                <w:szCs w:val="18"/>
              </w:rPr>
              <w:t>7</w:t>
            </w:r>
            <w:r w:rsidR="00391C69" w:rsidRPr="001677C7">
              <w:rPr>
                <w:rFonts w:asciiTheme="majorHAnsi" w:eastAsia="Times New Roman" w:hAnsiTheme="majorHAnsi" w:cstheme="majorHAnsi"/>
                <w:sz w:val="18"/>
                <w:szCs w:val="18"/>
              </w:rPr>
              <w:br/>
            </w:r>
            <w:r w:rsidR="00540208" w:rsidRPr="001677C7">
              <w:rPr>
                <w:rFonts w:asciiTheme="majorHAnsi" w:eastAsia="Times New Roman" w:hAnsiTheme="majorHAnsi" w:cstheme="majorHAnsi"/>
                <w:sz w:val="18"/>
                <w:szCs w:val="18"/>
              </w:rPr>
              <w:t>80</w:t>
            </w:r>
          </w:p>
        </w:tc>
        <w:tc>
          <w:tcPr>
            <w:tcW w:w="1355" w:type="dxa"/>
            <w:noWrap/>
            <w:hideMark/>
          </w:tcPr>
          <w:p w14:paraId="43A0F52E" w14:textId="08DCB2CF" w:rsidR="00391C69" w:rsidRPr="001677C7"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6</w:t>
            </w:r>
            <w:r w:rsidR="00F411B9" w:rsidRPr="001677C7">
              <w:rPr>
                <w:rFonts w:asciiTheme="majorHAnsi" w:eastAsia="Times New Roman" w:hAnsiTheme="majorHAnsi" w:cstheme="majorHAnsi"/>
                <w:sz w:val="18"/>
                <w:szCs w:val="18"/>
              </w:rPr>
              <w:t>6</w:t>
            </w:r>
            <w:r w:rsidR="00391C69" w:rsidRPr="001677C7">
              <w:rPr>
                <w:rFonts w:asciiTheme="majorHAnsi" w:eastAsia="Times New Roman" w:hAnsiTheme="majorHAnsi" w:cstheme="majorHAnsi"/>
                <w:sz w:val="18"/>
                <w:szCs w:val="18"/>
              </w:rPr>
              <w:br/>
            </w:r>
            <w:r w:rsidR="00540208" w:rsidRPr="001677C7">
              <w:rPr>
                <w:rFonts w:asciiTheme="majorHAnsi" w:eastAsia="Times New Roman" w:hAnsiTheme="majorHAnsi" w:cstheme="majorHAnsi"/>
                <w:sz w:val="18"/>
                <w:szCs w:val="18"/>
              </w:rPr>
              <w:t>76</w:t>
            </w:r>
          </w:p>
        </w:tc>
      </w:tr>
      <w:tr w:rsidR="00391C69" w:rsidRPr="001677C7" w14:paraId="3EBEBA0D"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8C07607" w14:textId="7E19D40D"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Space occupied (</w:t>
            </w:r>
            <w:r w:rsidR="00097993" w:rsidRPr="001677C7">
              <w:rPr>
                <w:rFonts w:asciiTheme="majorHAnsi" w:eastAsia="Times New Roman" w:hAnsiTheme="majorHAnsi" w:cstheme="majorHAnsi"/>
                <w:b w:val="0"/>
                <w:color w:val="000000"/>
                <w:sz w:val="18"/>
                <w:szCs w:val="18"/>
              </w:rPr>
              <w:t>s</w:t>
            </w:r>
            <w:r w:rsidRPr="001677C7">
              <w:rPr>
                <w:rFonts w:asciiTheme="majorHAnsi" w:eastAsia="Times New Roman" w:hAnsiTheme="majorHAnsi" w:cstheme="majorHAnsi"/>
                <w:b w:val="0"/>
                <w:color w:val="000000"/>
                <w:sz w:val="18"/>
                <w:szCs w:val="18"/>
              </w:rPr>
              <w:t>quare footage)</w:t>
            </w:r>
          </w:p>
        </w:tc>
        <w:tc>
          <w:tcPr>
            <w:tcW w:w="1440" w:type="dxa"/>
            <w:noWrap/>
            <w:hideMark/>
          </w:tcPr>
          <w:p w14:paraId="2A7CA1B1" w14:textId="682AF8BF"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10</w:t>
            </w:r>
            <w:r w:rsidR="00391C69" w:rsidRPr="001677C7">
              <w:rPr>
                <w:rFonts w:asciiTheme="majorHAnsi" w:eastAsia="Times New Roman" w:hAnsiTheme="majorHAnsi" w:cstheme="majorHAnsi"/>
                <w:color w:val="000000"/>
                <w:sz w:val="18"/>
                <w:szCs w:val="18"/>
              </w:rPr>
              <w:t>%</w:t>
            </w:r>
          </w:p>
        </w:tc>
        <w:tc>
          <w:tcPr>
            <w:tcW w:w="1350" w:type="dxa"/>
            <w:noWrap/>
            <w:hideMark/>
          </w:tcPr>
          <w:p w14:paraId="0A53D128" w14:textId="6CDE6B8A"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83</w:t>
            </w:r>
            <w:r w:rsidR="00391C69" w:rsidRPr="001677C7">
              <w:rPr>
                <w:rFonts w:asciiTheme="majorHAnsi" w:eastAsia="Times New Roman" w:hAnsiTheme="majorHAnsi" w:cstheme="majorHAnsi"/>
                <w:color w:val="000000"/>
                <w:sz w:val="18"/>
                <w:szCs w:val="18"/>
              </w:rPr>
              <w:t>%</w:t>
            </w:r>
          </w:p>
        </w:tc>
        <w:tc>
          <w:tcPr>
            <w:tcW w:w="1260" w:type="dxa"/>
            <w:noWrap/>
            <w:hideMark/>
          </w:tcPr>
          <w:p w14:paraId="4C8B9471" w14:textId="764D21B7"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7</w:t>
            </w:r>
            <w:r w:rsidR="00391C69" w:rsidRPr="001677C7">
              <w:rPr>
                <w:rFonts w:asciiTheme="majorHAnsi" w:eastAsia="Times New Roman" w:hAnsiTheme="majorHAnsi" w:cstheme="majorHAnsi"/>
                <w:color w:val="000000"/>
                <w:sz w:val="18"/>
                <w:szCs w:val="18"/>
              </w:rPr>
              <w:t>%</w:t>
            </w:r>
          </w:p>
        </w:tc>
        <w:tc>
          <w:tcPr>
            <w:tcW w:w="1350" w:type="dxa"/>
            <w:noWrap/>
            <w:hideMark/>
          </w:tcPr>
          <w:p w14:paraId="21CA93A3" w14:textId="3F131659"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52</w:t>
            </w:r>
          </w:p>
        </w:tc>
        <w:tc>
          <w:tcPr>
            <w:tcW w:w="1355" w:type="dxa"/>
            <w:noWrap/>
            <w:hideMark/>
          </w:tcPr>
          <w:p w14:paraId="738E8CDC" w14:textId="3468FE59"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49</w:t>
            </w:r>
          </w:p>
        </w:tc>
      </w:tr>
      <w:tr w:rsidR="00391C69" w:rsidRPr="001677C7" w14:paraId="7665DD09"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5F44E61" w14:textId="77777777" w:rsidR="00391C69" w:rsidRPr="001677C7" w:rsidRDefault="00391C69"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Exports (sales for foreign clients)</w:t>
            </w:r>
          </w:p>
        </w:tc>
        <w:tc>
          <w:tcPr>
            <w:tcW w:w="1440" w:type="dxa"/>
            <w:noWrap/>
            <w:hideMark/>
          </w:tcPr>
          <w:p w14:paraId="786FA7EA" w14:textId="03F6D8CA"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8</w:t>
            </w:r>
            <w:r w:rsidR="00391C69" w:rsidRPr="001677C7">
              <w:rPr>
                <w:rFonts w:asciiTheme="majorHAnsi" w:eastAsia="Times New Roman" w:hAnsiTheme="majorHAnsi" w:cstheme="majorHAnsi"/>
                <w:color w:val="000000"/>
                <w:sz w:val="18"/>
                <w:szCs w:val="18"/>
              </w:rPr>
              <w:t>%</w:t>
            </w:r>
          </w:p>
        </w:tc>
        <w:tc>
          <w:tcPr>
            <w:tcW w:w="1350" w:type="dxa"/>
            <w:noWrap/>
            <w:hideMark/>
          </w:tcPr>
          <w:p w14:paraId="6E89C38D" w14:textId="0273B9FC"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85</w:t>
            </w:r>
            <w:r w:rsidR="00391C69" w:rsidRPr="001677C7">
              <w:rPr>
                <w:rFonts w:asciiTheme="majorHAnsi" w:eastAsia="Times New Roman" w:hAnsiTheme="majorHAnsi" w:cstheme="majorHAnsi"/>
                <w:color w:val="000000"/>
                <w:sz w:val="18"/>
                <w:szCs w:val="18"/>
              </w:rPr>
              <w:t>%</w:t>
            </w:r>
          </w:p>
        </w:tc>
        <w:tc>
          <w:tcPr>
            <w:tcW w:w="1260" w:type="dxa"/>
            <w:noWrap/>
            <w:hideMark/>
          </w:tcPr>
          <w:p w14:paraId="361FE8B1" w14:textId="5C56212C" w:rsidR="00391C69" w:rsidRPr="001677C7" w:rsidRDefault="0054020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7</w:t>
            </w:r>
            <w:r w:rsidR="00391C69" w:rsidRPr="001677C7">
              <w:rPr>
                <w:rFonts w:asciiTheme="majorHAnsi" w:eastAsia="Times New Roman" w:hAnsiTheme="majorHAnsi" w:cstheme="majorHAnsi"/>
                <w:color w:val="000000"/>
                <w:sz w:val="18"/>
                <w:szCs w:val="18"/>
              </w:rPr>
              <w:t>%</w:t>
            </w:r>
          </w:p>
        </w:tc>
        <w:tc>
          <w:tcPr>
            <w:tcW w:w="1350" w:type="dxa"/>
            <w:noWrap/>
            <w:hideMark/>
          </w:tcPr>
          <w:p w14:paraId="012E9A82" w14:textId="0CBF7B22" w:rsidR="00391C69" w:rsidRPr="001677C7" w:rsidRDefault="0081643D"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1</w:t>
            </w:r>
          </w:p>
        </w:tc>
        <w:tc>
          <w:tcPr>
            <w:tcW w:w="1355" w:type="dxa"/>
            <w:noWrap/>
            <w:hideMark/>
          </w:tcPr>
          <w:p w14:paraId="73EA1649" w14:textId="3A8CE172" w:rsidR="00391C69" w:rsidRPr="001677C7"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540208" w:rsidRPr="001677C7">
              <w:rPr>
                <w:rFonts w:asciiTheme="majorHAnsi" w:eastAsia="Times New Roman" w:hAnsiTheme="majorHAnsi" w:cstheme="majorHAnsi"/>
                <w:sz w:val="18"/>
                <w:szCs w:val="18"/>
              </w:rPr>
              <w:t>0</w:t>
            </w:r>
          </w:p>
        </w:tc>
      </w:tr>
    </w:tbl>
    <w:p w14:paraId="3CDDAB04" w14:textId="77777777" w:rsidR="00A97C01" w:rsidRPr="001677C7" w:rsidRDefault="00A97C01" w:rsidP="009B3DF5">
      <w:pPr>
        <w:spacing w:after="0" w:line="72" w:lineRule="auto"/>
        <w:rPr>
          <w:rFonts w:asciiTheme="majorHAnsi" w:hAnsiTheme="majorHAnsi" w:cstheme="majorHAnsi"/>
          <w:sz w:val="18"/>
          <w:szCs w:val="18"/>
        </w:rPr>
      </w:pPr>
    </w:p>
    <w:tbl>
      <w:tblPr>
        <w:tblStyle w:val="PlainTable4"/>
        <w:tblW w:w="10526"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Indicators for Labor Indicators Expectations Following Year"/>
        <w:tblDescription w:val="Table showing that 42 percent of respondents expecting no changes in wages per worker. Sixty-three percent expect no changes in benefits per worker."/>
      </w:tblPr>
      <w:tblGrid>
        <w:gridCol w:w="2885"/>
        <w:gridCol w:w="902"/>
        <w:gridCol w:w="1334"/>
        <w:gridCol w:w="1440"/>
        <w:gridCol w:w="1170"/>
        <w:gridCol w:w="1350"/>
        <w:gridCol w:w="1445"/>
      </w:tblGrid>
      <w:tr w:rsidR="00E647F4" w:rsidRPr="001677C7" w14:paraId="04A3E3C5"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885" w:type="dxa"/>
            <w:tcBorders>
              <w:top w:val="single" w:sz="4" w:space="0" w:color="auto"/>
              <w:bottom w:val="single" w:sz="4" w:space="0" w:color="auto"/>
            </w:tcBorders>
            <w:shd w:val="clear" w:color="auto" w:fill="BDD6EE" w:themeFill="accent1" w:themeFillTint="66"/>
            <w:noWrap/>
            <w:hideMark/>
          </w:tcPr>
          <w:p w14:paraId="1EF67EF7" w14:textId="7B6C6CB2" w:rsidR="00A97C01" w:rsidRPr="001677C7" w:rsidRDefault="000A28AD" w:rsidP="000A28AD">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Expected l</w:t>
            </w:r>
            <w:r w:rsidR="00722892" w:rsidRPr="001677C7">
              <w:rPr>
                <w:rFonts w:asciiTheme="majorHAnsi" w:eastAsia="Times New Roman" w:hAnsiTheme="majorHAnsi" w:cstheme="majorHAnsi"/>
                <w:color w:val="000000"/>
                <w:sz w:val="18"/>
                <w:szCs w:val="18"/>
              </w:rPr>
              <w:t>abor i</w:t>
            </w:r>
            <w:r w:rsidR="0023223B" w:rsidRPr="001677C7">
              <w:rPr>
                <w:rFonts w:asciiTheme="majorHAnsi" w:eastAsia="Times New Roman" w:hAnsiTheme="majorHAnsi" w:cstheme="majorHAnsi"/>
                <w:color w:val="000000"/>
                <w:sz w:val="18"/>
                <w:szCs w:val="18"/>
              </w:rPr>
              <w:t>ndi</w:t>
            </w:r>
            <w:r w:rsidR="00391C69" w:rsidRPr="001677C7">
              <w:rPr>
                <w:rFonts w:asciiTheme="majorHAnsi" w:eastAsia="Times New Roman" w:hAnsiTheme="majorHAnsi" w:cstheme="majorHAnsi"/>
                <w:color w:val="000000"/>
                <w:sz w:val="18"/>
                <w:szCs w:val="18"/>
              </w:rPr>
              <w:t xml:space="preserve">cators during next </w:t>
            </w:r>
            <w:r w:rsidR="007C7CDC" w:rsidRPr="001677C7">
              <w:rPr>
                <w:rFonts w:asciiTheme="majorHAnsi" w:eastAsia="Times New Roman" w:hAnsiTheme="majorHAnsi" w:cstheme="majorHAnsi"/>
                <w:color w:val="000000"/>
                <w:sz w:val="18"/>
                <w:szCs w:val="18"/>
              </w:rPr>
              <w:t>year</w:t>
            </w:r>
          </w:p>
        </w:tc>
        <w:tc>
          <w:tcPr>
            <w:tcW w:w="902" w:type="dxa"/>
            <w:tcBorders>
              <w:top w:val="single" w:sz="4" w:space="0" w:color="auto"/>
              <w:bottom w:val="single" w:sz="4" w:space="0" w:color="auto"/>
            </w:tcBorders>
            <w:shd w:val="clear" w:color="auto" w:fill="BDD6EE" w:themeFill="accent1" w:themeFillTint="66"/>
            <w:noWrap/>
            <w:hideMark/>
          </w:tcPr>
          <w:p w14:paraId="71717A48"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296D10F9" w14:textId="2589FB8B"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0</w:t>
            </w:r>
            <w:r w:rsidR="00CF504B">
              <w:rPr>
                <w:rFonts w:asciiTheme="majorHAnsi" w:eastAsia="Times New Roman" w:hAnsiTheme="majorHAnsi" w:cstheme="majorHAnsi"/>
                <w:color w:val="000000"/>
                <w:sz w:val="18"/>
                <w:szCs w:val="18"/>
              </w:rPr>
              <w:t>%</w:t>
            </w:r>
          </w:p>
        </w:tc>
        <w:tc>
          <w:tcPr>
            <w:tcW w:w="1440" w:type="dxa"/>
            <w:tcBorders>
              <w:top w:val="single" w:sz="4" w:space="0" w:color="auto"/>
              <w:bottom w:val="single" w:sz="4" w:space="0" w:color="auto"/>
            </w:tcBorders>
            <w:shd w:val="clear" w:color="auto" w:fill="BDD6EE" w:themeFill="accent1" w:themeFillTint="66"/>
            <w:noWrap/>
            <w:hideMark/>
          </w:tcPr>
          <w:p w14:paraId="5830DAD3"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p>
        </w:tc>
        <w:tc>
          <w:tcPr>
            <w:tcW w:w="1170" w:type="dxa"/>
            <w:tcBorders>
              <w:top w:val="single" w:sz="4" w:space="0" w:color="auto"/>
              <w:bottom w:val="single" w:sz="4" w:space="0" w:color="auto"/>
            </w:tcBorders>
            <w:shd w:val="clear" w:color="auto" w:fill="BDD6EE" w:themeFill="accent1" w:themeFillTint="66"/>
            <w:noWrap/>
            <w:hideMark/>
          </w:tcPr>
          <w:p w14:paraId="6547BD99"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0C417478"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6-9%</w:t>
            </w:r>
          </w:p>
        </w:tc>
        <w:tc>
          <w:tcPr>
            <w:tcW w:w="1445" w:type="dxa"/>
            <w:tcBorders>
              <w:top w:val="single" w:sz="4" w:space="0" w:color="auto"/>
              <w:bottom w:val="single" w:sz="4" w:space="0" w:color="auto"/>
            </w:tcBorders>
            <w:shd w:val="clear" w:color="auto" w:fill="BDD6EE" w:themeFill="accent1" w:themeFillTint="66"/>
            <w:noWrap/>
            <w:hideMark/>
          </w:tcPr>
          <w:p w14:paraId="461DE9EC"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&gt;10%</w:t>
            </w:r>
          </w:p>
        </w:tc>
      </w:tr>
      <w:tr w:rsidR="00E647F4" w:rsidRPr="001677C7" w14:paraId="16B28540" w14:textId="77777777" w:rsidTr="000A28AD">
        <w:trPr>
          <w:trHeight w:val="144"/>
          <w:jc w:val="center"/>
        </w:trPr>
        <w:tc>
          <w:tcPr>
            <w:tcW w:w="2885" w:type="dxa"/>
            <w:tcBorders>
              <w:top w:val="single" w:sz="4" w:space="0" w:color="auto"/>
            </w:tcBorders>
            <w:noWrap/>
            <w:hideMark/>
          </w:tcPr>
          <w:p w14:paraId="1E65B8A9" w14:textId="77777777" w:rsidR="00A97C01" w:rsidRPr="001677C7" w:rsidRDefault="00A97C01"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Wages per worker</w:t>
            </w:r>
          </w:p>
        </w:tc>
        <w:tc>
          <w:tcPr>
            <w:tcW w:w="902" w:type="dxa"/>
            <w:tcBorders>
              <w:top w:val="single" w:sz="4" w:space="0" w:color="auto"/>
            </w:tcBorders>
            <w:noWrap/>
            <w:hideMark/>
          </w:tcPr>
          <w:p w14:paraId="3F69F8CC" w14:textId="4001CD19" w:rsidR="00A97C01"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7</w:t>
            </w:r>
            <w:r w:rsidR="00A97C01" w:rsidRPr="001677C7">
              <w:rPr>
                <w:rFonts w:asciiTheme="majorHAnsi" w:eastAsia="Times New Roman" w:hAnsiTheme="majorHAnsi" w:cstheme="majorHAnsi"/>
                <w:color w:val="000000"/>
                <w:sz w:val="18"/>
                <w:szCs w:val="18"/>
              </w:rPr>
              <w:t>%</w:t>
            </w:r>
          </w:p>
        </w:tc>
        <w:tc>
          <w:tcPr>
            <w:tcW w:w="1334" w:type="dxa"/>
            <w:tcBorders>
              <w:top w:val="single" w:sz="4" w:space="0" w:color="auto"/>
            </w:tcBorders>
            <w:noWrap/>
            <w:hideMark/>
          </w:tcPr>
          <w:p w14:paraId="5F7A75EF" w14:textId="30EE8091"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13</w:t>
            </w:r>
            <w:r w:rsidR="00A97C01" w:rsidRPr="001677C7">
              <w:rPr>
                <w:rFonts w:asciiTheme="majorHAnsi" w:eastAsia="Times New Roman" w:hAnsiTheme="majorHAnsi" w:cstheme="majorHAnsi"/>
                <w:color w:val="000000"/>
                <w:sz w:val="18"/>
                <w:szCs w:val="18"/>
              </w:rPr>
              <w:t>%</w:t>
            </w:r>
          </w:p>
        </w:tc>
        <w:tc>
          <w:tcPr>
            <w:tcW w:w="1440" w:type="dxa"/>
            <w:tcBorders>
              <w:top w:val="single" w:sz="4" w:space="0" w:color="auto"/>
            </w:tcBorders>
            <w:noWrap/>
            <w:hideMark/>
          </w:tcPr>
          <w:p w14:paraId="780B4B21" w14:textId="1FEFB057"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16</w:t>
            </w:r>
            <w:r w:rsidR="00A97C01" w:rsidRPr="001677C7">
              <w:rPr>
                <w:rFonts w:asciiTheme="majorHAnsi" w:eastAsia="Times New Roman" w:hAnsiTheme="majorHAnsi" w:cstheme="majorHAnsi"/>
                <w:color w:val="000000"/>
                <w:sz w:val="18"/>
                <w:szCs w:val="18"/>
              </w:rPr>
              <w:t>%</w:t>
            </w:r>
          </w:p>
        </w:tc>
        <w:tc>
          <w:tcPr>
            <w:tcW w:w="1170" w:type="dxa"/>
            <w:tcBorders>
              <w:top w:val="single" w:sz="4" w:space="0" w:color="auto"/>
            </w:tcBorders>
            <w:noWrap/>
            <w:hideMark/>
          </w:tcPr>
          <w:p w14:paraId="644E341C" w14:textId="024CEFF7"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45</w:t>
            </w:r>
            <w:r w:rsidR="00A97C01" w:rsidRPr="001677C7">
              <w:rPr>
                <w:rFonts w:asciiTheme="majorHAnsi" w:eastAsia="Times New Roman" w:hAnsiTheme="majorHAnsi" w:cstheme="majorHAnsi"/>
                <w:color w:val="000000"/>
                <w:sz w:val="18"/>
                <w:szCs w:val="18"/>
              </w:rPr>
              <w:t>%</w:t>
            </w:r>
          </w:p>
        </w:tc>
        <w:tc>
          <w:tcPr>
            <w:tcW w:w="1350" w:type="dxa"/>
            <w:tcBorders>
              <w:top w:val="single" w:sz="4" w:space="0" w:color="auto"/>
            </w:tcBorders>
            <w:noWrap/>
            <w:hideMark/>
          </w:tcPr>
          <w:p w14:paraId="27321195" w14:textId="474BBA65" w:rsidR="00A97C01" w:rsidRPr="001677C7" w:rsidRDefault="0081643D"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3</w:t>
            </w:r>
            <w:r w:rsidR="00A97C01" w:rsidRPr="001677C7">
              <w:rPr>
                <w:rFonts w:asciiTheme="majorHAnsi" w:eastAsia="Times New Roman" w:hAnsiTheme="majorHAnsi" w:cstheme="majorHAnsi"/>
                <w:color w:val="000000"/>
                <w:sz w:val="18"/>
                <w:szCs w:val="18"/>
              </w:rPr>
              <w:t>%</w:t>
            </w:r>
          </w:p>
        </w:tc>
        <w:tc>
          <w:tcPr>
            <w:tcW w:w="1445" w:type="dxa"/>
            <w:tcBorders>
              <w:top w:val="single" w:sz="4" w:space="0" w:color="auto"/>
            </w:tcBorders>
            <w:noWrap/>
            <w:hideMark/>
          </w:tcPr>
          <w:p w14:paraId="46D93AD3" w14:textId="628E84D8" w:rsidR="00A97C01" w:rsidRPr="001677C7" w:rsidRDefault="00532ED4"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7</w:t>
            </w:r>
            <w:r w:rsidR="00A97C01" w:rsidRPr="001677C7">
              <w:rPr>
                <w:rFonts w:asciiTheme="majorHAnsi" w:eastAsia="Times New Roman" w:hAnsiTheme="majorHAnsi" w:cstheme="majorHAnsi"/>
                <w:color w:val="000000"/>
                <w:sz w:val="18"/>
                <w:szCs w:val="18"/>
              </w:rPr>
              <w:t>%</w:t>
            </w:r>
          </w:p>
        </w:tc>
      </w:tr>
      <w:tr w:rsidR="00E647F4" w:rsidRPr="001677C7" w14:paraId="1AE1A806" w14:textId="77777777" w:rsidTr="000A28AD">
        <w:trPr>
          <w:trHeight w:val="144"/>
          <w:jc w:val="center"/>
        </w:trPr>
        <w:tc>
          <w:tcPr>
            <w:tcW w:w="2885" w:type="dxa"/>
            <w:noWrap/>
            <w:hideMark/>
          </w:tcPr>
          <w:p w14:paraId="59AE9E7F" w14:textId="77777777" w:rsidR="00A97C01" w:rsidRPr="001677C7" w:rsidRDefault="00A97C01"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Benefits per worker</w:t>
            </w:r>
          </w:p>
        </w:tc>
        <w:tc>
          <w:tcPr>
            <w:tcW w:w="902" w:type="dxa"/>
            <w:noWrap/>
            <w:hideMark/>
          </w:tcPr>
          <w:p w14:paraId="1B035B76" w14:textId="3F23AC5C" w:rsidR="00A97C01" w:rsidRPr="001677C7" w:rsidRDefault="00F411B9"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w:t>
            </w:r>
            <w:r w:rsidR="00A97C01" w:rsidRPr="001677C7">
              <w:rPr>
                <w:rFonts w:asciiTheme="majorHAnsi" w:eastAsia="Times New Roman" w:hAnsiTheme="majorHAnsi" w:cstheme="majorHAnsi"/>
                <w:color w:val="000000"/>
                <w:sz w:val="18"/>
                <w:szCs w:val="18"/>
              </w:rPr>
              <w:t>%</w:t>
            </w:r>
          </w:p>
        </w:tc>
        <w:tc>
          <w:tcPr>
            <w:tcW w:w="1334" w:type="dxa"/>
            <w:noWrap/>
            <w:hideMark/>
          </w:tcPr>
          <w:p w14:paraId="6AD871DD" w14:textId="70DB9FD9"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25</w:t>
            </w:r>
            <w:r w:rsidR="00A97C01" w:rsidRPr="001677C7">
              <w:rPr>
                <w:rFonts w:asciiTheme="majorHAnsi" w:eastAsia="Times New Roman" w:hAnsiTheme="majorHAnsi" w:cstheme="majorHAnsi"/>
                <w:color w:val="000000"/>
                <w:sz w:val="18"/>
                <w:szCs w:val="18"/>
              </w:rPr>
              <w:t>%</w:t>
            </w:r>
          </w:p>
        </w:tc>
        <w:tc>
          <w:tcPr>
            <w:tcW w:w="1440" w:type="dxa"/>
            <w:noWrap/>
            <w:hideMark/>
          </w:tcPr>
          <w:p w14:paraId="0C952DBD" w14:textId="1D8FF9F3" w:rsidR="00A97C01" w:rsidRPr="001677C7" w:rsidRDefault="0081643D"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9</w:t>
            </w:r>
            <w:r w:rsidR="00A97C01" w:rsidRPr="001677C7">
              <w:rPr>
                <w:rFonts w:asciiTheme="majorHAnsi" w:eastAsia="Times New Roman" w:hAnsiTheme="majorHAnsi" w:cstheme="majorHAnsi"/>
                <w:color w:val="000000"/>
                <w:sz w:val="18"/>
                <w:szCs w:val="18"/>
              </w:rPr>
              <w:t>%</w:t>
            </w:r>
          </w:p>
        </w:tc>
        <w:tc>
          <w:tcPr>
            <w:tcW w:w="1170" w:type="dxa"/>
            <w:noWrap/>
            <w:hideMark/>
          </w:tcPr>
          <w:p w14:paraId="52086847" w14:textId="0E70E4D0" w:rsidR="00A97C01" w:rsidRPr="001677C7" w:rsidRDefault="0081643D"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w:t>
            </w:r>
            <w:r w:rsidR="00540208" w:rsidRPr="001677C7">
              <w:rPr>
                <w:rFonts w:asciiTheme="majorHAnsi" w:eastAsia="Times New Roman" w:hAnsiTheme="majorHAnsi" w:cstheme="majorHAnsi"/>
                <w:color w:val="000000"/>
                <w:sz w:val="18"/>
                <w:szCs w:val="18"/>
              </w:rPr>
              <w:t>9</w:t>
            </w:r>
            <w:r w:rsidR="00A97C01" w:rsidRPr="001677C7">
              <w:rPr>
                <w:rFonts w:asciiTheme="majorHAnsi" w:eastAsia="Times New Roman" w:hAnsiTheme="majorHAnsi" w:cstheme="majorHAnsi"/>
                <w:color w:val="000000"/>
                <w:sz w:val="18"/>
                <w:szCs w:val="18"/>
              </w:rPr>
              <w:t>%</w:t>
            </w:r>
          </w:p>
        </w:tc>
        <w:tc>
          <w:tcPr>
            <w:tcW w:w="1350" w:type="dxa"/>
            <w:noWrap/>
            <w:hideMark/>
          </w:tcPr>
          <w:p w14:paraId="2795439C" w14:textId="369F1EC1"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17</w:t>
            </w:r>
            <w:r w:rsidR="00A97C01" w:rsidRPr="001677C7">
              <w:rPr>
                <w:rFonts w:asciiTheme="majorHAnsi" w:eastAsia="Times New Roman" w:hAnsiTheme="majorHAnsi" w:cstheme="majorHAnsi"/>
                <w:color w:val="000000"/>
                <w:sz w:val="18"/>
                <w:szCs w:val="18"/>
              </w:rPr>
              <w:t>%</w:t>
            </w:r>
          </w:p>
        </w:tc>
        <w:tc>
          <w:tcPr>
            <w:tcW w:w="1445" w:type="dxa"/>
            <w:noWrap/>
            <w:hideMark/>
          </w:tcPr>
          <w:p w14:paraId="244F8D04" w14:textId="669470A5" w:rsidR="00A97C01" w:rsidRPr="001677C7" w:rsidRDefault="00540208"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8</w:t>
            </w:r>
            <w:r w:rsidR="00A97C01" w:rsidRPr="001677C7">
              <w:rPr>
                <w:rFonts w:asciiTheme="majorHAnsi" w:eastAsia="Times New Roman" w:hAnsiTheme="majorHAnsi" w:cstheme="majorHAnsi"/>
                <w:color w:val="000000"/>
                <w:sz w:val="18"/>
                <w:szCs w:val="18"/>
              </w:rPr>
              <w:t>%</w:t>
            </w:r>
          </w:p>
        </w:tc>
      </w:tr>
    </w:tbl>
    <w:p w14:paraId="5DF7B24A" w14:textId="77777777" w:rsidR="00A97C01" w:rsidRPr="001677C7" w:rsidRDefault="00A97C01" w:rsidP="009B3DF5">
      <w:pPr>
        <w:spacing w:after="0" w:line="72" w:lineRule="auto"/>
        <w:rPr>
          <w:rFonts w:asciiTheme="majorHAnsi" w:hAnsiTheme="majorHAnsi" w:cstheme="majorHAnsi"/>
        </w:rPr>
      </w:pPr>
    </w:p>
    <w:tbl>
      <w:tblPr>
        <w:tblStyle w:val="PlainTable4"/>
        <w:tblW w:w="10540"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Economic outlook for the next year"/>
        <w:tblDescription w:val="Minnesota business services firms expect mostly contracting conditions. Fifty-two percent expect a decline in consumer spending and corporate profits. Additionally, 44 percent anticipate a drop in employment.  &#10;Nearly half of respondents indicated they expect unchanged inflation while a similar percentage (46 percent) expect an increase.&#10;"/>
      </w:tblPr>
      <w:tblGrid>
        <w:gridCol w:w="3875"/>
        <w:gridCol w:w="1252"/>
        <w:gridCol w:w="1293"/>
        <w:gridCol w:w="1561"/>
        <w:gridCol w:w="1204"/>
        <w:gridCol w:w="1355"/>
      </w:tblGrid>
      <w:tr w:rsidR="001D0139" w:rsidRPr="001677C7" w14:paraId="458BD290" w14:textId="77777777" w:rsidTr="00B86180">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75" w:type="dxa"/>
            <w:tcBorders>
              <w:top w:val="single" w:sz="4" w:space="0" w:color="auto"/>
              <w:bottom w:val="single" w:sz="4" w:space="0" w:color="auto"/>
            </w:tcBorders>
            <w:shd w:val="clear" w:color="auto" w:fill="BDD6EE" w:themeFill="accent1" w:themeFillTint="66"/>
            <w:noWrap/>
            <w:hideMark/>
          </w:tcPr>
          <w:p w14:paraId="027F9EFF" w14:textId="6098A778" w:rsidR="00A97C01" w:rsidRPr="00C75042" w:rsidRDefault="00033FB0" w:rsidP="00C75042">
            <w:pPr>
              <w:pStyle w:val="ListParagraph"/>
              <w:numPr>
                <w:ilvl w:val="0"/>
                <w:numId w:val="14"/>
              </w:numPr>
              <w:rPr>
                <w:rFonts w:asciiTheme="majorHAnsi" w:eastAsia="Times New Roman" w:hAnsiTheme="majorHAnsi" w:cstheme="majorHAnsi"/>
                <w:color w:val="000000"/>
                <w:sz w:val="18"/>
                <w:szCs w:val="18"/>
              </w:rPr>
            </w:pPr>
            <w:r w:rsidRPr="00C75042">
              <w:rPr>
                <w:rFonts w:asciiTheme="majorHAnsi" w:eastAsia="Times New Roman" w:hAnsiTheme="majorHAnsi" w:cstheme="majorHAnsi"/>
                <w:color w:val="000000"/>
                <w:sz w:val="18"/>
                <w:szCs w:val="18"/>
              </w:rPr>
              <w:t>O</w:t>
            </w:r>
            <w:r w:rsidR="00BE474F" w:rsidRPr="00C75042">
              <w:rPr>
                <w:rFonts w:asciiTheme="majorHAnsi" w:eastAsia="Times New Roman" w:hAnsiTheme="majorHAnsi" w:cstheme="majorHAnsi"/>
                <w:color w:val="000000"/>
                <w:sz w:val="18"/>
                <w:szCs w:val="18"/>
              </w:rPr>
              <w:t xml:space="preserve">utlook on the following state economic indicators during the next year </w:t>
            </w:r>
          </w:p>
        </w:tc>
        <w:tc>
          <w:tcPr>
            <w:tcW w:w="1252" w:type="dxa"/>
            <w:tcBorders>
              <w:top w:val="single" w:sz="4" w:space="0" w:color="auto"/>
              <w:bottom w:val="single" w:sz="4" w:space="0" w:color="auto"/>
            </w:tcBorders>
            <w:shd w:val="clear" w:color="auto" w:fill="BDD6EE" w:themeFill="accent1" w:themeFillTint="66"/>
            <w:noWrap/>
            <w:hideMark/>
          </w:tcPr>
          <w:p w14:paraId="75035581"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Up</w:t>
            </w:r>
          </w:p>
        </w:tc>
        <w:tc>
          <w:tcPr>
            <w:tcW w:w="1293" w:type="dxa"/>
            <w:tcBorders>
              <w:top w:val="single" w:sz="4" w:space="0" w:color="auto"/>
              <w:bottom w:val="single" w:sz="4" w:space="0" w:color="auto"/>
            </w:tcBorders>
            <w:shd w:val="clear" w:color="auto" w:fill="BDD6EE" w:themeFill="accent1" w:themeFillTint="66"/>
            <w:noWrap/>
            <w:hideMark/>
          </w:tcPr>
          <w:p w14:paraId="1BF430E7"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Same</w:t>
            </w:r>
          </w:p>
        </w:tc>
        <w:tc>
          <w:tcPr>
            <w:tcW w:w="1561" w:type="dxa"/>
            <w:tcBorders>
              <w:top w:val="single" w:sz="4" w:space="0" w:color="auto"/>
              <w:bottom w:val="single" w:sz="4" w:space="0" w:color="auto"/>
            </w:tcBorders>
            <w:shd w:val="clear" w:color="auto" w:fill="BDD6EE" w:themeFill="accent1" w:themeFillTint="66"/>
            <w:noWrap/>
            <w:hideMark/>
          </w:tcPr>
          <w:p w14:paraId="0204BBDA"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Down</w:t>
            </w:r>
          </w:p>
        </w:tc>
        <w:tc>
          <w:tcPr>
            <w:tcW w:w="1204" w:type="dxa"/>
            <w:tcBorders>
              <w:top w:val="single" w:sz="4" w:space="0" w:color="auto"/>
              <w:bottom w:val="single" w:sz="4" w:space="0" w:color="auto"/>
            </w:tcBorders>
            <w:shd w:val="clear" w:color="auto" w:fill="BDD6EE" w:themeFill="accent1" w:themeFillTint="66"/>
            <w:noWrap/>
            <w:hideMark/>
          </w:tcPr>
          <w:p w14:paraId="0AA75AF0" w14:textId="3E9F8D27" w:rsidR="00A97C01" w:rsidRPr="001677C7" w:rsidRDefault="00391C69" w:rsidP="001631FC">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 xml:space="preserve">Diffusion </w:t>
            </w:r>
            <w:r w:rsidR="00A47862" w:rsidRPr="001677C7">
              <w:rPr>
                <w:rFonts w:asciiTheme="majorHAnsi" w:eastAsia="Times New Roman" w:hAnsiTheme="majorHAnsi" w:cstheme="majorHAnsi"/>
                <w:sz w:val="18"/>
                <w:szCs w:val="18"/>
              </w:rPr>
              <w:t>i</w:t>
            </w:r>
            <w:r w:rsidRPr="001677C7">
              <w:rPr>
                <w:rFonts w:asciiTheme="majorHAnsi" w:eastAsia="Times New Roman" w:hAnsiTheme="majorHAnsi" w:cstheme="majorHAnsi"/>
                <w:sz w:val="18"/>
                <w:szCs w:val="18"/>
              </w:rPr>
              <w:t>ndex 202</w:t>
            </w:r>
            <w:r w:rsidR="00540208" w:rsidRPr="001677C7">
              <w:rPr>
                <w:rFonts w:asciiTheme="majorHAnsi" w:eastAsia="Times New Roman" w:hAnsiTheme="majorHAnsi" w:cstheme="majorHAnsi"/>
                <w:sz w:val="18"/>
                <w:szCs w:val="18"/>
              </w:rPr>
              <w:t>4</w:t>
            </w:r>
            <w:r w:rsidR="00AE0EFF" w:rsidRPr="001677C7">
              <w:rPr>
                <w:rFonts w:asciiTheme="majorHAnsi" w:eastAsia="Times New Roman" w:hAnsiTheme="majorHAnsi" w:cstheme="majorHAnsi"/>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14:paraId="51585A44" w14:textId="61F5AE23" w:rsidR="00A97C01" w:rsidRPr="001677C7" w:rsidRDefault="00AE0EFF" w:rsidP="001631FC">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 xml:space="preserve">Diffusion </w:t>
            </w:r>
            <w:r w:rsidR="00A47862" w:rsidRPr="001677C7">
              <w:rPr>
                <w:rFonts w:asciiTheme="majorHAnsi" w:eastAsia="Times New Roman" w:hAnsiTheme="majorHAnsi" w:cstheme="majorHAnsi"/>
                <w:sz w:val="18"/>
                <w:szCs w:val="18"/>
              </w:rPr>
              <w:t>i</w:t>
            </w:r>
            <w:r w:rsidR="00391C69" w:rsidRPr="001677C7">
              <w:rPr>
                <w:rFonts w:asciiTheme="majorHAnsi" w:eastAsia="Times New Roman" w:hAnsiTheme="majorHAnsi" w:cstheme="majorHAnsi"/>
                <w:sz w:val="18"/>
                <w:szCs w:val="18"/>
              </w:rPr>
              <w:t>ndex 20</w:t>
            </w:r>
            <w:r w:rsidR="003B7BDF" w:rsidRPr="001677C7">
              <w:rPr>
                <w:rFonts w:asciiTheme="majorHAnsi" w:eastAsia="Times New Roman" w:hAnsiTheme="majorHAnsi" w:cstheme="majorHAnsi"/>
                <w:sz w:val="18"/>
                <w:szCs w:val="18"/>
              </w:rPr>
              <w:t>2</w:t>
            </w:r>
            <w:r w:rsidR="00540208" w:rsidRPr="001677C7">
              <w:rPr>
                <w:rFonts w:asciiTheme="majorHAnsi" w:eastAsia="Times New Roman" w:hAnsiTheme="majorHAnsi" w:cstheme="majorHAnsi"/>
                <w:sz w:val="18"/>
                <w:szCs w:val="18"/>
              </w:rPr>
              <w:t>3</w:t>
            </w:r>
            <w:r w:rsidRPr="001677C7">
              <w:rPr>
                <w:rFonts w:asciiTheme="majorHAnsi" w:eastAsia="Times New Roman" w:hAnsiTheme="majorHAnsi" w:cstheme="majorHAnsi"/>
                <w:sz w:val="18"/>
                <w:szCs w:val="18"/>
                <w:vertAlign w:val="superscript"/>
              </w:rPr>
              <w:t>(2)</w:t>
            </w:r>
          </w:p>
        </w:tc>
      </w:tr>
      <w:tr w:rsidR="00391C69" w:rsidRPr="001677C7" w14:paraId="028C6388" w14:textId="77777777" w:rsidTr="00B86180">
        <w:trPr>
          <w:trHeight w:val="144"/>
          <w:jc w:val="center"/>
        </w:trPr>
        <w:tc>
          <w:tcPr>
            <w:tcW w:w="3875" w:type="dxa"/>
            <w:tcBorders>
              <w:top w:val="single" w:sz="4" w:space="0" w:color="auto"/>
            </w:tcBorders>
            <w:noWrap/>
            <w:hideMark/>
          </w:tcPr>
          <w:p w14:paraId="2019B023" w14:textId="77777777" w:rsidR="00391C69" w:rsidRPr="001677C7" w:rsidRDefault="00391C69"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Employment</w:t>
            </w:r>
          </w:p>
        </w:tc>
        <w:tc>
          <w:tcPr>
            <w:tcW w:w="1252" w:type="dxa"/>
            <w:tcBorders>
              <w:top w:val="single" w:sz="4" w:space="0" w:color="auto"/>
            </w:tcBorders>
            <w:noWrap/>
            <w:hideMark/>
          </w:tcPr>
          <w:p w14:paraId="1486EFAE" w14:textId="013F3D49" w:rsidR="00391C69" w:rsidRPr="001677C7" w:rsidRDefault="0081643D"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w:t>
            </w:r>
            <w:r w:rsidR="00F411B9" w:rsidRPr="001677C7">
              <w:rPr>
                <w:rFonts w:asciiTheme="majorHAnsi" w:eastAsia="Times New Roman" w:hAnsiTheme="majorHAnsi" w:cstheme="majorHAnsi"/>
                <w:color w:val="000000"/>
                <w:sz w:val="18"/>
                <w:szCs w:val="18"/>
              </w:rPr>
              <w:t>4</w:t>
            </w:r>
            <w:r w:rsidR="00391C69" w:rsidRPr="001677C7">
              <w:rPr>
                <w:rFonts w:asciiTheme="majorHAnsi" w:eastAsia="Times New Roman" w:hAnsiTheme="majorHAnsi" w:cstheme="majorHAnsi"/>
                <w:color w:val="000000"/>
                <w:sz w:val="18"/>
                <w:szCs w:val="18"/>
              </w:rPr>
              <w:t>%</w:t>
            </w:r>
          </w:p>
        </w:tc>
        <w:tc>
          <w:tcPr>
            <w:tcW w:w="1293" w:type="dxa"/>
            <w:tcBorders>
              <w:top w:val="single" w:sz="4" w:space="0" w:color="auto"/>
            </w:tcBorders>
            <w:noWrap/>
            <w:hideMark/>
          </w:tcPr>
          <w:p w14:paraId="17A5AC32" w14:textId="6725E5D3" w:rsidR="00391C69" w:rsidRPr="001677C7" w:rsidRDefault="00F411B9"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56</w:t>
            </w:r>
            <w:r w:rsidR="00391C69" w:rsidRPr="001677C7">
              <w:rPr>
                <w:rFonts w:asciiTheme="majorHAnsi" w:eastAsia="Times New Roman" w:hAnsiTheme="majorHAnsi" w:cstheme="majorHAnsi"/>
                <w:color w:val="000000"/>
                <w:sz w:val="18"/>
                <w:szCs w:val="18"/>
              </w:rPr>
              <w:t>%</w:t>
            </w:r>
          </w:p>
        </w:tc>
        <w:tc>
          <w:tcPr>
            <w:tcW w:w="1561" w:type="dxa"/>
            <w:tcBorders>
              <w:top w:val="single" w:sz="4" w:space="0" w:color="auto"/>
            </w:tcBorders>
            <w:noWrap/>
            <w:hideMark/>
          </w:tcPr>
          <w:p w14:paraId="49CBC6AA" w14:textId="2D921EC0" w:rsidR="00391C69" w:rsidRPr="001677C7" w:rsidRDefault="00F411B9"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20</w:t>
            </w:r>
            <w:r w:rsidR="00391C69" w:rsidRPr="001677C7">
              <w:rPr>
                <w:rFonts w:asciiTheme="majorHAnsi" w:eastAsia="Times New Roman" w:hAnsiTheme="majorHAnsi" w:cstheme="majorHAnsi"/>
                <w:color w:val="000000"/>
                <w:sz w:val="18"/>
                <w:szCs w:val="18"/>
              </w:rPr>
              <w:t>%</w:t>
            </w:r>
          </w:p>
        </w:tc>
        <w:tc>
          <w:tcPr>
            <w:tcW w:w="1204" w:type="dxa"/>
            <w:tcBorders>
              <w:top w:val="single" w:sz="4" w:space="0" w:color="auto"/>
            </w:tcBorders>
            <w:noWrap/>
            <w:hideMark/>
          </w:tcPr>
          <w:p w14:paraId="2991530F" w14:textId="2DB96630" w:rsidR="00391C69" w:rsidRPr="001677C7" w:rsidRDefault="0081643D"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F411B9" w:rsidRPr="001677C7">
              <w:rPr>
                <w:rFonts w:asciiTheme="majorHAnsi" w:eastAsia="Times New Roman" w:hAnsiTheme="majorHAnsi" w:cstheme="majorHAnsi"/>
                <w:sz w:val="18"/>
                <w:szCs w:val="18"/>
              </w:rPr>
              <w:t>2</w:t>
            </w:r>
          </w:p>
        </w:tc>
        <w:tc>
          <w:tcPr>
            <w:tcW w:w="1355" w:type="dxa"/>
            <w:tcBorders>
              <w:top w:val="single" w:sz="4" w:space="0" w:color="auto"/>
            </w:tcBorders>
            <w:noWrap/>
            <w:hideMark/>
          </w:tcPr>
          <w:p w14:paraId="472C1E1F" w14:textId="0DF815A8" w:rsidR="00391C69" w:rsidRPr="001677C7" w:rsidRDefault="00F411B9"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w:t>
            </w:r>
            <w:r w:rsidR="00CF504B">
              <w:rPr>
                <w:rFonts w:asciiTheme="majorHAnsi" w:eastAsia="Times New Roman" w:hAnsiTheme="majorHAnsi" w:cstheme="majorHAnsi"/>
                <w:sz w:val="18"/>
                <w:szCs w:val="18"/>
              </w:rPr>
              <w:t>2</w:t>
            </w:r>
          </w:p>
        </w:tc>
      </w:tr>
      <w:tr w:rsidR="00391C69" w:rsidRPr="001677C7" w14:paraId="64409582" w14:textId="77777777" w:rsidTr="00B86180">
        <w:trPr>
          <w:trHeight w:val="144"/>
          <w:jc w:val="center"/>
        </w:trPr>
        <w:tc>
          <w:tcPr>
            <w:tcW w:w="3875" w:type="dxa"/>
            <w:noWrap/>
            <w:hideMark/>
          </w:tcPr>
          <w:p w14:paraId="5ED30AD5" w14:textId="77777777" w:rsidR="00391C69" w:rsidRPr="001677C7" w:rsidRDefault="00391C69"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Consumer spending</w:t>
            </w:r>
          </w:p>
        </w:tc>
        <w:tc>
          <w:tcPr>
            <w:tcW w:w="1252" w:type="dxa"/>
            <w:noWrap/>
            <w:hideMark/>
          </w:tcPr>
          <w:p w14:paraId="61537096" w14:textId="3F6C5A91" w:rsidR="00391C69" w:rsidRPr="001677C7" w:rsidRDefault="00F411B9"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4</w:t>
            </w:r>
            <w:r w:rsidR="00391C69" w:rsidRPr="001677C7">
              <w:rPr>
                <w:rFonts w:asciiTheme="majorHAnsi" w:eastAsia="Times New Roman" w:hAnsiTheme="majorHAnsi" w:cstheme="majorHAnsi"/>
                <w:color w:val="000000"/>
                <w:sz w:val="18"/>
                <w:szCs w:val="18"/>
              </w:rPr>
              <w:t>%</w:t>
            </w:r>
          </w:p>
        </w:tc>
        <w:tc>
          <w:tcPr>
            <w:tcW w:w="1293" w:type="dxa"/>
            <w:noWrap/>
            <w:hideMark/>
          </w:tcPr>
          <w:p w14:paraId="591307DA" w14:textId="0807D4D2" w:rsidR="00391C69" w:rsidRPr="001677C7" w:rsidRDefault="00F411B9"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w:t>
            </w:r>
            <w:r w:rsidR="00540208" w:rsidRPr="001677C7">
              <w:rPr>
                <w:rFonts w:asciiTheme="majorHAnsi" w:eastAsia="Times New Roman" w:hAnsiTheme="majorHAnsi" w:cstheme="majorHAnsi"/>
                <w:color w:val="000000"/>
                <w:sz w:val="18"/>
                <w:szCs w:val="18"/>
              </w:rPr>
              <w:t>6</w:t>
            </w:r>
            <w:r w:rsidR="00391C69" w:rsidRPr="001677C7">
              <w:rPr>
                <w:rFonts w:asciiTheme="majorHAnsi" w:eastAsia="Times New Roman" w:hAnsiTheme="majorHAnsi" w:cstheme="majorHAnsi"/>
                <w:color w:val="000000"/>
                <w:sz w:val="18"/>
                <w:szCs w:val="18"/>
              </w:rPr>
              <w:t>%</w:t>
            </w:r>
          </w:p>
        </w:tc>
        <w:tc>
          <w:tcPr>
            <w:tcW w:w="1561" w:type="dxa"/>
            <w:noWrap/>
            <w:hideMark/>
          </w:tcPr>
          <w:p w14:paraId="4A211C79" w14:textId="75D43442" w:rsidR="00391C69" w:rsidRPr="001677C7" w:rsidRDefault="0081643D"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w:t>
            </w:r>
            <w:r w:rsidR="00F411B9" w:rsidRPr="001677C7">
              <w:rPr>
                <w:rFonts w:asciiTheme="majorHAnsi" w:eastAsia="Times New Roman" w:hAnsiTheme="majorHAnsi" w:cstheme="majorHAnsi"/>
                <w:color w:val="000000"/>
                <w:sz w:val="18"/>
                <w:szCs w:val="18"/>
              </w:rPr>
              <w:t>0</w:t>
            </w:r>
            <w:r w:rsidR="00391C69" w:rsidRPr="001677C7">
              <w:rPr>
                <w:rFonts w:asciiTheme="majorHAnsi" w:eastAsia="Times New Roman" w:hAnsiTheme="majorHAnsi" w:cstheme="majorHAnsi"/>
                <w:color w:val="000000"/>
                <w:sz w:val="18"/>
                <w:szCs w:val="18"/>
              </w:rPr>
              <w:t>%</w:t>
            </w:r>
          </w:p>
        </w:tc>
        <w:tc>
          <w:tcPr>
            <w:tcW w:w="1204" w:type="dxa"/>
            <w:noWrap/>
            <w:hideMark/>
          </w:tcPr>
          <w:p w14:paraId="734E2578" w14:textId="7B1E84BF"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37</w:t>
            </w:r>
          </w:p>
        </w:tc>
        <w:tc>
          <w:tcPr>
            <w:tcW w:w="1355" w:type="dxa"/>
            <w:noWrap/>
            <w:hideMark/>
          </w:tcPr>
          <w:p w14:paraId="180072CB" w14:textId="106D1488"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40</w:t>
            </w:r>
          </w:p>
        </w:tc>
      </w:tr>
      <w:tr w:rsidR="00391C69" w:rsidRPr="001677C7" w14:paraId="511ECD78" w14:textId="77777777" w:rsidTr="00B86180">
        <w:trPr>
          <w:trHeight w:val="144"/>
          <w:jc w:val="center"/>
        </w:trPr>
        <w:tc>
          <w:tcPr>
            <w:tcW w:w="3875" w:type="dxa"/>
            <w:noWrap/>
            <w:hideMark/>
          </w:tcPr>
          <w:p w14:paraId="1CB48C2C" w14:textId="77777777" w:rsidR="00391C69" w:rsidRPr="001677C7" w:rsidRDefault="00391C69"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Inflation</w:t>
            </w:r>
          </w:p>
        </w:tc>
        <w:tc>
          <w:tcPr>
            <w:tcW w:w="1252" w:type="dxa"/>
            <w:noWrap/>
            <w:hideMark/>
          </w:tcPr>
          <w:p w14:paraId="557235B2" w14:textId="721DE1F2"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56</w:t>
            </w:r>
            <w:r w:rsidR="00391C69" w:rsidRPr="001677C7">
              <w:rPr>
                <w:rFonts w:asciiTheme="majorHAnsi" w:eastAsia="Times New Roman" w:hAnsiTheme="majorHAnsi" w:cstheme="majorHAnsi"/>
                <w:color w:val="000000"/>
                <w:sz w:val="18"/>
                <w:szCs w:val="18"/>
              </w:rPr>
              <w:t>%</w:t>
            </w:r>
          </w:p>
        </w:tc>
        <w:tc>
          <w:tcPr>
            <w:tcW w:w="1293" w:type="dxa"/>
            <w:noWrap/>
            <w:hideMark/>
          </w:tcPr>
          <w:p w14:paraId="1982D2F8" w14:textId="79F95E86"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34</w:t>
            </w:r>
            <w:r w:rsidR="00391C69" w:rsidRPr="001677C7">
              <w:rPr>
                <w:rFonts w:asciiTheme="majorHAnsi" w:eastAsia="Times New Roman" w:hAnsiTheme="majorHAnsi" w:cstheme="majorHAnsi"/>
                <w:color w:val="000000"/>
                <w:sz w:val="18"/>
                <w:szCs w:val="18"/>
              </w:rPr>
              <w:t>%</w:t>
            </w:r>
          </w:p>
        </w:tc>
        <w:tc>
          <w:tcPr>
            <w:tcW w:w="1561" w:type="dxa"/>
            <w:noWrap/>
            <w:hideMark/>
          </w:tcPr>
          <w:p w14:paraId="4AE43DBF" w14:textId="573E5871"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10</w:t>
            </w:r>
            <w:r w:rsidR="00391C69" w:rsidRPr="001677C7">
              <w:rPr>
                <w:rFonts w:asciiTheme="majorHAnsi" w:eastAsia="Times New Roman" w:hAnsiTheme="majorHAnsi" w:cstheme="majorHAnsi"/>
                <w:color w:val="000000"/>
                <w:sz w:val="18"/>
                <w:szCs w:val="18"/>
              </w:rPr>
              <w:t>%</w:t>
            </w:r>
          </w:p>
        </w:tc>
        <w:tc>
          <w:tcPr>
            <w:tcW w:w="1204" w:type="dxa"/>
            <w:noWrap/>
            <w:hideMark/>
          </w:tcPr>
          <w:p w14:paraId="3121B76F" w14:textId="100BD776" w:rsidR="00391C69" w:rsidRPr="001677C7" w:rsidRDefault="00F411B9"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7</w:t>
            </w:r>
            <w:r w:rsidR="00540208" w:rsidRPr="001677C7">
              <w:rPr>
                <w:rFonts w:asciiTheme="majorHAnsi" w:eastAsia="Times New Roman" w:hAnsiTheme="majorHAnsi" w:cstheme="majorHAnsi"/>
                <w:sz w:val="18"/>
                <w:szCs w:val="18"/>
              </w:rPr>
              <w:t>3</w:t>
            </w:r>
          </w:p>
        </w:tc>
        <w:tc>
          <w:tcPr>
            <w:tcW w:w="1355" w:type="dxa"/>
            <w:noWrap/>
            <w:hideMark/>
          </w:tcPr>
          <w:p w14:paraId="7586D824" w14:textId="3299296F"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79</w:t>
            </w:r>
          </w:p>
        </w:tc>
      </w:tr>
      <w:tr w:rsidR="00391C69" w:rsidRPr="001677C7" w14:paraId="592255BD" w14:textId="77777777" w:rsidTr="00B86180">
        <w:trPr>
          <w:trHeight w:val="144"/>
          <w:jc w:val="center"/>
        </w:trPr>
        <w:tc>
          <w:tcPr>
            <w:tcW w:w="3875" w:type="dxa"/>
            <w:noWrap/>
            <w:hideMark/>
          </w:tcPr>
          <w:p w14:paraId="25BD601E" w14:textId="77777777" w:rsidR="00391C69" w:rsidRPr="001677C7" w:rsidRDefault="00391C69"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Corporate profits</w:t>
            </w:r>
          </w:p>
        </w:tc>
        <w:tc>
          <w:tcPr>
            <w:tcW w:w="1252" w:type="dxa"/>
            <w:noWrap/>
            <w:hideMark/>
          </w:tcPr>
          <w:p w14:paraId="6D1D2B79" w14:textId="58530A8B"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21</w:t>
            </w:r>
            <w:r w:rsidR="00391C69" w:rsidRPr="001677C7">
              <w:rPr>
                <w:rFonts w:asciiTheme="majorHAnsi" w:eastAsia="Times New Roman" w:hAnsiTheme="majorHAnsi" w:cstheme="majorHAnsi"/>
                <w:color w:val="000000"/>
                <w:sz w:val="18"/>
                <w:szCs w:val="18"/>
              </w:rPr>
              <w:t>%</w:t>
            </w:r>
          </w:p>
        </w:tc>
        <w:tc>
          <w:tcPr>
            <w:tcW w:w="1293" w:type="dxa"/>
            <w:noWrap/>
            <w:hideMark/>
          </w:tcPr>
          <w:p w14:paraId="1319B33A" w14:textId="16A183AE" w:rsidR="00391C69" w:rsidRPr="001677C7" w:rsidRDefault="0081643D"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w:t>
            </w:r>
            <w:r w:rsidR="00540208" w:rsidRPr="001677C7">
              <w:rPr>
                <w:rFonts w:asciiTheme="majorHAnsi" w:eastAsia="Times New Roman" w:hAnsiTheme="majorHAnsi" w:cstheme="majorHAnsi"/>
                <w:color w:val="000000"/>
                <w:sz w:val="18"/>
                <w:szCs w:val="18"/>
              </w:rPr>
              <w:t>8</w:t>
            </w:r>
            <w:r w:rsidR="00391C69" w:rsidRPr="001677C7">
              <w:rPr>
                <w:rFonts w:asciiTheme="majorHAnsi" w:eastAsia="Times New Roman" w:hAnsiTheme="majorHAnsi" w:cstheme="majorHAnsi"/>
                <w:color w:val="000000"/>
                <w:sz w:val="18"/>
                <w:szCs w:val="18"/>
              </w:rPr>
              <w:t>%</w:t>
            </w:r>
          </w:p>
        </w:tc>
        <w:tc>
          <w:tcPr>
            <w:tcW w:w="1561" w:type="dxa"/>
            <w:noWrap/>
            <w:hideMark/>
          </w:tcPr>
          <w:p w14:paraId="5BFD6BB2" w14:textId="04EAA795"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41</w:t>
            </w:r>
            <w:r w:rsidR="00391C69" w:rsidRPr="001677C7">
              <w:rPr>
                <w:rFonts w:asciiTheme="majorHAnsi" w:eastAsia="Times New Roman" w:hAnsiTheme="majorHAnsi" w:cstheme="majorHAnsi"/>
                <w:color w:val="000000"/>
                <w:sz w:val="18"/>
                <w:szCs w:val="18"/>
              </w:rPr>
              <w:t>%</w:t>
            </w:r>
          </w:p>
        </w:tc>
        <w:tc>
          <w:tcPr>
            <w:tcW w:w="1204" w:type="dxa"/>
            <w:noWrap/>
            <w:hideMark/>
          </w:tcPr>
          <w:p w14:paraId="24196B46" w14:textId="5AE5E7B2" w:rsidR="00391C69" w:rsidRPr="001677C7" w:rsidRDefault="00F411B9"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w:t>
            </w:r>
            <w:r w:rsidR="00540208" w:rsidRPr="001677C7">
              <w:rPr>
                <w:rFonts w:asciiTheme="majorHAnsi" w:eastAsia="Times New Roman" w:hAnsiTheme="majorHAnsi" w:cstheme="majorHAnsi"/>
                <w:sz w:val="18"/>
                <w:szCs w:val="18"/>
              </w:rPr>
              <w:t>0</w:t>
            </w:r>
          </w:p>
        </w:tc>
        <w:tc>
          <w:tcPr>
            <w:tcW w:w="1355" w:type="dxa"/>
            <w:noWrap/>
            <w:hideMark/>
          </w:tcPr>
          <w:p w14:paraId="7E352D93" w14:textId="639A5451"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45</w:t>
            </w:r>
          </w:p>
        </w:tc>
      </w:tr>
      <w:tr w:rsidR="00391C69" w:rsidRPr="001677C7" w14:paraId="585A7D94" w14:textId="77777777" w:rsidTr="00B86180">
        <w:trPr>
          <w:trHeight w:val="144"/>
          <w:jc w:val="center"/>
        </w:trPr>
        <w:tc>
          <w:tcPr>
            <w:tcW w:w="3875" w:type="dxa"/>
            <w:noWrap/>
            <w:hideMark/>
          </w:tcPr>
          <w:p w14:paraId="15401EE3" w14:textId="6738F523" w:rsidR="00391C69" w:rsidRPr="001677C7" w:rsidRDefault="00391C69"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Mergers and </w:t>
            </w:r>
            <w:r w:rsidR="00097993" w:rsidRPr="001677C7">
              <w:rPr>
                <w:rFonts w:asciiTheme="majorHAnsi" w:eastAsia="Times New Roman" w:hAnsiTheme="majorHAnsi" w:cstheme="majorHAnsi"/>
                <w:color w:val="000000"/>
                <w:sz w:val="18"/>
                <w:szCs w:val="18"/>
              </w:rPr>
              <w:t>a</w:t>
            </w:r>
            <w:r w:rsidRPr="001677C7">
              <w:rPr>
                <w:rFonts w:asciiTheme="majorHAnsi" w:eastAsia="Times New Roman" w:hAnsiTheme="majorHAnsi" w:cstheme="majorHAnsi"/>
                <w:color w:val="000000"/>
                <w:sz w:val="18"/>
                <w:szCs w:val="18"/>
              </w:rPr>
              <w:t>cquisitions</w:t>
            </w:r>
          </w:p>
        </w:tc>
        <w:tc>
          <w:tcPr>
            <w:tcW w:w="1252" w:type="dxa"/>
            <w:noWrap/>
            <w:hideMark/>
          </w:tcPr>
          <w:p w14:paraId="57ED9B2B" w14:textId="01157583" w:rsidR="00391C69" w:rsidRPr="001677C7" w:rsidRDefault="00540208"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30</w:t>
            </w:r>
            <w:r w:rsidR="00391C69" w:rsidRPr="001677C7">
              <w:rPr>
                <w:rFonts w:asciiTheme="majorHAnsi" w:eastAsia="Times New Roman" w:hAnsiTheme="majorHAnsi" w:cstheme="majorHAnsi"/>
                <w:color w:val="000000"/>
                <w:sz w:val="18"/>
                <w:szCs w:val="18"/>
              </w:rPr>
              <w:t>%</w:t>
            </w:r>
          </w:p>
        </w:tc>
        <w:tc>
          <w:tcPr>
            <w:tcW w:w="1293" w:type="dxa"/>
            <w:noWrap/>
            <w:hideMark/>
          </w:tcPr>
          <w:p w14:paraId="51669D02" w14:textId="3BC37415" w:rsidR="00391C69" w:rsidRPr="001677C7" w:rsidRDefault="00532ED4"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5</w:t>
            </w:r>
            <w:r w:rsidR="00540208" w:rsidRPr="001677C7">
              <w:rPr>
                <w:rFonts w:asciiTheme="majorHAnsi" w:eastAsia="Times New Roman" w:hAnsiTheme="majorHAnsi" w:cstheme="majorHAnsi"/>
                <w:color w:val="000000"/>
                <w:sz w:val="18"/>
                <w:szCs w:val="18"/>
              </w:rPr>
              <w:t>4</w:t>
            </w:r>
            <w:r w:rsidR="00391C69" w:rsidRPr="001677C7">
              <w:rPr>
                <w:rFonts w:asciiTheme="majorHAnsi" w:eastAsia="Times New Roman" w:hAnsiTheme="majorHAnsi" w:cstheme="majorHAnsi"/>
                <w:color w:val="000000"/>
                <w:sz w:val="18"/>
                <w:szCs w:val="18"/>
              </w:rPr>
              <w:t>%</w:t>
            </w:r>
          </w:p>
        </w:tc>
        <w:tc>
          <w:tcPr>
            <w:tcW w:w="1561" w:type="dxa"/>
            <w:noWrap/>
            <w:hideMark/>
          </w:tcPr>
          <w:p w14:paraId="68A22E24" w14:textId="1414FD7A" w:rsidR="00391C69" w:rsidRPr="001677C7" w:rsidRDefault="0081643D" w:rsidP="00391C69">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540208" w:rsidRPr="001677C7">
              <w:rPr>
                <w:rFonts w:asciiTheme="majorHAnsi" w:eastAsia="Times New Roman" w:hAnsiTheme="majorHAnsi" w:cstheme="majorHAnsi"/>
                <w:color w:val="000000"/>
                <w:sz w:val="18"/>
                <w:szCs w:val="18"/>
              </w:rPr>
              <w:t>6</w:t>
            </w:r>
            <w:r w:rsidR="00391C69" w:rsidRPr="001677C7">
              <w:rPr>
                <w:rFonts w:asciiTheme="majorHAnsi" w:eastAsia="Times New Roman" w:hAnsiTheme="majorHAnsi" w:cstheme="majorHAnsi"/>
                <w:color w:val="000000"/>
                <w:sz w:val="18"/>
                <w:szCs w:val="18"/>
              </w:rPr>
              <w:t>%</w:t>
            </w:r>
          </w:p>
        </w:tc>
        <w:tc>
          <w:tcPr>
            <w:tcW w:w="1204" w:type="dxa"/>
            <w:noWrap/>
            <w:hideMark/>
          </w:tcPr>
          <w:p w14:paraId="30D101CE" w14:textId="72CDCF9A"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57</w:t>
            </w:r>
          </w:p>
        </w:tc>
        <w:tc>
          <w:tcPr>
            <w:tcW w:w="1355" w:type="dxa"/>
            <w:noWrap/>
            <w:hideMark/>
          </w:tcPr>
          <w:p w14:paraId="5D3F16CC" w14:textId="39404145" w:rsidR="00391C69" w:rsidRPr="001677C7" w:rsidRDefault="00540208" w:rsidP="00391C69">
            <w:pPr>
              <w:jc w:val="center"/>
              <w:rPr>
                <w:rFonts w:asciiTheme="majorHAnsi" w:eastAsia="Times New Roman" w:hAnsiTheme="majorHAnsi" w:cstheme="majorHAnsi"/>
                <w:sz w:val="18"/>
                <w:szCs w:val="18"/>
              </w:rPr>
            </w:pPr>
            <w:r w:rsidRPr="001677C7">
              <w:rPr>
                <w:rFonts w:asciiTheme="majorHAnsi" w:eastAsia="Times New Roman" w:hAnsiTheme="majorHAnsi" w:cstheme="majorHAnsi"/>
                <w:sz w:val="18"/>
                <w:szCs w:val="18"/>
              </w:rPr>
              <w:t>60</w:t>
            </w:r>
          </w:p>
        </w:tc>
      </w:tr>
    </w:tbl>
    <w:p w14:paraId="22907F11" w14:textId="77777777" w:rsidR="00C2607A" w:rsidRPr="001677C7" w:rsidRDefault="00C2607A" w:rsidP="009B3DF5">
      <w:pPr>
        <w:spacing w:after="0" w:line="72" w:lineRule="auto"/>
        <w:rPr>
          <w:rFonts w:asciiTheme="majorHAnsi" w:hAnsiTheme="majorHAnsi" w:cstheme="majorHAnsi"/>
        </w:rPr>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Caption w:val="Changes in credit conditions"/>
        <w:tblDescription w:val="Table showing that 68 percent of respondents did not experience changes in credit conditions."/>
      </w:tblPr>
      <w:tblGrid>
        <w:gridCol w:w="2241"/>
        <w:gridCol w:w="848"/>
        <w:gridCol w:w="848"/>
        <w:gridCol w:w="974"/>
        <w:gridCol w:w="1275"/>
        <w:gridCol w:w="1023"/>
        <w:gridCol w:w="1107"/>
        <w:gridCol w:w="1016"/>
        <w:gridCol w:w="1198"/>
      </w:tblGrid>
      <w:tr w:rsidR="00AF157E" w:rsidRPr="001677C7" w14:paraId="52D09CE3" w14:textId="4C86D685" w:rsidTr="00531B4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bottom w:val="single" w:sz="4" w:space="0" w:color="auto"/>
            </w:tcBorders>
            <w:shd w:val="clear" w:color="auto" w:fill="BDD6EE" w:themeFill="accent1" w:themeFillTint="66"/>
            <w:noWrap/>
            <w:hideMark/>
          </w:tcPr>
          <w:p w14:paraId="46F1B1A1" w14:textId="51831B2B" w:rsidR="00AF157E" w:rsidRPr="00C75042" w:rsidRDefault="00AF157E" w:rsidP="00C75042">
            <w:pPr>
              <w:pStyle w:val="ListParagraph"/>
              <w:numPr>
                <w:ilvl w:val="0"/>
                <w:numId w:val="14"/>
              </w:numPr>
              <w:tabs>
                <w:tab w:val="left" w:pos="1791"/>
              </w:tabs>
              <w:rPr>
                <w:rFonts w:asciiTheme="majorHAnsi" w:eastAsia="Times New Roman" w:hAnsiTheme="majorHAnsi" w:cstheme="majorHAnsi"/>
                <w:b w:val="0"/>
                <w:bCs w:val="0"/>
                <w:color w:val="000000"/>
                <w:sz w:val="18"/>
                <w:szCs w:val="18"/>
              </w:rPr>
            </w:pPr>
            <w:r w:rsidRPr="00C75042">
              <w:rPr>
                <w:rFonts w:asciiTheme="majorHAnsi" w:eastAsia="Times New Roman" w:hAnsiTheme="majorHAnsi" w:cstheme="majorHAnsi"/>
                <w:color w:val="000000"/>
                <w:sz w:val="18"/>
                <w:szCs w:val="18"/>
              </w:rPr>
              <w:t>Have changes  in</w:t>
            </w:r>
          </w:p>
          <w:p w14:paraId="74DE0154" w14:textId="6996DD7B" w:rsidR="00AF157E" w:rsidRPr="001677C7" w:rsidRDefault="00AF157E" w:rsidP="001631FC">
            <w:pPr>
              <w:rPr>
                <w:rFonts w:asciiTheme="majorHAnsi" w:eastAsia="Times New Roman" w:hAnsiTheme="majorHAnsi" w:cstheme="majorHAnsi"/>
                <w:b w:val="0"/>
                <w:bCs w:val="0"/>
                <w:color w:val="000000"/>
                <w:sz w:val="18"/>
                <w:szCs w:val="18"/>
              </w:rPr>
            </w:pPr>
            <w:r w:rsidRPr="001677C7">
              <w:rPr>
                <w:rFonts w:asciiTheme="majorHAnsi" w:eastAsia="Times New Roman" w:hAnsiTheme="majorHAnsi" w:cstheme="majorHAnsi"/>
                <w:color w:val="000000"/>
                <w:sz w:val="18"/>
                <w:szCs w:val="18"/>
              </w:rPr>
              <w:t>in credit conditions</w:t>
            </w:r>
            <w:r w:rsidRPr="001677C7">
              <w:rPr>
                <w:rFonts w:asciiTheme="majorHAnsi" w:eastAsia="Times New Roman" w:hAnsiTheme="majorHAnsi" w:cstheme="majorHAnsi"/>
                <w:color w:val="000000"/>
                <w:sz w:val="18"/>
                <w:szCs w:val="18"/>
              </w:rPr>
              <w:br/>
              <w:t>in the last 4 quarters</w:t>
            </w:r>
          </w:p>
          <w:p w14:paraId="1C678306" w14:textId="49B8A616" w:rsidR="00AF157E" w:rsidRPr="001677C7" w:rsidRDefault="00AF157E"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affected your firm?</w:t>
            </w:r>
          </w:p>
        </w:tc>
        <w:tc>
          <w:tcPr>
            <w:tcW w:w="848" w:type="dxa"/>
            <w:tcBorders>
              <w:top w:val="single" w:sz="4" w:space="0" w:color="auto"/>
              <w:bottom w:val="single" w:sz="4" w:space="0" w:color="auto"/>
            </w:tcBorders>
            <w:shd w:val="clear" w:color="auto" w:fill="BDD6EE" w:themeFill="accent1" w:themeFillTint="66"/>
          </w:tcPr>
          <w:p w14:paraId="70119573" w14:textId="77777777"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 w:val="18"/>
                <w:szCs w:val="18"/>
              </w:rPr>
            </w:pPr>
            <w:r w:rsidRPr="001677C7">
              <w:rPr>
                <w:rFonts w:asciiTheme="majorHAnsi" w:eastAsia="Times New Roman" w:hAnsiTheme="majorHAnsi" w:cstheme="majorHAnsi"/>
                <w:color w:val="000000"/>
                <w:sz w:val="18"/>
                <w:szCs w:val="18"/>
              </w:rPr>
              <w:t xml:space="preserve">Higher </w:t>
            </w:r>
          </w:p>
          <w:p w14:paraId="2D7D57A1" w14:textId="77777777"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 w:val="18"/>
                <w:szCs w:val="18"/>
              </w:rPr>
            </w:pPr>
            <w:r w:rsidRPr="001677C7">
              <w:rPr>
                <w:rFonts w:asciiTheme="majorHAnsi" w:eastAsia="Times New Roman" w:hAnsiTheme="majorHAnsi" w:cstheme="majorHAnsi"/>
                <w:color w:val="000000"/>
                <w:sz w:val="18"/>
                <w:szCs w:val="18"/>
              </w:rPr>
              <w:t xml:space="preserve">Interest </w:t>
            </w:r>
          </w:p>
          <w:p w14:paraId="3C2B90CC" w14:textId="6D9BDEE4"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rates</w:t>
            </w:r>
          </w:p>
        </w:tc>
        <w:tc>
          <w:tcPr>
            <w:tcW w:w="848" w:type="dxa"/>
            <w:tcBorders>
              <w:top w:val="single" w:sz="4" w:space="0" w:color="auto"/>
              <w:bottom w:val="single" w:sz="4" w:space="0" w:color="auto"/>
            </w:tcBorders>
            <w:shd w:val="clear" w:color="auto" w:fill="BDD6EE" w:themeFill="accent1" w:themeFillTint="66"/>
            <w:noWrap/>
            <w:hideMark/>
          </w:tcPr>
          <w:p w14:paraId="4A1A3A79" w14:textId="12C21EFD"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No  </w:t>
            </w:r>
            <w:r w:rsidRPr="001677C7">
              <w:rPr>
                <w:rFonts w:asciiTheme="majorHAnsi" w:eastAsia="Times New Roman" w:hAnsiTheme="majorHAnsi" w:cstheme="majorHAnsi"/>
                <w:color w:val="000000"/>
                <w:sz w:val="18"/>
                <w:szCs w:val="18"/>
              </w:rPr>
              <w:br/>
              <w:t>Changes</w:t>
            </w:r>
          </w:p>
        </w:tc>
        <w:tc>
          <w:tcPr>
            <w:tcW w:w="974" w:type="dxa"/>
            <w:tcBorders>
              <w:top w:val="single" w:sz="4" w:space="0" w:color="auto"/>
              <w:bottom w:val="single" w:sz="4" w:space="0" w:color="auto"/>
            </w:tcBorders>
            <w:shd w:val="clear" w:color="auto" w:fill="BDD6EE" w:themeFill="accent1" w:themeFillTint="66"/>
            <w:noWrap/>
            <w:hideMark/>
          </w:tcPr>
          <w:p w14:paraId="6B41FDC2" w14:textId="589D9A40"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Increased Hiring</w:t>
            </w:r>
          </w:p>
        </w:tc>
        <w:tc>
          <w:tcPr>
            <w:tcW w:w="1275" w:type="dxa"/>
            <w:tcBorders>
              <w:top w:val="single" w:sz="4" w:space="0" w:color="auto"/>
              <w:bottom w:val="single" w:sz="4" w:space="0" w:color="auto"/>
            </w:tcBorders>
            <w:shd w:val="clear" w:color="auto" w:fill="BDD6EE" w:themeFill="accent1" w:themeFillTint="66"/>
            <w:noWrap/>
            <w:hideMark/>
          </w:tcPr>
          <w:p w14:paraId="5DB0F875" w14:textId="77777777"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Increased</w:t>
            </w:r>
          </w:p>
          <w:p w14:paraId="69387971" w14:textId="77777777"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Capital Expenditures</w:t>
            </w:r>
          </w:p>
        </w:tc>
        <w:tc>
          <w:tcPr>
            <w:tcW w:w="1023" w:type="dxa"/>
            <w:tcBorders>
              <w:top w:val="single" w:sz="4" w:space="0" w:color="auto"/>
              <w:bottom w:val="single" w:sz="4" w:space="0" w:color="auto"/>
            </w:tcBorders>
            <w:shd w:val="clear" w:color="auto" w:fill="BDD6EE" w:themeFill="accent1" w:themeFillTint="66"/>
            <w:noWrap/>
            <w:hideMark/>
          </w:tcPr>
          <w:p w14:paraId="3697D532" w14:textId="313377D8"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Decreased</w:t>
            </w:r>
            <w:r w:rsidRPr="001677C7">
              <w:rPr>
                <w:rFonts w:asciiTheme="majorHAnsi" w:eastAsia="Times New Roman" w:hAnsiTheme="majorHAnsi" w:cstheme="majorHAnsi"/>
                <w:color w:val="000000"/>
                <w:sz w:val="18"/>
                <w:szCs w:val="18"/>
              </w:rPr>
              <w:br/>
              <w:t>Hiring</w:t>
            </w:r>
          </w:p>
        </w:tc>
        <w:tc>
          <w:tcPr>
            <w:tcW w:w="1107" w:type="dxa"/>
            <w:tcBorders>
              <w:top w:val="single" w:sz="4" w:space="0" w:color="auto"/>
              <w:bottom w:val="single" w:sz="4" w:space="0" w:color="auto"/>
            </w:tcBorders>
            <w:shd w:val="clear" w:color="auto" w:fill="BDD6EE" w:themeFill="accent1" w:themeFillTint="66"/>
            <w:noWrap/>
            <w:hideMark/>
          </w:tcPr>
          <w:p w14:paraId="79DA9D47" w14:textId="238A2564"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Decreased </w:t>
            </w:r>
            <w:r w:rsidRPr="001677C7">
              <w:rPr>
                <w:rFonts w:asciiTheme="majorHAnsi" w:eastAsia="Times New Roman" w:hAnsiTheme="majorHAnsi" w:cstheme="majorHAnsi"/>
                <w:color w:val="000000"/>
                <w:sz w:val="18"/>
                <w:szCs w:val="18"/>
              </w:rPr>
              <w:br/>
              <w:t>Capital Expend.</w:t>
            </w:r>
          </w:p>
        </w:tc>
        <w:tc>
          <w:tcPr>
            <w:tcW w:w="1016" w:type="dxa"/>
            <w:tcBorders>
              <w:top w:val="single" w:sz="4" w:space="0" w:color="auto"/>
              <w:bottom w:val="single" w:sz="4" w:space="0" w:color="auto"/>
            </w:tcBorders>
            <w:shd w:val="clear" w:color="auto" w:fill="BDD6EE" w:themeFill="accent1" w:themeFillTint="66"/>
          </w:tcPr>
          <w:p w14:paraId="6BE091D8" w14:textId="1636236B"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No</w:t>
            </w:r>
            <w:r w:rsidRPr="001677C7">
              <w:rPr>
                <w:rFonts w:asciiTheme="majorHAnsi" w:eastAsia="Times New Roman" w:hAnsiTheme="majorHAnsi" w:cstheme="majorHAnsi"/>
                <w:color w:val="000000"/>
                <w:sz w:val="18"/>
                <w:szCs w:val="18"/>
              </w:rPr>
              <w:br/>
              <w:t>Diff.</w:t>
            </w:r>
            <w:r w:rsidRPr="001677C7">
              <w:rPr>
                <w:rFonts w:asciiTheme="majorHAnsi" w:eastAsia="Times New Roman" w:hAnsiTheme="majorHAnsi" w:cstheme="majorHAnsi"/>
                <w:color w:val="000000"/>
                <w:sz w:val="18"/>
                <w:szCs w:val="18"/>
              </w:rPr>
              <w:br/>
              <w:t>accessing credit</w:t>
            </w:r>
          </w:p>
        </w:tc>
        <w:tc>
          <w:tcPr>
            <w:tcW w:w="1198" w:type="dxa"/>
            <w:tcBorders>
              <w:top w:val="single" w:sz="4" w:space="0" w:color="auto"/>
              <w:bottom w:val="single" w:sz="4" w:space="0" w:color="auto"/>
            </w:tcBorders>
            <w:shd w:val="clear" w:color="auto" w:fill="BDD6EE" w:themeFill="accent1" w:themeFillTint="66"/>
          </w:tcPr>
          <w:p w14:paraId="4FDDB9C1" w14:textId="10ADEE86" w:rsidR="00AF157E" w:rsidRPr="001677C7" w:rsidRDefault="00AF157E" w:rsidP="0063228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Difficulties</w:t>
            </w:r>
            <w:r w:rsidRPr="001677C7">
              <w:rPr>
                <w:rFonts w:asciiTheme="majorHAnsi" w:eastAsia="Times New Roman" w:hAnsiTheme="majorHAnsi" w:cstheme="majorHAnsi"/>
                <w:color w:val="000000"/>
                <w:sz w:val="18"/>
                <w:szCs w:val="18"/>
              </w:rPr>
              <w:br/>
              <w:t xml:space="preserve">accessing </w:t>
            </w:r>
            <w:r w:rsidRPr="001677C7">
              <w:rPr>
                <w:rFonts w:asciiTheme="majorHAnsi" w:eastAsia="Times New Roman" w:hAnsiTheme="majorHAnsi" w:cstheme="majorHAnsi"/>
                <w:color w:val="000000"/>
                <w:sz w:val="18"/>
                <w:szCs w:val="18"/>
              </w:rPr>
              <w:br/>
              <w:t>credit</w:t>
            </w:r>
          </w:p>
        </w:tc>
      </w:tr>
      <w:tr w:rsidR="00AF157E" w:rsidRPr="001677C7" w14:paraId="56C6D4DB" w14:textId="1AD6EDD9" w:rsidTr="00531B4E">
        <w:trPr>
          <w:trHeight w:val="144"/>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tcBorders>
            <w:noWrap/>
            <w:hideMark/>
          </w:tcPr>
          <w:p w14:paraId="281F801E" w14:textId="1E6E4B6E" w:rsidR="00AF157E" w:rsidRPr="001677C7" w:rsidRDefault="006F6BE5" w:rsidP="001631F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Percent</w:t>
            </w:r>
          </w:p>
        </w:tc>
        <w:tc>
          <w:tcPr>
            <w:tcW w:w="848" w:type="dxa"/>
            <w:tcBorders>
              <w:top w:val="single" w:sz="4" w:space="0" w:color="auto"/>
            </w:tcBorders>
          </w:tcPr>
          <w:p w14:paraId="4517D708" w14:textId="4EB65B4E" w:rsidR="00AF157E" w:rsidRPr="001677C7"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w:t>
            </w:r>
            <w:r w:rsidR="00E54DD8" w:rsidRPr="001677C7">
              <w:rPr>
                <w:rFonts w:asciiTheme="majorHAnsi" w:eastAsia="Times New Roman" w:hAnsiTheme="majorHAnsi" w:cstheme="majorHAnsi"/>
                <w:color w:val="000000"/>
                <w:sz w:val="18"/>
                <w:szCs w:val="18"/>
              </w:rPr>
              <w:t>9</w:t>
            </w:r>
            <w:r w:rsidRPr="001677C7">
              <w:rPr>
                <w:rFonts w:asciiTheme="majorHAnsi" w:eastAsia="Times New Roman" w:hAnsiTheme="majorHAnsi" w:cstheme="majorHAnsi"/>
                <w:color w:val="000000"/>
                <w:sz w:val="18"/>
                <w:szCs w:val="18"/>
              </w:rPr>
              <w:t>%</w:t>
            </w:r>
          </w:p>
        </w:tc>
        <w:tc>
          <w:tcPr>
            <w:tcW w:w="848" w:type="dxa"/>
            <w:tcBorders>
              <w:top w:val="single" w:sz="4" w:space="0" w:color="auto"/>
            </w:tcBorders>
            <w:noWrap/>
            <w:hideMark/>
          </w:tcPr>
          <w:p w14:paraId="5B82B598" w14:textId="3E65EEC6" w:rsidR="00AF157E" w:rsidRPr="001677C7" w:rsidRDefault="0054020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44</w:t>
            </w:r>
            <w:r w:rsidR="00AF157E" w:rsidRPr="001677C7">
              <w:rPr>
                <w:rFonts w:asciiTheme="majorHAnsi" w:eastAsia="Times New Roman" w:hAnsiTheme="majorHAnsi" w:cstheme="majorHAnsi"/>
                <w:color w:val="000000"/>
                <w:sz w:val="18"/>
                <w:szCs w:val="18"/>
              </w:rPr>
              <w:t>%</w:t>
            </w:r>
          </w:p>
        </w:tc>
        <w:tc>
          <w:tcPr>
            <w:tcW w:w="974" w:type="dxa"/>
            <w:tcBorders>
              <w:top w:val="single" w:sz="4" w:space="0" w:color="auto"/>
            </w:tcBorders>
            <w:noWrap/>
            <w:hideMark/>
          </w:tcPr>
          <w:p w14:paraId="407D78FC" w14:textId="5A2BBABE" w:rsidR="00AF157E" w:rsidRPr="001677C7"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7%</w:t>
            </w:r>
          </w:p>
        </w:tc>
        <w:tc>
          <w:tcPr>
            <w:tcW w:w="1275" w:type="dxa"/>
            <w:tcBorders>
              <w:top w:val="single" w:sz="4" w:space="0" w:color="auto"/>
            </w:tcBorders>
            <w:noWrap/>
            <w:hideMark/>
          </w:tcPr>
          <w:p w14:paraId="2897438D" w14:textId="1CC469C7" w:rsidR="00AF157E" w:rsidRPr="001677C7"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8</w:t>
            </w:r>
            <w:r w:rsidR="00AF157E" w:rsidRPr="001677C7">
              <w:rPr>
                <w:rFonts w:asciiTheme="majorHAnsi" w:eastAsia="Times New Roman" w:hAnsiTheme="majorHAnsi" w:cstheme="majorHAnsi"/>
                <w:color w:val="000000"/>
                <w:sz w:val="18"/>
                <w:szCs w:val="18"/>
              </w:rPr>
              <w:t>%</w:t>
            </w:r>
          </w:p>
        </w:tc>
        <w:tc>
          <w:tcPr>
            <w:tcW w:w="1023" w:type="dxa"/>
            <w:tcBorders>
              <w:top w:val="single" w:sz="4" w:space="0" w:color="auto"/>
            </w:tcBorders>
            <w:noWrap/>
            <w:hideMark/>
          </w:tcPr>
          <w:p w14:paraId="4E073032" w14:textId="4868C10E" w:rsidR="00AF157E" w:rsidRPr="001677C7"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w:t>
            </w:r>
            <w:r w:rsidR="00E54DD8" w:rsidRPr="001677C7">
              <w:rPr>
                <w:rFonts w:asciiTheme="majorHAnsi" w:eastAsia="Times New Roman" w:hAnsiTheme="majorHAnsi" w:cstheme="majorHAnsi"/>
                <w:color w:val="000000"/>
                <w:sz w:val="18"/>
                <w:szCs w:val="18"/>
              </w:rPr>
              <w:t>8</w:t>
            </w:r>
            <w:r w:rsidRPr="001677C7">
              <w:rPr>
                <w:rFonts w:asciiTheme="majorHAnsi" w:eastAsia="Times New Roman" w:hAnsiTheme="majorHAnsi" w:cstheme="majorHAnsi"/>
                <w:color w:val="000000"/>
                <w:sz w:val="18"/>
                <w:szCs w:val="18"/>
              </w:rPr>
              <w:t>%</w:t>
            </w:r>
          </w:p>
        </w:tc>
        <w:tc>
          <w:tcPr>
            <w:tcW w:w="1107" w:type="dxa"/>
            <w:tcBorders>
              <w:top w:val="single" w:sz="4" w:space="0" w:color="auto"/>
            </w:tcBorders>
            <w:noWrap/>
            <w:hideMark/>
          </w:tcPr>
          <w:p w14:paraId="04D0BBF2" w14:textId="15F4F9E4" w:rsidR="00AF157E" w:rsidRPr="001677C7"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19</w:t>
            </w:r>
            <w:r w:rsidR="00AF157E" w:rsidRPr="001677C7">
              <w:rPr>
                <w:rFonts w:asciiTheme="majorHAnsi" w:eastAsia="Times New Roman" w:hAnsiTheme="majorHAnsi" w:cstheme="majorHAnsi"/>
                <w:color w:val="000000"/>
                <w:sz w:val="18"/>
                <w:szCs w:val="18"/>
              </w:rPr>
              <w:t>%</w:t>
            </w:r>
          </w:p>
        </w:tc>
        <w:tc>
          <w:tcPr>
            <w:tcW w:w="1016" w:type="dxa"/>
            <w:tcBorders>
              <w:top w:val="single" w:sz="4" w:space="0" w:color="auto"/>
            </w:tcBorders>
          </w:tcPr>
          <w:p w14:paraId="426F68FC" w14:textId="278B671C" w:rsidR="00AF157E" w:rsidRPr="001677C7"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19</w:t>
            </w:r>
            <w:r w:rsidR="00AF157E" w:rsidRPr="001677C7">
              <w:rPr>
                <w:rFonts w:asciiTheme="majorHAnsi" w:eastAsia="Times New Roman" w:hAnsiTheme="majorHAnsi" w:cstheme="majorHAnsi"/>
                <w:color w:val="000000"/>
                <w:sz w:val="18"/>
                <w:szCs w:val="18"/>
              </w:rPr>
              <w:t>%</w:t>
            </w:r>
          </w:p>
        </w:tc>
        <w:tc>
          <w:tcPr>
            <w:tcW w:w="1198" w:type="dxa"/>
            <w:tcBorders>
              <w:top w:val="single" w:sz="4" w:space="0" w:color="auto"/>
            </w:tcBorders>
          </w:tcPr>
          <w:p w14:paraId="471B6C81" w14:textId="1A5E439C" w:rsidR="00AF157E" w:rsidRPr="001677C7"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r w:rsidR="00AF157E" w:rsidRPr="001677C7">
              <w:rPr>
                <w:rFonts w:asciiTheme="majorHAnsi" w:eastAsia="Times New Roman" w:hAnsiTheme="majorHAnsi" w:cstheme="majorHAnsi"/>
                <w:color w:val="000000"/>
                <w:sz w:val="18"/>
                <w:szCs w:val="18"/>
              </w:rPr>
              <w:t>%</w:t>
            </w:r>
          </w:p>
        </w:tc>
      </w:tr>
    </w:tbl>
    <w:bookmarkEnd w:id="0"/>
    <w:p w14:paraId="6D6EFC57" w14:textId="74C2BD4B" w:rsidR="005D08DD" w:rsidRPr="003C657C" w:rsidRDefault="00397E22" w:rsidP="008A5EF8">
      <w:pPr>
        <w:spacing w:after="0" w:line="240" w:lineRule="auto"/>
        <w:ind w:left="86"/>
        <w:rPr>
          <w:rFonts w:asciiTheme="majorHAnsi" w:hAnsiTheme="majorHAnsi" w:cstheme="majorHAnsi"/>
          <w:sz w:val="16"/>
          <w:szCs w:val="16"/>
        </w:rPr>
      </w:pPr>
      <w:r w:rsidRPr="003C657C">
        <w:rPr>
          <w:rFonts w:asciiTheme="majorHAnsi" w:hAnsiTheme="majorHAnsi" w:cstheme="majorHAnsi"/>
          <w:sz w:val="16"/>
          <w:szCs w:val="16"/>
        </w:rPr>
        <w:t>(</w:t>
      </w:r>
      <w:r w:rsidR="008A5EF8" w:rsidRPr="003C657C">
        <w:rPr>
          <w:rFonts w:asciiTheme="majorHAnsi" w:hAnsiTheme="majorHAnsi" w:cstheme="majorHAnsi"/>
          <w:sz w:val="16"/>
          <w:szCs w:val="16"/>
        </w:rPr>
        <w:t xml:space="preserve">1) Based on responses from </w:t>
      </w:r>
      <w:r w:rsidR="00E54DD8" w:rsidRPr="003C657C">
        <w:rPr>
          <w:rFonts w:asciiTheme="majorHAnsi" w:hAnsiTheme="majorHAnsi" w:cstheme="majorHAnsi"/>
          <w:sz w:val="16"/>
          <w:szCs w:val="16"/>
        </w:rPr>
        <w:t>193</w:t>
      </w:r>
      <w:r w:rsidR="008A5EF8" w:rsidRPr="003C657C">
        <w:rPr>
          <w:rFonts w:asciiTheme="majorHAnsi" w:hAnsiTheme="majorHAnsi" w:cstheme="majorHAnsi"/>
          <w:sz w:val="16"/>
          <w:szCs w:val="16"/>
        </w:rPr>
        <w:t xml:space="preserve"> Minnesota business service firms.  </w:t>
      </w:r>
      <w:r w:rsidRPr="003C657C">
        <w:rPr>
          <w:rFonts w:asciiTheme="majorHAnsi" w:hAnsiTheme="majorHAnsi" w:cstheme="majorHAnsi"/>
          <w:sz w:val="16"/>
          <w:szCs w:val="16"/>
        </w:rPr>
        <w:t>From those, 141 were usable</w:t>
      </w:r>
      <w:r w:rsidR="00600575" w:rsidRPr="003C657C">
        <w:rPr>
          <w:rFonts w:asciiTheme="majorHAnsi" w:hAnsiTheme="majorHAnsi" w:cstheme="majorHAnsi"/>
          <w:sz w:val="16"/>
          <w:szCs w:val="16"/>
        </w:rPr>
        <w:t xml:space="preserve"> </w:t>
      </w:r>
      <w:r w:rsidR="00C94448" w:rsidRPr="003C657C">
        <w:rPr>
          <w:rFonts w:asciiTheme="majorHAnsi" w:hAnsiTheme="majorHAnsi" w:cstheme="majorHAnsi"/>
          <w:sz w:val="16"/>
          <w:szCs w:val="16"/>
        </w:rPr>
        <w:t xml:space="preserve">surveys </w:t>
      </w:r>
      <w:r w:rsidR="00600575" w:rsidRPr="003C657C">
        <w:rPr>
          <w:rFonts w:asciiTheme="majorHAnsi" w:hAnsiTheme="majorHAnsi" w:cstheme="majorHAnsi"/>
          <w:sz w:val="16"/>
          <w:szCs w:val="16"/>
        </w:rPr>
        <w:t>for an adjusted response rate of 12%</w:t>
      </w:r>
      <w:r w:rsidRPr="003C657C">
        <w:rPr>
          <w:rFonts w:asciiTheme="majorHAnsi" w:hAnsiTheme="majorHAnsi" w:cstheme="majorHAnsi"/>
          <w:sz w:val="16"/>
          <w:szCs w:val="16"/>
        </w:rPr>
        <w:t>.</w:t>
      </w:r>
      <w:r w:rsidRPr="003C657C">
        <w:rPr>
          <w:rFonts w:asciiTheme="majorHAnsi" w:hAnsiTheme="majorHAnsi" w:cstheme="majorHAnsi"/>
          <w:sz w:val="16"/>
          <w:szCs w:val="16"/>
        </w:rPr>
        <w:br/>
      </w:r>
      <w:r w:rsidR="008A5EF8" w:rsidRPr="003C657C">
        <w:rPr>
          <w:rFonts w:asciiTheme="majorHAnsi" w:hAnsiTheme="majorHAnsi" w:cstheme="majorHAnsi"/>
          <w:sz w:val="16"/>
          <w:szCs w:val="16"/>
        </w:rPr>
        <w:t xml:space="preserve">Percentages might not add to 100% due to rounding. </w:t>
      </w:r>
      <w:r w:rsidR="008A5EF8" w:rsidRPr="003C657C">
        <w:rPr>
          <w:rFonts w:asciiTheme="majorHAnsi" w:hAnsiTheme="majorHAnsi" w:cstheme="majorHAnsi"/>
          <w:sz w:val="16"/>
          <w:szCs w:val="16"/>
        </w:rPr>
        <w:br/>
        <w:t xml:space="preserve">(2) A diffusion index greater than 50 indicates expansion, lower than 50 indicates contraction. </w:t>
      </w:r>
      <w:r w:rsidR="008A5EF8" w:rsidRPr="003C657C">
        <w:rPr>
          <w:rFonts w:asciiTheme="majorHAnsi" w:hAnsiTheme="majorHAnsi" w:cstheme="majorHAnsi"/>
          <w:sz w:val="16"/>
          <w:szCs w:val="16"/>
        </w:rPr>
        <w:br/>
        <w:t>Prepared by the Economic Analysis Unit, Minnesota Department of Employment and Economic Development, Ju</w:t>
      </w:r>
      <w:r w:rsidR="00E54DD8" w:rsidRPr="003C657C">
        <w:rPr>
          <w:rFonts w:asciiTheme="majorHAnsi" w:hAnsiTheme="majorHAnsi" w:cstheme="majorHAnsi"/>
          <w:sz w:val="16"/>
          <w:szCs w:val="16"/>
        </w:rPr>
        <w:t>ly</w:t>
      </w:r>
      <w:r w:rsidR="008A5EF8" w:rsidRPr="003C657C">
        <w:rPr>
          <w:rFonts w:asciiTheme="majorHAnsi" w:hAnsiTheme="majorHAnsi" w:cstheme="majorHAnsi"/>
          <w:sz w:val="16"/>
          <w:szCs w:val="16"/>
        </w:rPr>
        <w:t xml:space="preserve"> 202</w:t>
      </w:r>
      <w:r w:rsidR="00E54DD8" w:rsidRPr="003C657C">
        <w:rPr>
          <w:rFonts w:asciiTheme="majorHAnsi" w:hAnsiTheme="majorHAnsi" w:cstheme="majorHAnsi"/>
          <w:sz w:val="16"/>
          <w:szCs w:val="16"/>
        </w:rPr>
        <w:t>4</w:t>
      </w:r>
      <w:r w:rsidR="008A5EF8" w:rsidRPr="003C657C">
        <w:rPr>
          <w:rFonts w:asciiTheme="majorHAnsi" w:hAnsiTheme="majorHAnsi" w:cstheme="majorHAnsi"/>
          <w:sz w:val="16"/>
          <w:szCs w:val="16"/>
        </w:rPr>
        <w:t>.</w:t>
      </w:r>
      <w:r w:rsidR="008A5EF8" w:rsidRPr="003C657C">
        <w:rPr>
          <w:rFonts w:asciiTheme="majorHAnsi" w:hAnsiTheme="majorHAnsi" w:cstheme="majorHAnsi"/>
          <w:sz w:val="16"/>
          <w:szCs w:val="16"/>
        </w:rPr>
        <w:br/>
      </w:r>
    </w:p>
    <w:p w14:paraId="5C567AF9" w14:textId="6913AE4B" w:rsidR="00B86180" w:rsidRPr="001677C7" w:rsidRDefault="00B86180" w:rsidP="008A5EF8">
      <w:pPr>
        <w:spacing w:before="120" w:after="120" w:line="240" w:lineRule="auto"/>
        <w:rPr>
          <w:rFonts w:asciiTheme="majorHAnsi" w:hAnsiTheme="majorHAnsi" w:cstheme="majorHAnsi"/>
        </w:rPr>
        <w:sectPr w:rsidR="00B86180" w:rsidRPr="001677C7" w:rsidSect="009969EB">
          <w:type w:val="continuous"/>
          <w:pgSz w:w="12240" w:h="15840"/>
          <w:pgMar w:top="720" w:right="720" w:bottom="720" w:left="720" w:header="720" w:footer="720" w:gutter="0"/>
          <w:cols w:space="720"/>
          <w:docGrid w:linePitch="360"/>
        </w:sectPr>
      </w:pPr>
    </w:p>
    <w:p w14:paraId="00A8129B" w14:textId="77777777" w:rsidR="007E1626" w:rsidRPr="001677C7" w:rsidRDefault="007E1626" w:rsidP="007E1626">
      <w:pPr>
        <w:pStyle w:val="Title"/>
        <w:ind w:left="180"/>
        <w:rPr>
          <w:rFonts w:cstheme="majorHAnsi"/>
          <w:sz w:val="22"/>
          <w:szCs w:val="22"/>
        </w:rPr>
      </w:pPr>
      <w:r w:rsidRPr="001677C7">
        <w:rPr>
          <w:rFonts w:cstheme="majorHAnsi"/>
          <w:sz w:val="22"/>
          <w:szCs w:val="22"/>
        </w:rPr>
        <w:br w:type="page"/>
      </w:r>
    </w:p>
    <w:p w14:paraId="4655D29C" w14:textId="77777777" w:rsidR="00B350D2" w:rsidRPr="001677C7" w:rsidRDefault="00B350D2" w:rsidP="007E1626">
      <w:pPr>
        <w:pStyle w:val="Title"/>
        <w:ind w:left="180"/>
        <w:rPr>
          <w:rFonts w:cstheme="majorHAnsi"/>
          <w:sz w:val="22"/>
          <w:szCs w:val="22"/>
        </w:rPr>
        <w:sectPr w:rsidR="00B350D2" w:rsidRPr="001677C7" w:rsidSect="00BE1B88">
          <w:type w:val="continuous"/>
          <w:pgSz w:w="12240" w:h="15840"/>
          <w:pgMar w:top="720" w:right="720" w:bottom="720" w:left="720" w:header="720" w:footer="720" w:gutter="0"/>
          <w:cols w:space="720"/>
          <w:docGrid w:linePitch="360"/>
        </w:sectPr>
      </w:pPr>
    </w:p>
    <w:p w14:paraId="0BB11CCB" w14:textId="4D91ABAD" w:rsidR="007E1626" w:rsidRPr="001677C7" w:rsidRDefault="005A548A" w:rsidP="0093301B">
      <w:pPr>
        <w:rPr>
          <w:rFonts w:asciiTheme="majorHAnsi" w:hAnsiTheme="majorHAnsi" w:cstheme="majorHAnsi"/>
        </w:rPr>
      </w:pPr>
      <w:r w:rsidRPr="005A548A">
        <w:rPr>
          <w:rFonts w:asciiTheme="majorHAnsi" w:hAnsiTheme="majorHAnsi" w:cstheme="majorHAnsi"/>
        </w:rPr>
        <w:t>The survey also explored the impact of AI. Over 30% of respondents anticipated a slightly positive effect, while 23% foresaw no impact. Merely 4% believed it would have a very positive</w:t>
      </w:r>
      <w:r>
        <w:rPr>
          <w:rFonts w:asciiTheme="majorHAnsi" w:hAnsiTheme="majorHAnsi" w:cstheme="majorHAnsi"/>
        </w:rPr>
        <w:t xml:space="preserve"> impact</w:t>
      </w:r>
      <w:r w:rsidR="00FF6807" w:rsidRPr="001677C7">
        <w:rPr>
          <w:rFonts w:asciiTheme="majorHAnsi" w:hAnsiTheme="majorHAnsi" w:cstheme="majorHAnsi"/>
        </w:rPr>
        <w:t xml:space="preserve">. </w:t>
      </w:r>
      <w:r w:rsidR="00A902A5" w:rsidRPr="001677C7">
        <w:rPr>
          <w:rFonts w:asciiTheme="majorHAnsi" w:hAnsiTheme="majorHAnsi" w:cstheme="majorHAnsi"/>
        </w:rPr>
        <w:t>Respondents that indicated “</w:t>
      </w:r>
      <w:r w:rsidR="00FF6807" w:rsidRPr="001677C7">
        <w:rPr>
          <w:rFonts w:asciiTheme="majorHAnsi" w:hAnsiTheme="majorHAnsi" w:cstheme="majorHAnsi"/>
        </w:rPr>
        <w:t>O</w:t>
      </w:r>
      <w:r w:rsidR="00A902A5" w:rsidRPr="001677C7">
        <w:rPr>
          <w:rFonts w:asciiTheme="majorHAnsi" w:hAnsiTheme="majorHAnsi" w:cstheme="majorHAnsi"/>
        </w:rPr>
        <w:t xml:space="preserve">ther” commented that “it </w:t>
      </w:r>
      <w:r w:rsidR="007B5927" w:rsidRPr="001677C7">
        <w:rPr>
          <w:rFonts w:asciiTheme="majorHAnsi" w:hAnsiTheme="majorHAnsi" w:cstheme="majorHAnsi"/>
        </w:rPr>
        <w:t>needs to</w:t>
      </w:r>
      <w:r w:rsidR="00A902A5" w:rsidRPr="001677C7">
        <w:rPr>
          <w:rFonts w:asciiTheme="majorHAnsi" w:hAnsiTheme="majorHAnsi" w:cstheme="majorHAnsi"/>
        </w:rPr>
        <w:t xml:space="preserve"> be heavily policed” and that they “believe it to be significant, some negative and some positive.” </w:t>
      </w:r>
      <w:r w:rsidR="007E1626" w:rsidRPr="001677C7">
        <w:rPr>
          <w:rFonts w:asciiTheme="majorHAnsi" w:hAnsiTheme="majorHAnsi" w:cstheme="majorHAnsi"/>
        </w:rPr>
        <w:t>Table 2.</w:t>
      </w:r>
    </w:p>
    <w:p w14:paraId="439B792D" w14:textId="24AA59FC" w:rsidR="007E1626" w:rsidRPr="001677C7" w:rsidRDefault="007E1626" w:rsidP="007E1626">
      <w:pPr>
        <w:pStyle w:val="Title"/>
        <w:ind w:left="180"/>
        <w:rPr>
          <w:rFonts w:cstheme="majorHAnsi"/>
          <w:sz w:val="22"/>
          <w:szCs w:val="22"/>
        </w:rPr>
      </w:pPr>
    </w:p>
    <w:p w14:paraId="3C51F250" w14:textId="68129600" w:rsidR="00AF157E" w:rsidRPr="001677C7" w:rsidRDefault="00C52DEF" w:rsidP="00FF6807">
      <w:pPr>
        <w:pStyle w:val="Title"/>
        <w:rPr>
          <w:rFonts w:cstheme="majorHAnsi"/>
          <w:b/>
          <w:bCs/>
          <w:color w:val="1F4E79" w:themeColor="accent1" w:themeShade="80"/>
          <w:sz w:val="22"/>
          <w:szCs w:val="22"/>
        </w:rPr>
      </w:pPr>
      <w:r w:rsidRPr="001677C7">
        <w:rPr>
          <w:rFonts w:cstheme="majorHAnsi"/>
          <w:b/>
          <w:bCs/>
          <w:color w:val="1F4E79" w:themeColor="accent1" w:themeShade="80"/>
          <w:sz w:val="22"/>
          <w:szCs w:val="22"/>
        </w:rPr>
        <w:t xml:space="preserve">Table 2. </w:t>
      </w:r>
      <w:r w:rsidR="00E54DD8" w:rsidRPr="001677C7">
        <w:rPr>
          <w:rFonts w:cstheme="majorHAnsi"/>
          <w:b/>
          <w:bCs/>
          <w:color w:val="1F4E79" w:themeColor="accent1" w:themeShade="80"/>
          <w:sz w:val="22"/>
          <w:szCs w:val="22"/>
        </w:rPr>
        <w:t xml:space="preserve">Expected Impact of AI </w:t>
      </w:r>
      <w:r w:rsidRPr="001677C7">
        <w:rPr>
          <w:rFonts w:cstheme="majorHAnsi"/>
          <w:b/>
          <w:bCs/>
          <w:color w:val="1F4E79" w:themeColor="accent1" w:themeShade="80"/>
          <w:sz w:val="22"/>
          <w:szCs w:val="22"/>
        </w:rPr>
        <w:t>On Businesses</w:t>
      </w:r>
    </w:p>
    <w:tbl>
      <w:tblPr>
        <w:tblStyle w:val="TableGrid"/>
        <w:tblW w:w="4950" w:type="dxa"/>
        <w:tblInd w:w="-5" w:type="dxa"/>
        <w:tblLook w:val="04A0" w:firstRow="1" w:lastRow="0" w:firstColumn="1" w:lastColumn="0" w:noHBand="0" w:noVBand="1"/>
      </w:tblPr>
      <w:tblGrid>
        <w:gridCol w:w="2610"/>
        <w:gridCol w:w="2340"/>
      </w:tblGrid>
      <w:tr w:rsidR="00E54DD8" w:rsidRPr="001677C7" w14:paraId="2931BDAF" w14:textId="77777777" w:rsidTr="00FF6807">
        <w:tc>
          <w:tcPr>
            <w:tcW w:w="2610" w:type="dxa"/>
            <w:shd w:val="clear" w:color="auto" w:fill="9CC2E5" w:themeFill="accent1" w:themeFillTint="99"/>
          </w:tcPr>
          <w:p w14:paraId="6727DE49" w14:textId="2AE3B12C" w:rsidR="00E54DD8" w:rsidRPr="001677C7" w:rsidRDefault="00E54DD8" w:rsidP="00531B4E">
            <w:pPr>
              <w:rPr>
                <w:rFonts w:asciiTheme="majorHAnsi" w:hAnsiTheme="majorHAnsi" w:cstheme="majorHAnsi"/>
                <w:b/>
                <w:bCs/>
                <w:sz w:val="18"/>
                <w:szCs w:val="18"/>
              </w:rPr>
            </w:pPr>
            <w:r w:rsidRPr="001677C7">
              <w:rPr>
                <w:rFonts w:asciiTheme="majorHAnsi" w:hAnsiTheme="majorHAnsi" w:cstheme="majorHAnsi"/>
                <w:b/>
                <w:bCs/>
                <w:sz w:val="18"/>
                <w:szCs w:val="18"/>
              </w:rPr>
              <w:t>Expected impact</w:t>
            </w:r>
          </w:p>
        </w:tc>
        <w:tc>
          <w:tcPr>
            <w:tcW w:w="2340" w:type="dxa"/>
            <w:shd w:val="clear" w:color="auto" w:fill="9CC2E5" w:themeFill="accent1" w:themeFillTint="99"/>
          </w:tcPr>
          <w:p w14:paraId="7F878363" w14:textId="495A0754" w:rsidR="00E54DD8" w:rsidRPr="001677C7" w:rsidRDefault="00FF6807" w:rsidP="00531B4E">
            <w:pPr>
              <w:jc w:val="center"/>
              <w:rPr>
                <w:rFonts w:asciiTheme="majorHAnsi" w:hAnsiTheme="majorHAnsi" w:cstheme="majorHAnsi"/>
                <w:b/>
                <w:bCs/>
                <w:sz w:val="18"/>
                <w:szCs w:val="18"/>
              </w:rPr>
            </w:pPr>
            <w:r w:rsidRPr="001677C7">
              <w:rPr>
                <w:rFonts w:asciiTheme="majorHAnsi" w:hAnsiTheme="majorHAnsi" w:cstheme="majorHAnsi"/>
                <w:b/>
                <w:bCs/>
                <w:sz w:val="18"/>
                <w:szCs w:val="18"/>
              </w:rPr>
              <w:t>Percent</w:t>
            </w:r>
          </w:p>
        </w:tc>
      </w:tr>
      <w:tr w:rsidR="007A0B75" w:rsidRPr="001677C7" w14:paraId="2AD01A10" w14:textId="77777777" w:rsidTr="00FF6807">
        <w:tc>
          <w:tcPr>
            <w:tcW w:w="2610" w:type="dxa"/>
          </w:tcPr>
          <w:p w14:paraId="2B7C4CE9" w14:textId="6AB22AFD"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Very positive impact</w:t>
            </w:r>
          </w:p>
        </w:tc>
        <w:tc>
          <w:tcPr>
            <w:tcW w:w="2340" w:type="dxa"/>
          </w:tcPr>
          <w:p w14:paraId="5A9F42BC" w14:textId="1CF3AA6F"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4% </w:t>
            </w:r>
          </w:p>
        </w:tc>
      </w:tr>
      <w:tr w:rsidR="007A0B75" w:rsidRPr="001677C7" w14:paraId="13DFD4A5" w14:textId="77777777" w:rsidTr="00FF6807">
        <w:tc>
          <w:tcPr>
            <w:tcW w:w="2610" w:type="dxa"/>
          </w:tcPr>
          <w:p w14:paraId="7446AC27" w14:textId="3AD08525"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Slightly positive impact</w:t>
            </w:r>
          </w:p>
        </w:tc>
        <w:tc>
          <w:tcPr>
            <w:tcW w:w="2340" w:type="dxa"/>
          </w:tcPr>
          <w:p w14:paraId="56473C3E" w14:textId="7E767220"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33% </w:t>
            </w:r>
          </w:p>
        </w:tc>
      </w:tr>
      <w:tr w:rsidR="007A0B75" w:rsidRPr="001677C7" w14:paraId="4BA8EB4C" w14:textId="77777777" w:rsidTr="00FF6807">
        <w:tc>
          <w:tcPr>
            <w:tcW w:w="2610" w:type="dxa"/>
          </w:tcPr>
          <w:p w14:paraId="0CED8474" w14:textId="16E48A0A"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No impact</w:t>
            </w:r>
          </w:p>
        </w:tc>
        <w:tc>
          <w:tcPr>
            <w:tcW w:w="2340" w:type="dxa"/>
          </w:tcPr>
          <w:p w14:paraId="0EFF06B3" w14:textId="3ED0CE67"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23% </w:t>
            </w:r>
          </w:p>
        </w:tc>
      </w:tr>
      <w:tr w:rsidR="007A0B75" w:rsidRPr="001677C7" w14:paraId="4A17537C" w14:textId="77777777" w:rsidTr="00FF6807">
        <w:tc>
          <w:tcPr>
            <w:tcW w:w="2610" w:type="dxa"/>
          </w:tcPr>
          <w:p w14:paraId="2A57B2EE" w14:textId="23E7A6A8"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Neutral impact</w:t>
            </w:r>
          </w:p>
        </w:tc>
        <w:tc>
          <w:tcPr>
            <w:tcW w:w="2340" w:type="dxa"/>
          </w:tcPr>
          <w:p w14:paraId="017812A8" w14:textId="3008971F"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21% </w:t>
            </w:r>
          </w:p>
        </w:tc>
      </w:tr>
      <w:tr w:rsidR="007A0B75" w:rsidRPr="001677C7" w14:paraId="2EE3249C" w14:textId="77777777" w:rsidTr="00FF6807">
        <w:tc>
          <w:tcPr>
            <w:tcW w:w="2610" w:type="dxa"/>
          </w:tcPr>
          <w:p w14:paraId="7BEAA0F9" w14:textId="478E42E2"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Slightly negative impact</w:t>
            </w:r>
          </w:p>
        </w:tc>
        <w:tc>
          <w:tcPr>
            <w:tcW w:w="2340" w:type="dxa"/>
          </w:tcPr>
          <w:p w14:paraId="732E63FE" w14:textId="04E51A5B"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9% </w:t>
            </w:r>
          </w:p>
        </w:tc>
      </w:tr>
      <w:tr w:rsidR="007A0B75" w:rsidRPr="001677C7" w14:paraId="6226A7DD" w14:textId="77777777" w:rsidTr="00FF6807">
        <w:tc>
          <w:tcPr>
            <w:tcW w:w="2610" w:type="dxa"/>
          </w:tcPr>
          <w:p w14:paraId="5B003136" w14:textId="06BADE9F"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Very negative impact</w:t>
            </w:r>
          </w:p>
        </w:tc>
        <w:tc>
          <w:tcPr>
            <w:tcW w:w="2340" w:type="dxa"/>
          </w:tcPr>
          <w:p w14:paraId="316CDBD4" w14:textId="5C58FC2C"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7% </w:t>
            </w:r>
          </w:p>
        </w:tc>
      </w:tr>
      <w:tr w:rsidR="007A0B75" w:rsidRPr="001677C7" w14:paraId="16E8402A" w14:textId="77777777" w:rsidTr="00FF6807">
        <w:tc>
          <w:tcPr>
            <w:tcW w:w="2610" w:type="dxa"/>
          </w:tcPr>
          <w:p w14:paraId="62903ABB" w14:textId="20A2AFBB" w:rsidR="007A0B75" w:rsidRPr="001677C7" w:rsidRDefault="007A0B75" w:rsidP="007A0B75">
            <w:pPr>
              <w:rPr>
                <w:rFonts w:asciiTheme="majorHAnsi" w:hAnsiTheme="majorHAnsi" w:cstheme="majorHAnsi"/>
                <w:sz w:val="20"/>
                <w:szCs w:val="20"/>
              </w:rPr>
            </w:pPr>
            <w:r w:rsidRPr="001677C7">
              <w:rPr>
                <w:rFonts w:asciiTheme="majorHAnsi" w:hAnsiTheme="majorHAnsi" w:cstheme="majorHAnsi"/>
                <w:sz w:val="20"/>
                <w:szCs w:val="20"/>
              </w:rPr>
              <w:t>Other</w:t>
            </w:r>
          </w:p>
        </w:tc>
        <w:tc>
          <w:tcPr>
            <w:tcW w:w="2340" w:type="dxa"/>
          </w:tcPr>
          <w:p w14:paraId="522A09E6" w14:textId="413A6E32" w:rsidR="007A0B75" w:rsidRPr="001677C7" w:rsidRDefault="007A0B75" w:rsidP="007A0B75">
            <w:pPr>
              <w:jc w:val="center"/>
              <w:rPr>
                <w:rFonts w:asciiTheme="majorHAnsi" w:hAnsiTheme="majorHAnsi" w:cstheme="majorHAnsi"/>
                <w:sz w:val="20"/>
                <w:szCs w:val="20"/>
              </w:rPr>
            </w:pPr>
            <w:r w:rsidRPr="001677C7">
              <w:rPr>
                <w:rFonts w:asciiTheme="majorHAnsi" w:hAnsiTheme="majorHAnsi" w:cstheme="majorHAnsi"/>
                <w:sz w:val="20"/>
                <w:szCs w:val="20"/>
              </w:rPr>
              <w:t xml:space="preserve">4% </w:t>
            </w:r>
          </w:p>
        </w:tc>
      </w:tr>
    </w:tbl>
    <w:p w14:paraId="3DD40E79" w14:textId="61901989" w:rsidR="00B20EAA" w:rsidRPr="001677C7" w:rsidRDefault="00B90F9D" w:rsidP="00F87D08">
      <w:pPr>
        <w:rPr>
          <w:rFonts w:asciiTheme="majorHAnsi" w:hAnsiTheme="majorHAnsi" w:cstheme="majorHAnsi"/>
          <w:sz w:val="18"/>
          <w:szCs w:val="18"/>
        </w:rPr>
      </w:pPr>
      <w:r>
        <w:rPr>
          <w:rFonts w:asciiTheme="majorHAnsi" w:hAnsiTheme="majorHAnsi" w:cstheme="majorHAnsi"/>
          <w:sz w:val="18"/>
          <w:szCs w:val="18"/>
        </w:rPr>
        <w:t>Note: Based on 141 usable surveys.</w:t>
      </w:r>
    </w:p>
    <w:p w14:paraId="0E74E1BC" w14:textId="38978CC8" w:rsidR="003900CA" w:rsidRPr="001677C7" w:rsidRDefault="007E1626" w:rsidP="0093301B">
      <w:pPr>
        <w:rPr>
          <w:rFonts w:asciiTheme="majorHAnsi" w:hAnsiTheme="majorHAnsi" w:cstheme="majorHAnsi"/>
        </w:rPr>
      </w:pPr>
      <w:r w:rsidRPr="001677C7">
        <w:rPr>
          <w:rFonts w:asciiTheme="majorHAnsi" w:hAnsiTheme="majorHAnsi" w:cstheme="majorHAnsi"/>
        </w:rPr>
        <w:t xml:space="preserve">Participants were also asked about changes in office space. </w:t>
      </w:r>
      <w:r w:rsidR="00813AE8">
        <w:rPr>
          <w:rFonts w:asciiTheme="majorHAnsi" w:hAnsiTheme="majorHAnsi" w:cstheme="majorHAnsi"/>
        </w:rPr>
        <w:t>Sixty-five percent</w:t>
      </w:r>
      <w:r w:rsidR="00305097" w:rsidRPr="001677C7">
        <w:rPr>
          <w:rFonts w:asciiTheme="majorHAnsi" w:hAnsiTheme="majorHAnsi" w:cstheme="majorHAnsi"/>
        </w:rPr>
        <w:t xml:space="preserve"> of respondents indicated the</w:t>
      </w:r>
      <w:r w:rsidR="005A548A">
        <w:rPr>
          <w:rFonts w:asciiTheme="majorHAnsi" w:hAnsiTheme="majorHAnsi" w:cstheme="majorHAnsi"/>
        </w:rPr>
        <w:t>y</w:t>
      </w:r>
      <w:r w:rsidR="00305097" w:rsidRPr="001677C7">
        <w:rPr>
          <w:rFonts w:asciiTheme="majorHAnsi" w:hAnsiTheme="majorHAnsi" w:cstheme="majorHAnsi"/>
        </w:rPr>
        <w:t xml:space="preserve"> did not reduce space in the past 12 months while </w:t>
      </w:r>
      <w:r w:rsidR="00813AE8">
        <w:rPr>
          <w:rFonts w:asciiTheme="majorHAnsi" w:hAnsiTheme="majorHAnsi" w:cstheme="majorHAnsi"/>
        </w:rPr>
        <w:t>60</w:t>
      </w:r>
      <w:r w:rsidR="00305097" w:rsidRPr="001677C7">
        <w:rPr>
          <w:rFonts w:asciiTheme="majorHAnsi" w:hAnsiTheme="majorHAnsi" w:cstheme="majorHAnsi"/>
        </w:rPr>
        <w:t xml:space="preserve">% specified they </w:t>
      </w:r>
      <w:r w:rsidR="007B5927" w:rsidRPr="001677C7">
        <w:rPr>
          <w:rFonts w:asciiTheme="majorHAnsi" w:hAnsiTheme="majorHAnsi" w:cstheme="majorHAnsi"/>
        </w:rPr>
        <w:t>won’t in</w:t>
      </w:r>
      <w:r w:rsidR="00305097" w:rsidRPr="001677C7">
        <w:rPr>
          <w:rFonts w:asciiTheme="majorHAnsi" w:hAnsiTheme="majorHAnsi" w:cstheme="majorHAnsi"/>
        </w:rPr>
        <w:t xml:space="preserve"> the next </w:t>
      </w:r>
      <w:r w:rsidR="00994B7A" w:rsidRPr="001677C7">
        <w:rPr>
          <w:rFonts w:asciiTheme="majorHAnsi" w:hAnsiTheme="majorHAnsi" w:cstheme="majorHAnsi"/>
        </w:rPr>
        <w:t>12 months</w:t>
      </w:r>
      <w:r w:rsidR="00305097" w:rsidRPr="001677C7">
        <w:rPr>
          <w:rFonts w:asciiTheme="majorHAnsi" w:hAnsiTheme="majorHAnsi" w:cstheme="majorHAnsi"/>
        </w:rPr>
        <w:t xml:space="preserve">. </w:t>
      </w:r>
      <w:r w:rsidR="00FF6807" w:rsidRPr="001677C7">
        <w:rPr>
          <w:rFonts w:asciiTheme="majorHAnsi" w:hAnsiTheme="majorHAnsi" w:cstheme="majorHAnsi"/>
        </w:rPr>
        <w:t>Respondents that indicated “Other</w:t>
      </w:r>
      <w:r w:rsidR="005A548A">
        <w:rPr>
          <w:rFonts w:asciiTheme="majorHAnsi" w:hAnsiTheme="majorHAnsi" w:cstheme="majorHAnsi"/>
        </w:rPr>
        <w:t>”</w:t>
      </w:r>
      <w:r w:rsidR="00FF6807" w:rsidRPr="001677C7">
        <w:rPr>
          <w:rFonts w:asciiTheme="majorHAnsi" w:hAnsiTheme="majorHAnsi" w:cstheme="majorHAnsi"/>
        </w:rPr>
        <w:t xml:space="preserve"> commented they “have always been hybrid” and </w:t>
      </w:r>
      <w:r w:rsidR="005A548A">
        <w:rPr>
          <w:rFonts w:asciiTheme="majorHAnsi" w:hAnsiTheme="majorHAnsi" w:cstheme="majorHAnsi"/>
        </w:rPr>
        <w:t xml:space="preserve">that </w:t>
      </w:r>
      <w:r w:rsidR="00FF6807" w:rsidRPr="001677C7">
        <w:rPr>
          <w:rFonts w:asciiTheme="majorHAnsi" w:hAnsiTheme="majorHAnsi" w:cstheme="majorHAnsi"/>
        </w:rPr>
        <w:t>they are ”remodeling existing space</w:t>
      </w:r>
      <w:r w:rsidR="007A0B75">
        <w:rPr>
          <w:rFonts w:asciiTheme="majorHAnsi" w:hAnsiTheme="majorHAnsi" w:cstheme="majorHAnsi"/>
        </w:rPr>
        <w:t>.</w:t>
      </w:r>
      <w:r w:rsidR="00FF6807" w:rsidRPr="001677C7">
        <w:rPr>
          <w:rFonts w:asciiTheme="majorHAnsi" w:hAnsiTheme="majorHAnsi" w:cstheme="majorHAnsi"/>
        </w:rPr>
        <w:t xml:space="preserve">” </w:t>
      </w:r>
      <w:r w:rsidR="0037361F">
        <w:rPr>
          <w:rFonts w:asciiTheme="majorHAnsi" w:hAnsiTheme="majorHAnsi" w:cstheme="majorHAnsi"/>
        </w:rPr>
        <w:t>(T</w:t>
      </w:r>
      <w:r w:rsidR="00305097" w:rsidRPr="001677C7">
        <w:rPr>
          <w:rFonts w:asciiTheme="majorHAnsi" w:hAnsiTheme="majorHAnsi" w:cstheme="majorHAnsi"/>
        </w:rPr>
        <w:t>able 3</w:t>
      </w:r>
      <w:r w:rsidR="0037361F">
        <w:rPr>
          <w:rFonts w:asciiTheme="majorHAnsi" w:hAnsiTheme="majorHAnsi" w:cstheme="majorHAnsi"/>
        </w:rPr>
        <w:t>)</w:t>
      </w:r>
      <w:r w:rsidR="00305097" w:rsidRPr="001677C7">
        <w:rPr>
          <w:rFonts w:asciiTheme="majorHAnsi" w:hAnsiTheme="majorHAnsi" w:cstheme="majorHAnsi"/>
        </w:rPr>
        <w:t>.</w:t>
      </w:r>
    </w:p>
    <w:p w14:paraId="023836F1" w14:textId="3BEB004A" w:rsidR="00305097" w:rsidRPr="001677C7" w:rsidRDefault="00305097" w:rsidP="00B350D2">
      <w:pPr>
        <w:pStyle w:val="Title"/>
        <w:rPr>
          <w:rFonts w:cstheme="majorHAnsi"/>
          <w:b/>
          <w:bCs/>
          <w:color w:val="1F4E79" w:themeColor="accent1" w:themeShade="80"/>
          <w:sz w:val="22"/>
          <w:szCs w:val="22"/>
        </w:rPr>
      </w:pPr>
      <w:r w:rsidRPr="001677C7">
        <w:rPr>
          <w:rFonts w:cstheme="majorHAnsi"/>
          <w:b/>
          <w:bCs/>
          <w:color w:val="1F4E79" w:themeColor="accent1" w:themeShade="80"/>
          <w:sz w:val="22"/>
          <w:szCs w:val="22"/>
        </w:rPr>
        <w:t>Table 3. Changes in Office Space</w:t>
      </w:r>
    </w:p>
    <w:tbl>
      <w:tblPr>
        <w:tblStyle w:val="TableGrid"/>
        <w:tblW w:w="4950" w:type="dxa"/>
        <w:tblInd w:w="-5" w:type="dxa"/>
        <w:tblLook w:val="04A0" w:firstRow="1" w:lastRow="0" w:firstColumn="1" w:lastColumn="0" w:noHBand="0" w:noVBand="1"/>
      </w:tblPr>
      <w:tblGrid>
        <w:gridCol w:w="2610"/>
        <w:gridCol w:w="1170"/>
        <w:gridCol w:w="1170"/>
      </w:tblGrid>
      <w:tr w:rsidR="00305097" w:rsidRPr="001677C7" w14:paraId="6412D18C" w14:textId="2EB5290C" w:rsidTr="00397E22">
        <w:trPr>
          <w:trHeight w:val="67"/>
        </w:trPr>
        <w:tc>
          <w:tcPr>
            <w:tcW w:w="2610" w:type="dxa"/>
            <w:shd w:val="clear" w:color="auto" w:fill="9CC2E5" w:themeFill="accent1" w:themeFillTint="99"/>
          </w:tcPr>
          <w:p w14:paraId="41A05A59" w14:textId="229B5768" w:rsidR="00305097" w:rsidRPr="001677C7" w:rsidRDefault="00305097" w:rsidP="00E15D22">
            <w:pPr>
              <w:rPr>
                <w:rFonts w:asciiTheme="majorHAnsi" w:hAnsiTheme="majorHAnsi" w:cstheme="majorHAnsi"/>
                <w:b/>
                <w:bCs/>
                <w:sz w:val="18"/>
                <w:szCs w:val="18"/>
              </w:rPr>
            </w:pPr>
            <w:r w:rsidRPr="001677C7">
              <w:rPr>
                <w:rFonts w:asciiTheme="majorHAnsi" w:hAnsiTheme="majorHAnsi" w:cstheme="majorHAnsi"/>
                <w:b/>
                <w:bCs/>
                <w:sz w:val="18"/>
                <w:szCs w:val="18"/>
              </w:rPr>
              <w:t>Office Space</w:t>
            </w:r>
          </w:p>
        </w:tc>
        <w:tc>
          <w:tcPr>
            <w:tcW w:w="1170" w:type="dxa"/>
            <w:shd w:val="clear" w:color="auto" w:fill="9CC2E5" w:themeFill="accent1" w:themeFillTint="99"/>
          </w:tcPr>
          <w:p w14:paraId="3FB6D4E9" w14:textId="1DCE4C2D" w:rsidR="00305097" w:rsidRPr="001677C7" w:rsidRDefault="00305097" w:rsidP="00E15D22">
            <w:pPr>
              <w:jc w:val="center"/>
              <w:rPr>
                <w:rFonts w:asciiTheme="majorHAnsi" w:hAnsiTheme="majorHAnsi" w:cstheme="majorHAnsi"/>
                <w:b/>
                <w:bCs/>
                <w:sz w:val="18"/>
                <w:szCs w:val="18"/>
              </w:rPr>
            </w:pPr>
            <w:r w:rsidRPr="001677C7">
              <w:rPr>
                <w:rFonts w:asciiTheme="majorHAnsi" w:hAnsiTheme="majorHAnsi" w:cstheme="majorHAnsi"/>
                <w:b/>
                <w:bCs/>
                <w:sz w:val="18"/>
                <w:szCs w:val="18"/>
              </w:rPr>
              <w:t>Past 12</w:t>
            </w:r>
            <w:r w:rsidR="00FF6807" w:rsidRPr="001677C7">
              <w:rPr>
                <w:rFonts w:asciiTheme="majorHAnsi" w:hAnsiTheme="majorHAnsi" w:cstheme="majorHAnsi"/>
                <w:b/>
                <w:bCs/>
                <w:sz w:val="18"/>
                <w:szCs w:val="18"/>
              </w:rPr>
              <w:t>*</w:t>
            </w:r>
            <w:r w:rsidRPr="001677C7">
              <w:rPr>
                <w:rFonts w:asciiTheme="majorHAnsi" w:hAnsiTheme="majorHAnsi" w:cstheme="majorHAnsi"/>
                <w:b/>
                <w:bCs/>
                <w:sz w:val="18"/>
                <w:szCs w:val="18"/>
              </w:rPr>
              <w:t xml:space="preserve"> months</w:t>
            </w:r>
          </w:p>
        </w:tc>
        <w:tc>
          <w:tcPr>
            <w:tcW w:w="1170" w:type="dxa"/>
            <w:shd w:val="clear" w:color="auto" w:fill="9CC2E5" w:themeFill="accent1" w:themeFillTint="99"/>
          </w:tcPr>
          <w:p w14:paraId="76F4874D" w14:textId="0E4D1326" w:rsidR="00305097" w:rsidRPr="001677C7" w:rsidRDefault="00305097" w:rsidP="00E15D22">
            <w:pPr>
              <w:jc w:val="center"/>
              <w:rPr>
                <w:rFonts w:asciiTheme="majorHAnsi" w:hAnsiTheme="majorHAnsi" w:cstheme="majorHAnsi"/>
                <w:b/>
                <w:bCs/>
                <w:sz w:val="18"/>
                <w:szCs w:val="18"/>
              </w:rPr>
            </w:pPr>
            <w:r w:rsidRPr="001677C7">
              <w:rPr>
                <w:rFonts w:asciiTheme="majorHAnsi" w:hAnsiTheme="majorHAnsi" w:cstheme="majorHAnsi"/>
                <w:b/>
                <w:bCs/>
                <w:sz w:val="18"/>
                <w:szCs w:val="18"/>
              </w:rPr>
              <w:t>Coming 12</w:t>
            </w:r>
            <w:r w:rsidR="00FF6807" w:rsidRPr="001677C7">
              <w:rPr>
                <w:rFonts w:asciiTheme="majorHAnsi" w:hAnsiTheme="majorHAnsi" w:cstheme="majorHAnsi"/>
                <w:b/>
                <w:bCs/>
                <w:sz w:val="18"/>
                <w:szCs w:val="18"/>
              </w:rPr>
              <w:t>*</w:t>
            </w:r>
            <w:r w:rsidRPr="001677C7">
              <w:rPr>
                <w:rFonts w:asciiTheme="majorHAnsi" w:hAnsiTheme="majorHAnsi" w:cstheme="majorHAnsi"/>
                <w:b/>
                <w:bCs/>
                <w:sz w:val="18"/>
                <w:szCs w:val="18"/>
              </w:rPr>
              <w:t xml:space="preserve"> months</w:t>
            </w:r>
          </w:p>
        </w:tc>
      </w:tr>
      <w:tr w:rsidR="00305097" w:rsidRPr="001677C7" w14:paraId="1471EE8F" w14:textId="1DF77BED" w:rsidTr="00397E22">
        <w:trPr>
          <w:trHeight w:val="67"/>
        </w:trPr>
        <w:tc>
          <w:tcPr>
            <w:tcW w:w="2610" w:type="dxa"/>
          </w:tcPr>
          <w:p w14:paraId="40FDDF12" w14:textId="40F9CE90" w:rsidR="00305097" w:rsidRPr="001677C7" w:rsidRDefault="00305097" w:rsidP="00E15D22">
            <w:pPr>
              <w:rPr>
                <w:rFonts w:asciiTheme="majorHAnsi" w:hAnsiTheme="majorHAnsi" w:cstheme="majorHAnsi"/>
                <w:sz w:val="20"/>
                <w:szCs w:val="20"/>
              </w:rPr>
            </w:pPr>
            <w:r w:rsidRPr="001677C7">
              <w:rPr>
                <w:rFonts w:asciiTheme="majorHAnsi" w:hAnsiTheme="majorHAnsi" w:cstheme="majorHAnsi"/>
                <w:sz w:val="20"/>
                <w:szCs w:val="20"/>
              </w:rPr>
              <w:t>Not reducing space</w:t>
            </w:r>
          </w:p>
        </w:tc>
        <w:tc>
          <w:tcPr>
            <w:tcW w:w="1170" w:type="dxa"/>
          </w:tcPr>
          <w:p w14:paraId="66638F00" w14:textId="62C7C11C" w:rsidR="00305097" w:rsidRPr="00813AE8" w:rsidRDefault="001A29CB" w:rsidP="00E15D22">
            <w:pPr>
              <w:jc w:val="center"/>
              <w:rPr>
                <w:rFonts w:asciiTheme="majorHAnsi" w:hAnsiTheme="majorHAnsi" w:cstheme="majorHAnsi"/>
                <w:sz w:val="20"/>
                <w:szCs w:val="20"/>
              </w:rPr>
            </w:pPr>
            <w:r w:rsidRPr="00813AE8">
              <w:rPr>
                <w:rFonts w:asciiTheme="majorHAnsi" w:hAnsiTheme="majorHAnsi" w:cstheme="majorHAnsi"/>
                <w:sz w:val="20"/>
                <w:szCs w:val="20"/>
              </w:rPr>
              <w:t>65</w:t>
            </w:r>
            <w:r w:rsidR="00305097" w:rsidRPr="00813AE8">
              <w:rPr>
                <w:rFonts w:asciiTheme="majorHAnsi" w:hAnsiTheme="majorHAnsi" w:cstheme="majorHAnsi"/>
                <w:sz w:val="20"/>
                <w:szCs w:val="20"/>
              </w:rPr>
              <w:t>%</w:t>
            </w:r>
          </w:p>
        </w:tc>
        <w:tc>
          <w:tcPr>
            <w:tcW w:w="1170" w:type="dxa"/>
          </w:tcPr>
          <w:p w14:paraId="3A59FCC1" w14:textId="65058FE5" w:rsidR="00305097" w:rsidRPr="00813AE8" w:rsidRDefault="001A29CB" w:rsidP="00E15D22">
            <w:pPr>
              <w:jc w:val="center"/>
              <w:rPr>
                <w:rFonts w:asciiTheme="majorHAnsi" w:hAnsiTheme="majorHAnsi" w:cstheme="majorHAnsi"/>
                <w:sz w:val="20"/>
                <w:szCs w:val="20"/>
              </w:rPr>
            </w:pPr>
            <w:r w:rsidRPr="00813AE8">
              <w:rPr>
                <w:rFonts w:asciiTheme="majorHAnsi" w:hAnsiTheme="majorHAnsi" w:cstheme="majorHAnsi"/>
                <w:sz w:val="20"/>
                <w:szCs w:val="20"/>
              </w:rPr>
              <w:t>60</w:t>
            </w:r>
            <w:r w:rsidR="00305097" w:rsidRPr="00813AE8">
              <w:rPr>
                <w:rFonts w:asciiTheme="majorHAnsi" w:hAnsiTheme="majorHAnsi" w:cstheme="majorHAnsi"/>
                <w:sz w:val="20"/>
                <w:szCs w:val="20"/>
              </w:rPr>
              <w:t xml:space="preserve">% </w:t>
            </w:r>
          </w:p>
        </w:tc>
      </w:tr>
      <w:tr w:rsidR="00305097" w:rsidRPr="001677C7" w14:paraId="4FD612F3" w14:textId="77777777" w:rsidTr="00397E22">
        <w:trPr>
          <w:trHeight w:val="63"/>
        </w:trPr>
        <w:tc>
          <w:tcPr>
            <w:tcW w:w="2610" w:type="dxa"/>
          </w:tcPr>
          <w:p w14:paraId="21CEF2A5" w14:textId="2D80F437" w:rsidR="00305097" w:rsidRPr="001677C7" w:rsidRDefault="00305097" w:rsidP="00305097">
            <w:pPr>
              <w:rPr>
                <w:rFonts w:asciiTheme="majorHAnsi" w:hAnsiTheme="majorHAnsi" w:cstheme="majorHAnsi"/>
                <w:sz w:val="20"/>
                <w:szCs w:val="20"/>
              </w:rPr>
            </w:pPr>
            <w:r w:rsidRPr="001677C7">
              <w:rPr>
                <w:rFonts w:asciiTheme="majorHAnsi" w:hAnsiTheme="majorHAnsi" w:cstheme="majorHAnsi"/>
                <w:sz w:val="20"/>
                <w:szCs w:val="20"/>
              </w:rPr>
              <w:t>Rent is too expensive</w:t>
            </w:r>
          </w:p>
        </w:tc>
        <w:tc>
          <w:tcPr>
            <w:tcW w:w="1170" w:type="dxa"/>
          </w:tcPr>
          <w:p w14:paraId="1B3F5A1E" w14:textId="22C23597"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19</w:t>
            </w:r>
            <w:r w:rsidR="00305097" w:rsidRPr="00813AE8">
              <w:rPr>
                <w:rFonts w:asciiTheme="majorHAnsi" w:hAnsiTheme="majorHAnsi" w:cstheme="majorHAnsi"/>
                <w:sz w:val="20"/>
                <w:szCs w:val="20"/>
              </w:rPr>
              <w:t xml:space="preserve">% </w:t>
            </w:r>
          </w:p>
        </w:tc>
        <w:tc>
          <w:tcPr>
            <w:tcW w:w="1170" w:type="dxa"/>
          </w:tcPr>
          <w:p w14:paraId="6870F0E3" w14:textId="1CD72FC4"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20</w:t>
            </w:r>
            <w:r w:rsidR="00305097" w:rsidRPr="00813AE8">
              <w:rPr>
                <w:rFonts w:asciiTheme="majorHAnsi" w:hAnsiTheme="majorHAnsi" w:cstheme="majorHAnsi"/>
                <w:sz w:val="20"/>
                <w:szCs w:val="20"/>
              </w:rPr>
              <w:t xml:space="preserve">% </w:t>
            </w:r>
          </w:p>
        </w:tc>
      </w:tr>
      <w:tr w:rsidR="00305097" w:rsidRPr="001677C7" w14:paraId="556A48CD" w14:textId="77777777" w:rsidTr="00397E22">
        <w:trPr>
          <w:trHeight w:val="134"/>
        </w:trPr>
        <w:tc>
          <w:tcPr>
            <w:tcW w:w="2610" w:type="dxa"/>
          </w:tcPr>
          <w:p w14:paraId="0E777495" w14:textId="1425CF19" w:rsidR="00305097" w:rsidRPr="001677C7" w:rsidRDefault="00305097" w:rsidP="00305097">
            <w:pPr>
              <w:rPr>
                <w:rFonts w:asciiTheme="majorHAnsi" w:hAnsiTheme="majorHAnsi" w:cstheme="majorHAnsi"/>
                <w:sz w:val="20"/>
                <w:szCs w:val="20"/>
              </w:rPr>
            </w:pPr>
            <w:r w:rsidRPr="001677C7">
              <w:rPr>
                <w:rFonts w:asciiTheme="majorHAnsi" w:hAnsiTheme="majorHAnsi" w:cstheme="majorHAnsi"/>
                <w:sz w:val="20"/>
                <w:szCs w:val="20"/>
              </w:rPr>
              <w:t>Permanent reduction in staff</w:t>
            </w:r>
          </w:p>
        </w:tc>
        <w:tc>
          <w:tcPr>
            <w:tcW w:w="1170" w:type="dxa"/>
          </w:tcPr>
          <w:p w14:paraId="17C03EA4" w14:textId="0C52B6C6"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14</w:t>
            </w:r>
            <w:r w:rsidR="00305097" w:rsidRPr="00813AE8">
              <w:rPr>
                <w:rFonts w:asciiTheme="majorHAnsi" w:hAnsiTheme="majorHAnsi" w:cstheme="majorHAnsi"/>
                <w:sz w:val="20"/>
                <w:szCs w:val="20"/>
              </w:rPr>
              <w:t xml:space="preserve">% </w:t>
            </w:r>
          </w:p>
        </w:tc>
        <w:tc>
          <w:tcPr>
            <w:tcW w:w="1170" w:type="dxa"/>
          </w:tcPr>
          <w:p w14:paraId="452FCA22" w14:textId="0F597CA4"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15</w:t>
            </w:r>
            <w:r w:rsidR="00305097" w:rsidRPr="00813AE8">
              <w:rPr>
                <w:rFonts w:asciiTheme="majorHAnsi" w:hAnsiTheme="majorHAnsi" w:cstheme="majorHAnsi"/>
                <w:sz w:val="20"/>
                <w:szCs w:val="20"/>
              </w:rPr>
              <w:t xml:space="preserve">% </w:t>
            </w:r>
          </w:p>
        </w:tc>
      </w:tr>
      <w:tr w:rsidR="00305097" w:rsidRPr="001677C7" w14:paraId="59C82F1E" w14:textId="294240CC" w:rsidTr="00397E22">
        <w:trPr>
          <w:trHeight w:val="134"/>
        </w:trPr>
        <w:tc>
          <w:tcPr>
            <w:tcW w:w="2610" w:type="dxa"/>
          </w:tcPr>
          <w:p w14:paraId="71D9AB94" w14:textId="50C1472A" w:rsidR="00305097" w:rsidRPr="001677C7" w:rsidRDefault="00305097" w:rsidP="00305097">
            <w:pPr>
              <w:rPr>
                <w:rFonts w:asciiTheme="majorHAnsi" w:hAnsiTheme="majorHAnsi" w:cstheme="majorHAnsi"/>
                <w:sz w:val="20"/>
                <w:szCs w:val="20"/>
              </w:rPr>
            </w:pPr>
            <w:r w:rsidRPr="001677C7">
              <w:rPr>
                <w:rFonts w:asciiTheme="majorHAnsi" w:hAnsiTheme="majorHAnsi" w:cstheme="majorHAnsi"/>
                <w:sz w:val="20"/>
                <w:szCs w:val="20"/>
              </w:rPr>
              <w:t>Permanent shift to hybrid/remote work</w:t>
            </w:r>
          </w:p>
        </w:tc>
        <w:tc>
          <w:tcPr>
            <w:tcW w:w="1170" w:type="dxa"/>
          </w:tcPr>
          <w:p w14:paraId="46983F7B" w14:textId="6318AB56"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23</w:t>
            </w:r>
            <w:r w:rsidR="00305097" w:rsidRPr="00813AE8">
              <w:rPr>
                <w:rFonts w:asciiTheme="majorHAnsi" w:hAnsiTheme="majorHAnsi" w:cstheme="majorHAnsi"/>
                <w:sz w:val="20"/>
                <w:szCs w:val="20"/>
              </w:rPr>
              <w:t xml:space="preserve">% </w:t>
            </w:r>
          </w:p>
        </w:tc>
        <w:tc>
          <w:tcPr>
            <w:tcW w:w="1170" w:type="dxa"/>
          </w:tcPr>
          <w:p w14:paraId="6DBC8CED" w14:textId="405EA657" w:rsidR="00305097" w:rsidRPr="00813AE8" w:rsidRDefault="004E07AA" w:rsidP="00305097">
            <w:pPr>
              <w:jc w:val="center"/>
              <w:rPr>
                <w:rFonts w:asciiTheme="majorHAnsi" w:hAnsiTheme="majorHAnsi" w:cstheme="majorHAnsi"/>
                <w:sz w:val="20"/>
                <w:szCs w:val="20"/>
              </w:rPr>
            </w:pPr>
            <w:r w:rsidRPr="00813AE8">
              <w:rPr>
                <w:rFonts w:asciiTheme="majorHAnsi" w:hAnsiTheme="majorHAnsi" w:cstheme="majorHAnsi"/>
                <w:sz w:val="20"/>
                <w:szCs w:val="20"/>
              </w:rPr>
              <w:t>20%</w:t>
            </w:r>
            <w:r w:rsidR="00305097" w:rsidRPr="00813AE8">
              <w:rPr>
                <w:rFonts w:asciiTheme="majorHAnsi" w:hAnsiTheme="majorHAnsi" w:cstheme="majorHAnsi"/>
                <w:sz w:val="20"/>
                <w:szCs w:val="20"/>
              </w:rPr>
              <w:t xml:space="preserve"> </w:t>
            </w:r>
          </w:p>
        </w:tc>
      </w:tr>
      <w:tr w:rsidR="00BD7419" w:rsidRPr="001677C7" w14:paraId="39FD26D9" w14:textId="77777777" w:rsidTr="00397E22">
        <w:trPr>
          <w:trHeight w:val="134"/>
        </w:trPr>
        <w:tc>
          <w:tcPr>
            <w:tcW w:w="2610" w:type="dxa"/>
          </w:tcPr>
          <w:p w14:paraId="10A54245" w14:textId="6C8ED4C1" w:rsidR="00BD7419" w:rsidRPr="001677C7" w:rsidRDefault="00BD7419" w:rsidP="00BD7419">
            <w:pPr>
              <w:rPr>
                <w:rFonts w:asciiTheme="majorHAnsi" w:hAnsiTheme="majorHAnsi" w:cstheme="majorHAnsi"/>
                <w:sz w:val="20"/>
                <w:szCs w:val="20"/>
              </w:rPr>
            </w:pPr>
            <w:r w:rsidRPr="001677C7">
              <w:rPr>
                <w:rFonts w:asciiTheme="majorHAnsi" w:hAnsiTheme="majorHAnsi" w:cstheme="majorHAnsi"/>
                <w:sz w:val="20"/>
                <w:szCs w:val="20"/>
              </w:rPr>
              <w:t>Moving to a smaller space</w:t>
            </w:r>
          </w:p>
        </w:tc>
        <w:tc>
          <w:tcPr>
            <w:tcW w:w="1170" w:type="dxa"/>
          </w:tcPr>
          <w:p w14:paraId="2EEC151A" w14:textId="796D5066" w:rsidR="00BD7419" w:rsidRPr="00813AE8" w:rsidRDefault="004E07AA" w:rsidP="00BD7419">
            <w:pPr>
              <w:jc w:val="center"/>
              <w:rPr>
                <w:rFonts w:asciiTheme="majorHAnsi" w:hAnsiTheme="majorHAnsi" w:cstheme="majorHAnsi"/>
                <w:sz w:val="20"/>
                <w:szCs w:val="20"/>
              </w:rPr>
            </w:pPr>
            <w:r w:rsidRPr="00813AE8">
              <w:rPr>
                <w:rFonts w:asciiTheme="majorHAnsi" w:hAnsiTheme="majorHAnsi" w:cstheme="majorHAnsi"/>
                <w:sz w:val="20"/>
                <w:szCs w:val="20"/>
              </w:rPr>
              <w:t>4%</w:t>
            </w:r>
          </w:p>
        </w:tc>
        <w:tc>
          <w:tcPr>
            <w:tcW w:w="1170" w:type="dxa"/>
          </w:tcPr>
          <w:p w14:paraId="31F25D97" w14:textId="7789E883" w:rsidR="00BD7419" w:rsidRPr="00813AE8" w:rsidRDefault="004E07AA" w:rsidP="00BD7419">
            <w:pPr>
              <w:jc w:val="center"/>
              <w:rPr>
                <w:rFonts w:asciiTheme="majorHAnsi" w:hAnsiTheme="majorHAnsi" w:cstheme="majorHAnsi"/>
                <w:sz w:val="20"/>
                <w:szCs w:val="20"/>
              </w:rPr>
            </w:pPr>
            <w:r w:rsidRPr="00813AE8">
              <w:rPr>
                <w:rFonts w:asciiTheme="majorHAnsi" w:hAnsiTheme="majorHAnsi" w:cstheme="majorHAnsi"/>
                <w:sz w:val="20"/>
                <w:szCs w:val="20"/>
              </w:rPr>
              <w:t>8</w:t>
            </w:r>
            <w:r w:rsidR="00BD7419" w:rsidRPr="00813AE8">
              <w:rPr>
                <w:rFonts w:asciiTheme="majorHAnsi" w:hAnsiTheme="majorHAnsi" w:cstheme="majorHAnsi"/>
                <w:sz w:val="20"/>
                <w:szCs w:val="20"/>
              </w:rPr>
              <w:t xml:space="preserve">% </w:t>
            </w:r>
          </w:p>
        </w:tc>
      </w:tr>
      <w:tr w:rsidR="00BD7419" w:rsidRPr="001677C7" w14:paraId="3ED7CF07" w14:textId="7577507D" w:rsidTr="00397E22">
        <w:trPr>
          <w:trHeight w:val="134"/>
        </w:trPr>
        <w:tc>
          <w:tcPr>
            <w:tcW w:w="2610" w:type="dxa"/>
          </w:tcPr>
          <w:p w14:paraId="6FC47F24" w14:textId="28BB800A" w:rsidR="00BD7419" w:rsidRPr="001677C7" w:rsidRDefault="00BD7419" w:rsidP="00BD7419">
            <w:pPr>
              <w:rPr>
                <w:rFonts w:asciiTheme="majorHAnsi" w:hAnsiTheme="majorHAnsi" w:cstheme="majorHAnsi"/>
                <w:sz w:val="20"/>
                <w:szCs w:val="20"/>
              </w:rPr>
            </w:pPr>
            <w:r w:rsidRPr="001677C7">
              <w:rPr>
                <w:rFonts w:asciiTheme="majorHAnsi" w:hAnsiTheme="majorHAnsi" w:cstheme="majorHAnsi"/>
                <w:sz w:val="20"/>
                <w:szCs w:val="20"/>
              </w:rPr>
              <w:t>Moving to a lower rent space</w:t>
            </w:r>
          </w:p>
        </w:tc>
        <w:tc>
          <w:tcPr>
            <w:tcW w:w="1170" w:type="dxa"/>
          </w:tcPr>
          <w:p w14:paraId="604E81D6" w14:textId="15FF55CD" w:rsidR="00BD7419" w:rsidRPr="00813AE8" w:rsidRDefault="00813AE8" w:rsidP="00BD7419">
            <w:pPr>
              <w:jc w:val="center"/>
              <w:rPr>
                <w:rFonts w:asciiTheme="majorHAnsi" w:hAnsiTheme="majorHAnsi" w:cstheme="majorHAnsi"/>
                <w:sz w:val="20"/>
                <w:szCs w:val="20"/>
              </w:rPr>
            </w:pPr>
            <w:r w:rsidRPr="00813AE8">
              <w:rPr>
                <w:rFonts w:asciiTheme="majorHAnsi" w:hAnsiTheme="majorHAnsi" w:cstheme="majorHAnsi"/>
                <w:sz w:val="20"/>
                <w:szCs w:val="20"/>
              </w:rPr>
              <w:t>1</w:t>
            </w:r>
            <w:r w:rsidR="00BD7419" w:rsidRPr="00813AE8">
              <w:rPr>
                <w:rFonts w:asciiTheme="majorHAnsi" w:hAnsiTheme="majorHAnsi" w:cstheme="majorHAnsi"/>
                <w:sz w:val="20"/>
                <w:szCs w:val="20"/>
              </w:rPr>
              <w:t xml:space="preserve">% </w:t>
            </w:r>
          </w:p>
        </w:tc>
        <w:tc>
          <w:tcPr>
            <w:tcW w:w="1170" w:type="dxa"/>
          </w:tcPr>
          <w:p w14:paraId="7D57B6EE" w14:textId="4C5433EB" w:rsidR="00BD7419" w:rsidRPr="00813AE8" w:rsidRDefault="004E07AA" w:rsidP="00BD7419">
            <w:pPr>
              <w:jc w:val="center"/>
              <w:rPr>
                <w:rFonts w:asciiTheme="majorHAnsi" w:hAnsiTheme="majorHAnsi" w:cstheme="majorHAnsi"/>
                <w:sz w:val="20"/>
                <w:szCs w:val="20"/>
              </w:rPr>
            </w:pPr>
            <w:r w:rsidRPr="00813AE8">
              <w:rPr>
                <w:rFonts w:asciiTheme="majorHAnsi" w:hAnsiTheme="majorHAnsi" w:cstheme="majorHAnsi"/>
                <w:sz w:val="20"/>
                <w:szCs w:val="20"/>
              </w:rPr>
              <w:t>9</w:t>
            </w:r>
            <w:r w:rsidR="00BD7419" w:rsidRPr="00813AE8">
              <w:rPr>
                <w:rFonts w:asciiTheme="majorHAnsi" w:hAnsiTheme="majorHAnsi" w:cstheme="majorHAnsi"/>
                <w:sz w:val="20"/>
                <w:szCs w:val="20"/>
              </w:rPr>
              <w:t xml:space="preserve">% </w:t>
            </w:r>
          </w:p>
        </w:tc>
      </w:tr>
      <w:tr w:rsidR="00BD7419" w:rsidRPr="001677C7" w14:paraId="0F8A8007" w14:textId="2911BB7A" w:rsidTr="00397E22">
        <w:trPr>
          <w:trHeight w:val="134"/>
        </w:trPr>
        <w:tc>
          <w:tcPr>
            <w:tcW w:w="2610" w:type="dxa"/>
          </w:tcPr>
          <w:p w14:paraId="782E02AD" w14:textId="0F641869" w:rsidR="00BD7419" w:rsidRPr="001677C7" w:rsidRDefault="00BD7419" w:rsidP="00BD7419">
            <w:pPr>
              <w:rPr>
                <w:rFonts w:asciiTheme="majorHAnsi" w:hAnsiTheme="majorHAnsi" w:cstheme="majorHAnsi"/>
                <w:sz w:val="20"/>
                <w:szCs w:val="20"/>
              </w:rPr>
            </w:pPr>
            <w:r w:rsidRPr="001677C7">
              <w:rPr>
                <w:rFonts w:asciiTheme="majorHAnsi" w:hAnsiTheme="majorHAnsi" w:cstheme="majorHAnsi"/>
                <w:sz w:val="20"/>
                <w:szCs w:val="20"/>
              </w:rPr>
              <w:t>Moving to a more desirable space/location</w:t>
            </w:r>
          </w:p>
        </w:tc>
        <w:tc>
          <w:tcPr>
            <w:tcW w:w="1170" w:type="dxa"/>
          </w:tcPr>
          <w:p w14:paraId="18299D76" w14:textId="5ACCA2D0" w:rsidR="00BD7419" w:rsidRPr="00813AE8" w:rsidRDefault="004E07AA" w:rsidP="00BD7419">
            <w:pPr>
              <w:jc w:val="center"/>
              <w:rPr>
                <w:rFonts w:asciiTheme="majorHAnsi" w:hAnsiTheme="majorHAnsi" w:cstheme="majorHAnsi"/>
                <w:sz w:val="20"/>
                <w:szCs w:val="20"/>
              </w:rPr>
            </w:pPr>
            <w:r w:rsidRPr="00813AE8">
              <w:rPr>
                <w:rFonts w:asciiTheme="majorHAnsi" w:hAnsiTheme="majorHAnsi" w:cstheme="majorHAnsi"/>
                <w:sz w:val="20"/>
                <w:szCs w:val="20"/>
              </w:rPr>
              <w:t>4</w:t>
            </w:r>
            <w:r w:rsidR="00BD7419" w:rsidRPr="00813AE8">
              <w:rPr>
                <w:rFonts w:asciiTheme="majorHAnsi" w:hAnsiTheme="majorHAnsi" w:cstheme="majorHAnsi"/>
                <w:sz w:val="20"/>
                <w:szCs w:val="20"/>
              </w:rPr>
              <w:t xml:space="preserve">% </w:t>
            </w:r>
          </w:p>
        </w:tc>
        <w:tc>
          <w:tcPr>
            <w:tcW w:w="1170" w:type="dxa"/>
          </w:tcPr>
          <w:p w14:paraId="28520A45" w14:textId="491FDE5E" w:rsidR="00BD7419" w:rsidRPr="00813AE8" w:rsidRDefault="00DC3511" w:rsidP="00DC3511">
            <w:pPr>
              <w:jc w:val="center"/>
              <w:rPr>
                <w:rFonts w:asciiTheme="majorHAnsi" w:hAnsiTheme="majorHAnsi" w:cstheme="majorHAnsi"/>
                <w:sz w:val="20"/>
                <w:szCs w:val="20"/>
              </w:rPr>
            </w:pPr>
            <w:r w:rsidRPr="00813AE8">
              <w:rPr>
                <w:rFonts w:asciiTheme="majorHAnsi" w:hAnsiTheme="majorHAnsi" w:cstheme="majorHAnsi"/>
                <w:sz w:val="20"/>
                <w:szCs w:val="20"/>
              </w:rPr>
              <w:t>9</w:t>
            </w:r>
            <w:r w:rsidR="00BD7419" w:rsidRPr="00813AE8">
              <w:rPr>
                <w:rFonts w:asciiTheme="majorHAnsi" w:hAnsiTheme="majorHAnsi" w:cstheme="majorHAnsi"/>
                <w:sz w:val="20"/>
                <w:szCs w:val="20"/>
              </w:rPr>
              <w:t>%</w:t>
            </w:r>
          </w:p>
        </w:tc>
      </w:tr>
      <w:tr w:rsidR="00BD7419" w:rsidRPr="001677C7" w14:paraId="6F8C8C48" w14:textId="6E60AF76" w:rsidTr="00397E22">
        <w:trPr>
          <w:trHeight w:val="63"/>
        </w:trPr>
        <w:tc>
          <w:tcPr>
            <w:tcW w:w="2610" w:type="dxa"/>
          </w:tcPr>
          <w:p w14:paraId="4F5E3CF2" w14:textId="7CD5F806" w:rsidR="00BD7419" w:rsidRPr="001677C7" w:rsidRDefault="00BD7419" w:rsidP="00BD7419">
            <w:pPr>
              <w:rPr>
                <w:rFonts w:asciiTheme="majorHAnsi" w:hAnsiTheme="majorHAnsi" w:cstheme="majorHAnsi"/>
                <w:sz w:val="20"/>
                <w:szCs w:val="20"/>
              </w:rPr>
            </w:pPr>
            <w:r w:rsidRPr="001677C7">
              <w:rPr>
                <w:rFonts w:asciiTheme="majorHAnsi" w:hAnsiTheme="majorHAnsi" w:cstheme="majorHAnsi"/>
                <w:sz w:val="20"/>
                <w:szCs w:val="20"/>
              </w:rPr>
              <w:t>Other</w:t>
            </w:r>
          </w:p>
        </w:tc>
        <w:tc>
          <w:tcPr>
            <w:tcW w:w="1170" w:type="dxa"/>
          </w:tcPr>
          <w:p w14:paraId="6D54F6CA" w14:textId="4E22E376" w:rsidR="00BD7419" w:rsidRPr="00813AE8" w:rsidRDefault="00DC3511" w:rsidP="00BD7419">
            <w:pPr>
              <w:jc w:val="center"/>
              <w:rPr>
                <w:rFonts w:asciiTheme="majorHAnsi" w:hAnsiTheme="majorHAnsi" w:cstheme="majorHAnsi"/>
                <w:sz w:val="20"/>
                <w:szCs w:val="20"/>
              </w:rPr>
            </w:pPr>
            <w:r w:rsidRPr="00813AE8">
              <w:rPr>
                <w:rFonts w:asciiTheme="majorHAnsi" w:hAnsiTheme="majorHAnsi" w:cstheme="majorHAnsi"/>
                <w:sz w:val="20"/>
                <w:szCs w:val="20"/>
              </w:rPr>
              <w:t>4</w:t>
            </w:r>
            <w:r w:rsidR="00BD7419" w:rsidRPr="00813AE8">
              <w:rPr>
                <w:rFonts w:asciiTheme="majorHAnsi" w:hAnsiTheme="majorHAnsi" w:cstheme="majorHAnsi"/>
                <w:sz w:val="20"/>
                <w:szCs w:val="20"/>
              </w:rPr>
              <w:t xml:space="preserve">% </w:t>
            </w:r>
          </w:p>
        </w:tc>
        <w:tc>
          <w:tcPr>
            <w:tcW w:w="1170" w:type="dxa"/>
          </w:tcPr>
          <w:p w14:paraId="0E383D21" w14:textId="4F6BF082" w:rsidR="00BD7419" w:rsidRPr="00813AE8" w:rsidRDefault="00DC3511" w:rsidP="00DC3511">
            <w:pPr>
              <w:jc w:val="center"/>
              <w:rPr>
                <w:rFonts w:asciiTheme="majorHAnsi" w:hAnsiTheme="majorHAnsi" w:cstheme="majorHAnsi"/>
                <w:sz w:val="20"/>
                <w:szCs w:val="20"/>
              </w:rPr>
            </w:pPr>
            <w:r w:rsidRPr="00813AE8">
              <w:rPr>
                <w:rFonts w:asciiTheme="majorHAnsi" w:hAnsiTheme="majorHAnsi" w:cstheme="majorHAnsi"/>
                <w:sz w:val="20"/>
                <w:szCs w:val="20"/>
              </w:rPr>
              <w:t>5</w:t>
            </w:r>
            <w:r w:rsidR="00BD7419" w:rsidRPr="00813AE8">
              <w:rPr>
                <w:rFonts w:asciiTheme="majorHAnsi" w:hAnsiTheme="majorHAnsi" w:cstheme="majorHAnsi"/>
                <w:sz w:val="20"/>
                <w:szCs w:val="20"/>
              </w:rPr>
              <w:t>%</w:t>
            </w:r>
          </w:p>
        </w:tc>
      </w:tr>
    </w:tbl>
    <w:p w14:paraId="54DCD86B" w14:textId="225B98D9" w:rsidR="00B350D2" w:rsidRPr="00B90F9D" w:rsidRDefault="00B90F9D" w:rsidP="00B90F9D">
      <w:pPr>
        <w:rPr>
          <w:rStyle w:val="Heading2Char"/>
          <w:rFonts w:eastAsiaTheme="minorHAnsi" w:cstheme="majorHAnsi"/>
          <w:color w:val="auto"/>
          <w:sz w:val="18"/>
          <w:szCs w:val="18"/>
        </w:rPr>
      </w:pPr>
      <w:r>
        <w:rPr>
          <w:rFonts w:asciiTheme="majorHAnsi" w:hAnsiTheme="majorHAnsi" w:cstheme="majorHAnsi"/>
          <w:sz w:val="18"/>
          <w:szCs w:val="18"/>
        </w:rPr>
        <w:t>Note: Based on 141 usable surveys.</w:t>
      </w:r>
      <w:r>
        <w:rPr>
          <w:rFonts w:asciiTheme="majorHAnsi" w:hAnsiTheme="majorHAnsi" w:cstheme="majorHAnsi"/>
          <w:sz w:val="18"/>
          <w:szCs w:val="18"/>
        </w:rPr>
        <w:br/>
      </w:r>
      <w:r w:rsidR="00401D67">
        <w:rPr>
          <w:rFonts w:asciiTheme="majorHAnsi" w:hAnsiTheme="majorHAnsi" w:cstheme="majorHAnsi"/>
          <w:sz w:val="18"/>
          <w:szCs w:val="18"/>
        </w:rPr>
        <w:t>*</w:t>
      </w:r>
      <w:r w:rsidR="00B06F44" w:rsidRPr="001677C7">
        <w:rPr>
          <w:rFonts w:asciiTheme="majorHAnsi" w:hAnsiTheme="majorHAnsi" w:cstheme="majorHAnsi"/>
          <w:sz w:val="18"/>
          <w:szCs w:val="18"/>
        </w:rPr>
        <w:t>Percentages do not add to 100% due to multiple choice selections.</w:t>
      </w:r>
      <w:r w:rsidR="00397E22" w:rsidRPr="001677C7">
        <w:rPr>
          <w:rStyle w:val="Heading2Char"/>
          <w:rFonts w:cstheme="majorHAnsi"/>
          <w:color w:val="auto"/>
          <w:sz w:val="18"/>
          <w:szCs w:val="18"/>
        </w:rPr>
        <w:br/>
      </w:r>
    </w:p>
    <w:p w14:paraId="386B507B" w14:textId="1D9DEF8D" w:rsidR="00937B6C" w:rsidRPr="001677C7" w:rsidRDefault="00AF5CB2" w:rsidP="00FA5554">
      <w:pPr>
        <w:spacing w:after="0" w:line="240" w:lineRule="auto"/>
        <w:rPr>
          <w:rFonts w:asciiTheme="majorHAnsi" w:hAnsiTheme="majorHAnsi" w:cstheme="majorHAnsi"/>
        </w:rPr>
      </w:pPr>
      <w:r w:rsidRPr="001677C7">
        <w:rPr>
          <w:rStyle w:val="Heading2Char"/>
          <w:rFonts w:cstheme="majorHAnsi"/>
          <w:b/>
          <w:bCs/>
        </w:rPr>
        <w:t>Business Ownership</w:t>
      </w:r>
      <w:r w:rsidRPr="001677C7">
        <w:rPr>
          <w:rStyle w:val="Heading2Char"/>
          <w:rFonts w:cstheme="majorHAnsi"/>
          <w:b/>
          <w:bCs/>
        </w:rPr>
        <w:br/>
      </w:r>
      <w:r w:rsidR="00937B6C" w:rsidRPr="001677C7">
        <w:rPr>
          <w:rFonts w:asciiTheme="majorHAnsi" w:hAnsiTheme="majorHAnsi" w:cstheme="majorHAnsi"/>
        </w:rPr>
        <w:t>Only 3% of respondents identified themselves as veteran</w:t>
      </w:r>
      <w:r w:rsidR="00B06F44" w:rsidRPr="001677C7">
        <w:rPr>
          <w:rFonts w:asciiTheme="majorHAnsi" w:hAnsiTheme="majorHAnsi" w:cstheme="majorHAnsi"/>
        </w:rPr>
        <w:t>s</w:t>
      </w:r>
      <w:r w:rsidR="00937B6C" w:rsidRPr="001677C7">
        <w:rPr>
          <w:rFonts w:asciiTheme="majorHAnsi" w:hAnsiTheme="majorHAnsi" w:cstheme="majorHAnsi"/>
        </w:rPr>
        <w:t xml:space="preserve"> while 10% as minorities</w:t>
      </w:r>
      <w:r w:rsidR="0001747C">
        <w:rPr>
          <w:rFonts w:asciiTheme="majorHAnsi" w:hAnsiTheme="majorHAnsi" w:cstheme="majorHAnsi"/>
        </w:rPr>
        <w:t xml:space="preserve"> and 21% as women.</w:t>
      </w:r>
    </w:p>
    <w:p w14:paraId="4CAE8A52" w14:textId="77777777" w:rsidR="00937B6C" w:rsidRPr="001677C7" w:rsidRDefault="00937B6C" w:rsidP="00FA5554">
      <w:pPr>
        <w:spacing w:after="0" w:line="240" w:lineRule="auto"/>
        <w:rPr>
          <w:rFonts w:asciiTheme="majorHAnsi" w:hAnsiTheme="majorHAnsi" w:cstheme="majorHAnsi"/>
        </w:rPr>
      </w:pPr>
    </w:p>
    <w:tbl>
      <w:tblPr>
        <w:tblW w:w="4945" w:type="dxa"/>
        <w:tblLook w:val="04A0" w:firstRow="1" w:lastRow="0" w:firstColumn="1" w:lastColumn="0" w:noHBand="0" w:noVBand="1"/>
      </w:tblPr>
      <w:tblGrid>
        <w:gridCol w:w="2695"/>
        <w:gridCol w:w="2250"/>
      </w:tblGrid>
      <w:tr w:rsidR="00937B6C" w:rsidRPr="001677C7" w14:paraId="305ABC52" w14:textId="77777777" w:rsidTr="00B172A1">
        <w:trPr>
          <w:trHeight w:val="255"/>
        </w:trPr>
        <w:tc>
          <w:tcPr>
            <w:tcW w:w="269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1192C120" w14:textId="77777777" w:rsidR="00937B6C" w:rsidRPr="001677C7" w:rsidRDefault="00937B6C" w:rsidP="00937B6C">
            <w:pPr>
              <w:spacing w:after="0" w:line="240" w:lineRule="auto"/>
              <w:jc w:val="center"/>
              <w:rPr>
                <w:rFonts w:asciiTheme="majorHAnsi" w:eastAsia="Times New Roman" w:hAnsiTheme="majorHAnsi" w:cstheme="majorHAnsi"/>
                <w:b/>
                <w:bCs/>
                <w:sz w:val="18"/>
                <w:szCs w:val="18"/>
              </w:rPr>
            </w:pPr>
            <w:r w:rsidRPr="001677C7">
              <w:rPr>
                <w:rFonts w:asciiTheme="majorHAnsi" w:eastAsia="Times New Roman" w:hAnsiTheme="majorHAnsi" w:cstheme="majorHAnsi"/>
                <w:b/>
                <w:bCs/>
                <w:sz w:val="18"/>
                <w:szCs w:val="18"/>
              </w:rPr>
              <w:t>Ownership</w:t>
            </w:r>
          </w:p>
        </w:tc>
        <w:tc>
          <w:tcPr>
            <w:tcW w:w="225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4607B294" w14:textId="6BDD4A47" w:rsidR="00937B6C" w:rsidRPr="001677C7" w:rsidRDefault="00937B6C" w:rsidP="00937B6C">
            <w:pPr>
              <w:spacing w:after="0" w:line="240" w:lineRule="auto"/>
              <w:jc w:val="center"/>
              <w:rPr>
                <w:rFonts w:asciiTheme="majorHAnsi" w:eastAsia="Times New Roman" w:hAnsiTheme="majorHAnsi" w:cstheme="majorHAnsi"/>
                <w:b/>
                <w:bCs/>
                <w:sz w:val="18"/>
                <w:szCs w:val="18"/>
              </w:rPr>
            </w:pPr>
            <w:r w:rsidRPr="001677C7">
              <w:rPr>
                <w:rFonts w:asciiTheme="majorHAnsi" w:eastAsia="Times New Roman" w:hAnsiTheme="majorHAnsi" w:cstheme="majorHAnsi"/>
                <w:b/>
                <w:bCs/>
                <w:sz w:val="18"/>
                <w:szCs w:val="18"/>
              </w:rPr>
              <w:t>Percent</w:t>
            </w:r>
            <w:r w:rsidR="00B06F44" w:rsidRPr="001677C7">
              <w:rPr>
                <w:rFonts w:asciiTheme="majorHAnsi" w:eastAsia="Times New Roman" w:hAnsiTheme="majorHAnsi" w:cstheme="majorHAnsi"/>
                <w:b/>
                <w:bCs/>
                <w:sz w:val="18"/>
                <w:szCs w:val="18"/>
              </w:rPr>
              <w:t>*</w:t>
            </w:r>
          </w:p>
        </w:tc>
      </w:tr>
      <w:tr w:rsidR="00937B6C" w:rsidRPr="001677C7" w14:paraId="211598A0" w14:textId="77777777" w:rsidTr="00B172A1">
        <w:trPr>
          <w:trHeight w:val="197"/>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3F7667D" w14:textId="77777777" w:rsidR="00937B6C" w:rsidRPr="001677C7" w:rsidRDefault="00937B6C" w:rsidP="00937B6C">
            <w:pPr>
              <w:spacing w:after="0" w:line="240" w:lineRule="auto"/>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None of the above</w:t>
            </w:r>
          </w:p>
        </w:tc>
        <w:tc>
          <w:tcPr>
            <w:tcW w:w="2250" w:type="dxa"/>
            <w:tcBorders>
              <w:top w:val="nil"/>
              <w:left w:val="nil"/>
              <w:bottom w:val="single" w:sz="4" w:space="0" w:color="auto"/>
              <w:right w:val="single" w:sz="4" w:space="0" w:color="auto"/>
            </w:tcBorders>
            <w:shd w:val="clear" w:color="auto" w:fill="auto"/>
            <w:noWrap/>
            <w:vAlign w:val="bottom"/>
            <w:hideMark/>
          </w:tcPr>
          <w:p w14:paraId="652394F0" w14:textId="2926977D" w:rsidR="00937B6C" w:rsidRPr="001677C7" w:rsidRDefault="00937B6C" w:rsidP="00B90F9D">
            <w:pPr>
              <w:spacing w:after="0" w:line="240" w:lineRule="auto"/>
              <w:jc w:val="center"/>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61%</w:t>
            </w:r>
          </w:p>
        </w:tc>
      </w:tr>
      <w:tr w:rsidR="00937B6C" w:rsidRPr="001677C7" w14:paraId="1F1AA679" w14:textId="77777777" w:rsidTr="00B172A1">
        <w:trPr>
          <w:trHeight w:val="152"/>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48CF902" w14:textId="77777777" w:rsidR="00937B6C" w:rsidRPr="001677C7" w:rsidRDefault="00937B6C" w:rsidP="00937B6C">
            <w:pPr>
              <w:spacing w:after="0" w:line="240" w:lineRule="auto"/>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Woman-owned</w:t>
            </w:r>
          </w:p>
        </w:tc>
        <w:tc>
          <w:tcPr>
            <w:tcW w:w="2250" w:type="dxa"/>
            <w:tcBorders>
              <w:top w:val="nil"/>
              <w:left w:val="nil"/>
              <w:bottom w:val="single" w:sz="4" w:space="0" w:color="auto"/>
              <w:right w:val="single" w:sz="4" w:space="0" w:color="auto"/>
            </w:tcBorders>
            <w:shd w:val="clear" w:color="auto" w:fill="auto"/>
            <w:noWrap/>
            <w:vAlign w:val="bottom"/>
            <w:hideMark/>
          </w:tcPr>
          <w:p w14:paraId="3F39951F" w14:textId="488E50B4" w:rsidR="00937B6C" w:rsidRPr="001677C7" w:rsidRDefault="00937B6C" w:rsidP="00B90F9D">
            <w:pPr>
              <w:spacing w:after="0" w:line="240" w:lineRule="auto"/>
              <w:jc w:val="center"/>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21%</w:t>
            </w:r>
          </w:p>
        </w:tc>
      </w:tr>
      <w:tr w:rsidR="00937B6C" w:rsidRPr="001677C7" w14:paraId="048B4D59" w14:textId="77777777" w:rsidTr="00B172A1">
        <w:trPr>
          <w:trHeight w:val="1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C712C1F" w14:textId="6278FBF5" w:rsidR="00937B6C" w:rsidRPr="001677C7" w:rsidRDefault="00937B6C" w:rsidP="00937B6C">
            <w:pPr>
              <w:spacing w:after="0" w:line="240" w:lineRule="auto"/>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Minority-owned</w:t>
            </w:r>
          </w:p>
        </w:tc>
        <w:tc>
          <w:tcPr>
            <w:tcW w:w="2250" w:type="dxa"/>
            <w:tcBorders>
              <w:top w:val="nil"/>
              <w:left w:val="nil"/>
              <w:bottom w:val="single" w:sz="4" w:space="0" w:color="auto"/>
              <w:right w:val="single" w:sz="4" w:space="0" w:color="auto"/>
            </w:tcBorders>
            <w:shd w:val="clear" w:color="auto" w:fill="auto"/>
            <w:noWrap/>
            <w:vAlign w:val="bottom"/>
            <w:hideMark/>
          </w:tcPr>
          <w:p w14:paraId="7CB69BFE" w14:textId="16BAEF5F" w:rsidR="00937B6C" w:rsidRPr="001677C7" w:rsidRDefault="00937B6C" w:rsidP="00B90F9D">
            <w:pPr>
              <w:spacing w:after="0" w:line="240" w:lineRule="auto"/>
              <w:jc w:val="center"/>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10%</w:t>
            </w:r>
          </w:p>
        </w:tc>
      </w:tr>
      <w:tr w:rsidR="00937B6C" w:rsidRPr="001677C7" w14:paraId="092E01CF" w14:textId="77777777" w:rsidTr="00B172A1">
        <w:trPr>
          <w:trHeight w:val="224"/>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F22FC5D" w14:textId="4BCB5E60" w:rsidR="00937B6C" w:rsidRPr="001677C7" w:rsidRDefault="00937B6C" w:rsidP="00937B6C">
            <w:pPr>
              <w:spacing w:after="0" w:line="240" w:lineRule="auto"/>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Prefer not to answer</w:t>
            </w:r>
          </w:p>
        </w:tc>
        <w:tc>
          <w:tcPr>
            <w:tcW w:w="2250" w:type="dxa"/>
            <w:tcBorders>
              <w:top w:val="nil"/>
              <w:left w:val="nil"/>
              <w:bottom w:val="single" w:sz="4" w:space="0" w:color="auto"/>
              <w:right w:val="single" w:sz="4" w:space="0" w:color="auto"/>
            </w:tcBorders>
            <w:shd w:val="clear" w:color="auto" w:fill="auto"/>
            <w:noWrap/>
            <w:vAlign w:val="bottom"/>
            <w:hideMark/>
          </w:tcPr>
          <w:p w14:paraId="2C385BFF" w14:textId="1C7DCB28" w:rsidR="00937B6C" w:rsidRPr="001677C7" w:rsidRDefault="00937B6C" w:rsidP="00B90F9D">
            <w:pPr>
              <w:spacing w:after="0" w:line="240" w:lineRule="auto"/>
              <w:jc w:val="center"/>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10%</w:t>
            </w:r>
          </w:p>
        </w:tc>
      </w:tr>
      <w:tr w:rsidR="00937B6C" w:rsidRPr="001677C7" w14:paraId="1C2D18B1" w14:textId="77777777" w:rsidTr="00B172A1">
        <w:trPr>
          <w:trHeight w:val="179"/>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5081035" w14:textId="77777777" w:rsidR="00937B6C" w:rsidRPr="001677C7" w:rsidRDefault="00937B6C" w:rsidP="00937B6C">
            <w:pPr>
              <w:spacing w:after="0" w:line="240" w:lineRule="auto"/>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Veteran-owned</w:t>
            </w:r>
          </w:p>
        </w:tc>
        <w:tc>
          <w:tcPr>
            <w:tcW w:w="2250" w:type="dxa"/>
            <w:tcBorders>
              <w:top w:val="nil"/>
              <w:left w:val="nil"/>
              <w:bottom w:val="single" w:sz="4" w:space="0" w:color="auto"/>
              <w:right w:val="single" w:sz="4" w:space="0" w:color="auto"/>
            </w:tcBorders>
            <w:shd w:val="clear" w:color="auto" w:fill="auto"/>
            <w:noWrap/>
            <w:vAlign w:val="bottom"/>
            <w:hideMark/>
          </w:tcPr>
          <w:p w14:paraId="616288F5" w14:textId="20E7877D" w:rsidR="00937B6C" w:rsidRPr="001677C7" w:rsidRDefault="00937B6C" w:rsidP="00B90F9D">
            <w:pPr>
              <w:spacing w:after="0" w:line="240" w:lineRule="auto"/>
              <w:jc w:val="center"/>
              <w:rPr>
                <w:rFonts w:asciiTheme="majorHAnsi" w:eastAsia="Times New Roman" w:hAnsiTheme="majorHAnsi" w:cstheme="majorHAnsi"/>
                <w:color w:val="000000"/>
                <w:sz w:val="20"/>
                <w:szCs w:val="20"/>
              </w:rPr>
            </w:pPr>
            <w:r w:rsidRPr="001677C7">
              <w:rPr>
                <w:rFonts w:asciiTheme="majorHAnsi" w:eastAsia="Times New Roman" w:hAnsiTheme="majorHAnsi" w:cstheme="majorHAnsi"/>
                <w:color w:val="000000"/>
                <w:sz w:val="20"/>
                <w:szCs w:val="20"/>
              </w:rPr>
              <w:t>3%</w:t>
            </w:r>
          </w:p>
        </w:tc>
      </w:tr>
    </w:tbl>
    <w:p w14:paraId="2B87062C" w14:textId="7FC3B2FB" w:rsidR="00276903" w:rsidRPr="001677C7" w:rsidRDefault="00B12461" w:rsidP="00937B6C">
      <w:pPr>
        <w:spacing w:after="0" w:line="240" w:lineRule="auto"/>
        <w:rPr>
          <w:rFonts w:asciiTheme="majorHAnsi" w:hAnsiTheme="majorHAnsi" w:cstheme="majorHAnsi"/>
          <w:sz w:val="18"/>
          <w:szCs w:val="18"/>
        </w:rPr>
        <w:sectPr w:rsidR="00276903" w:rsidRPr="001677C7" w:rsidSect="00276903">
          <w:type w:val="continuous"/>
          <w:pgSz w:w="12240" w:h="15840"/>
          <w:pgMar w:top="720" w:right="720" w:bottom="720" w:left="720" w:header="720" w:footer="720" w:gutter="0"/>
          <w:cols w:num="2" w:space="720"/>
          <w:docGrid w:linePitch="360"/>
        </w:sectPr>
      </w:pPr>
      <w:r>
        <w:rPr>
          <w:rFonts w:asciiTheme="majorHAnsi" w:hAnsiTheme="majorHAnsi" w:cstheme="majorHAnsi"/>
          <w:sz w:val="18"/>
          <w:szCs w:val="18"/>
        </w:rPr>
        <w:t>Note: Based on 141 usable surveys.</w:t>
      </w:r>
      <w:r w:rsidR="00B90F9D">
        <w:rPr>
          <w:rFonts w:asciiTheme="majorHAnsi" w:hAnsiTheme="majorHAnsi" w:cstheme="majorHAnsi"/>
          <w:sz w:val="18"/>
          <w:szCs w:val="18"/>
        </w:rPr>
        <w:br/>
      </w:r>
      <w:r w:rsidR="00811D30">
        <w:rPr>
          <w:rFonts w:asciiTheme="majorHAnsi" w:hAnsiTheme="majorHAnsi" w:cstheme="majorHAnsi"/>
          <w:sz w:val="18"/>
          <w:szCs w:val="18"/>
        </w:rPr>
        <w:t>*</w:t>
      </w:r>
      <w:r w:rsidR="00B06F44" w:rsidRPr="001677C7">
        <w:rPr>
          <w:rFonts w:asciiTheme="majorHAnsi" w:hAnsiTheme="majorHAnsi" w:cstheme="majorHAnsi"/>
          <w:sz w:val="18"/>
          <w:szCs w:val="18"/>
        </w:rPr>
        <w:t>P</w:t>
      </w:r>
      <w:r w:rsidR="00990882" w:rsidRPr="001677C7">
        <w:rPr>
          <w:rFonts w:asciiTheme="majorHAnsi" w:hAnsiTheme="majorHAnsi" w:cstheme="majorHAnsi"/>
          <w:sz w:val="18"/>
          <w:szCs w:val="18"/>
        </w:rPr>
        <w:t>ercentages do not add to 100% due to multiple choice selection</w:t>
      </w:r>
      <w:r w:rsidR="00937B6C" w:rsidRPr="001677C7">
        <w:rPr>
          <w:rFonts w:asciiTheme="majorHAnsi" w:hAnsiTheme="majorHAnsi" w:cstheme="majorHAnsi"/>
          <w:sz w:val="18"/>
          <w:szCs w:val="18"/>
        </w:rPr>
        <w:t>s</w:t>
      </w:r>
      <w:r w:rsidR="00B06F44" w:rsidRPr="001677C7">
        <w:rPr>
          <w:rFonts w:asciiTheme="majorHAnsi" w:hAnsiTheme="majorHAnsi" w:cstheme="majorHAnsi"/>
          <w:sz w:val="18"/>
          <w:szCs w:val="18"/>
        </w:rPr>
        <w:t>.</w:t>
      </w:r>
    </w:p>
    <w:p w14:paraId="26C83D9E" w14:textId="77777777" w:rsidR="00B350D2" w:rsidRPr="001677C7" w:rsidRDefault="00B350D2" w:rsidP="00276903">
      <w:pPr>
        <w:rPr>
          <w:rFonts w:asciiTheme="majorHAnsi" w:hAnsiTheme="majorHAnsi" w:cstheme="majorHAnsi"/>
        </w:rPr>
        <w:sectPr w:rsidR="00B350D2" w:rsidRPr="001677C7" w:rsidSect="00BE1B88">
          <w:type w:val="continuous"/>
          <w:pgSz w:w="12240" w:h="15840"/>
          <w:pgMar w:top="720" w:right="720" w:bottom="720" w:left="720" w:header="720" w:footer="720" w:gutter="0"/>
          <w:cols w:space="720"/>
          <w:docGrid w:linePitch="360"/>
        </w:sectPr>
      </w:pPr>
    </w:p>
    <w:p w14:paraId="3BDF94E4" w14:textId="404D8186" w:rsidR="00990882" w:rsidRPr="001677C7" w:rsidRDefault="008A7855" w:rsidP="00276903">
      <w:pPr>
        <w:rPr>
          <w:rStyle w:val="Heading3Char"/>
          <w:rFonts w:cstheme="majorHAnsi"/>
          <w:color w:val="auto"/>
        </w:rPr>
        <w:sectPr w:rsidR="00990882" w:rsidRPr="001677C7" w:rsidSect="00BE1B88">
          <w:type w:val="continuous"/>
          <w:pgSz w:w="12240" w:h="15840"/>
          <w:pgMar w:top="720" w:right="720" w:bottom="720" w:left="720" w:header="720" w:footer="720" w:gutter="0"/>
          <w:cols w:space="720"/>
          <w:docGrid w:linePitch="360"/>
        </w:sectPr>
      </w:pPr>
      <w:r w:rsidRPr="001677C7">
        <w:rPr>
          <w:rFonts w:asciiTheme="majorHAnsi" w:hAnsiTheme="majorHAnsi" w:cstheme="majorHAnsi"/>
        </w:rPr>
        <w:t xml:space="preserve">Respondents were asked to provide </w:t>
      </w:r>
      <w:r w:rsidR="00DE2B27" w:rsidRPr="001677C7">
        <w:rPr>
          <w:rFonts w:asciiTheme="majorHAnsi" w:hAnsiTheme="majorHAnsi" w:cstheme="majorHAnsi"/>
        </w:rPr>
        <w:t xml:space="preserve">additional </w:t>
      </w:r>
      <w:r w:rsidRPr="001677C7">
        <w:rPr>
          <w:rFonts w:asciiTheme="majorHAnsi" w:hAnsiTheme="majorHAnsi" w:cstheme="majorHAnsi"/>
        </w:rPr>
        <w:t>commen</w:t>
      </w:r>
      <w:r w:rsidR="00DE2B27" w:rsidRPr="001677C7">
        <w:rPr>
          <w:rFonts w:asciiTheme="majorHAnsi" w:hAnsiTheme="majorHAnsi" w:cstheme="majorHAnsi"/>
        </w:rPr>
        <w:t xml:space="preserve">ts. </w:t>
      </w:r>
      <w:r w:rsidR="005A548A">
        <w:rPr>
          <w:rFonts w:asciiTheme="majorHAnsi" w:hAnsiTheme="majorHAnsi" w:cstheme="majorHAnsi"/>
        </w:rPr>
        <w:t>They</w:t>
      </w:r>
      <w:r w:rsidR="00DE2B27" w:rsidRPr="001677C7">
        <w:rPr>
          <w:rFonts w:asciiTheme="majorHAnsi" w:hAnsiTheme="majorHAnsi" w:cstheme="majorHAnsi"/>
        </w:rPr>
        <w:t xml:space="preserve"> indicated concern</w:t>
      </w:r>
      <w:r w:rsidR="00A53866" w:rsidRPr="001677C7">
        <w:rPr>
          <w:rFonts w:asciiTheme="majorHAnsi" w:hAnsiTheme="majorHAnsi" w:cstheme="majorHAnsi"/>
        </w:rPr>
        <w:t>s</w:t>
      </w:r>
      <w:r w:rsidR="00DE2B27" w:rsidRPr="001677C7">
        <w:rPr>
          <w:rFonts w:asciiTheme="majorHAnsi" w:hAnsiTheme="majorHAnsi" w:cstheme="majorHAnsi"/>
        </w:rPr>
        <w:t xml:space="preserve"> with </w:t>
      </w:r>
      <w:r w:rsidR="00D26CCA" w:rsidRPr="001677C7">
        <w:rPr>
          <w:rFonts w:asciiTheme="majorHAnsi" w:hAnsiTheme="majorHAnsi" w:cstheme="majorHAnsi"/>
        </w:rPr>
        <w:t xml:space="preserve">the economic impact of inflation, </w:t>
      </w:r>
      <w:r w:rsidR="00F006C4" w:rsidRPr="001677C7">
        <w:rPr>
          <w:rFonts w:asciiTheme="majorHAnsi" w:hAnsiTheme="majorHAnsi" w:cstheme="majorHAnsi"/>
        </w:rPr>
        <w:t>labor availability and cost</w:t>
      </w:r>
      <w:r w:rsidR="00557345" w:rsidRPr="001677C7">
        <w:rPr>
          <w:rFonts w:asciiTheme="majorHAnsi" w:hAnsiTheme="majorHAnsi" w:cstheme="majorHAnsi"/>
        </w:rPr>
        <w:t>.</w:t>
      </w:r>
      <w:r w:rsidR="002530CA" w:rsidRPr="001677C7">
        <w:rPr>
          <w:rFonts w:asciiTheme="majorHAnsi" w:hAnsiTheme="majorHAnsi" w:cstheme="majorHAnsi"/>
        </w:rPr>
        <w:t xml:space="preserve"> </w:t>
      </w:r>
      <w:r w:rsidR="00D26CCA" w:rsidRPr="001677C7">
        <w:rPr>
          <w:rFonts w:asciiTheme="majorHAnsi" w:hAnsiTheme="majorHAnsi" w:cstheme="majorHAnsi"/>
        </w:rPr>
        <w:t>Examples of comments are provided</w:t>
      </w:r>
      <w:r w:rsidR="002530CA" w:rsidRPr="001677C7">
        <w:rPr>
          <w:rFonts w:asciiTheme="majorHAnsi" w:hAnsiTheme="majorHAnsi" w:cstheme="majorHAnsi"/>
        </w:rPr>
        <w:t xml:space="preserve"> below:</w:t>
      </w:r>
      <w:r w:rsidR="00533104" w:rsidRPr="001677C7">
        <w:rPr>
          <w:rFonts w:asciiTheme="majorHAnsi" w:hAnsiTheme="majorHAnsi" w:cstheme="majorHAnsi"/>
        </w:rPr>
        <w:br/>
      </w:r>
    </w:p>
    <w:p w14:paraId="43EE9A42" w14:textId="6EE90BA1" w:rsidR="001677C7" w:rsidRPr="001677C7" w:rsidRDefault="001677C7" w:rsidP="001677C7">
      <w:pPr>
        <w:spacing w:after="120" w:line="240" w:lineRule="auto"/>
        <w:rPr>
          <w:rFonts w:asciiTheme="majorHAnsi" w:hAnsiTheme="majorHAnsi" w:cstheme="majorHAnsi"/>
          <w:sz w:val="24"/>
          <w:szCs w:val="24"/>
        </w:rPr>
      </w:pPr>
      <w:r w:rsidRPr="001677C7">
        <w:rPr>
          <w:rFonts w:asciiTheme="majorHAnsi" w:hAnsiTheme="majorHAnsi" w:cstheme="majorHAnsi"/>
          <w:sz w:val="24"/>
          <w:szCs w:val="24"/>
        </w:rPr>
        <w:t>Inflation</w:t>
      </w:r>
    </w:p>
    <w:p w14:paraId="31BDE1F5" w14:textId="7DAF2A16" w:rsidR="004E5601" w:rsidRPr="00B12461" w:rsidRDefault="00FC3B48" w:rsidP="00B12461">
      <w:pPr>
        <w:pStyle w:val="ListParagraph"/>
        <w:numPr>
          <w:ilvl w:val="0"/>
          <w:numId w:val="15"/>
        </w:numPr>
        <w:spacing w:after="120" w:line="240" w:lineRule="auto"/>
        <w:contextualSpacing w:val="0"/>
        <w:rPr>
          <w:rFonts w:asciiTheme="majorHAnsi" w:hAnsiTheme="majorHAnsi" w:cstheme="majorHAnsi"/>
          <w:i/>
          <w:iCs/>
        </w:rPr>
      </w:pPr>
      <w:r w:rsidRPr="00B12461">
        <w:rPr>
          <w:rFonts w:asciiTheme="majorHAnsi" w:hAnsiTheme="majorHAnsi" w:cstheme="majorHAnsi"/>
          <w:i/>
          <w:iCs/>
        </w:rPr>
        <w:t>“Inflation [is] causing reductions in project approvals.”</w:t>
      </w:r>
    </w:p>
    <w:p w14:paraId="1DB5019D" w14:textId="79EE5F20" w:rsidR="00F006C4" w:rsidRPr="00B12461" w:rsidRDefault="00F006C4" w:rsidP="00B12461">
      <w:pPr>
        <w:pStyle w:val="ListParagraph"/>
        <w:numPr>
          <w:ilvl w:val="0"/>
          <w:numId w:val="15"/>
        </w:numPr>
        <w:spacing w:after="120" w:line="240" w:lineRule="auto"/>
        <w:contextualSpacing w:val="0"/>
        <w:rPr>
          <w:rFonts w:asciiTheme="majorHAnsi" w:hAnsiTheme="majorHAnsi" w:cstheme="majorHAnsi"/>
          <w:i/>
          <w:iCs/>
        </w:rPr>
      </w:pPr>
      <w:r w:rsidRPr="00B12461">
        <w:rPr>
          <w:rFonts w:asciiTheme="majorHAnsi" w:hAnsiTheme="majorHAnsi" w:cstheme="majorHAnsi"/>
          <w:i/>
          <w:iCs/>
        </w:rPr>
        <w:t>“This economy is a vicious circle. Costs of everything continues to rise causing us to need to raise wages so employees are not going backwards. In turn our prices must go up and then our customers and so on. Interest rates have certainly had a big impact on our business as well.”</w:t>
      </w:r>
    </w:p>
    <w:p w14:paraId="1F56FC56" w14:textId="7E73AF4B" w:rsidR="00895160" w:rsidRPr="00B12461" w:rsidRDefault="00895160" w:rsidP="00B12461">
      <w:pPr>
        <w:pStyle w:val="ListParagraph"/>
        <w:numPr>
          <w:ilvl w:val="0"/>
          <w:numId w:val="15"/>
        </w:numPr>
        <w:spacing w:after="120" w:line="240" w:lineRule="auto"/>
        <w:contextualSpacing w:val="0"/>
        <w:rPr>
          <w:rFonts w:asciiTheme="majorHAnsi" w:hAnsiTheme="majorHAnsi" w:cstheme="majorHAnsi"/>
          <w:i/>
          <w:iCs/>
        </w:rPr>
      </w:pPr>
      <w:r w:rsidRPr="00B12461">
        <w:rPr>
          <w:rFonts w:asciiTheme="majorHAnsi" w:hAnsiTheme="majorHAnsi" w:cstheme="majorHAnsi"/>
          <w:i/>
          <w:iCs/>
        </w:rPr>
        <w:t>“All costs of operation are increasing due to inflation, but our revenue/profit is decreasing, which is related to pressure (downward) in the marketing/advertising industry. We will experience layoffs in the next 12 months unless conditions improve.”</w:t>
      </w:r>
    </w:p>
    <w:p w14:paraId="78360100" w14:textId="580CB6A9" w:rsidR="00F059F7" w:rsidRPr="001677C7" w:rsidRDefault="00CB385A" w:rsidP="00F059F7">
      <w:pPr>
        <w:spacing w:after="120" w:line="240" w:lineRule="auto"/>
        <w:rPr>
          <w:rFonts w:asciiTheme="majorHAnsi" w:hAnsiTheme="majorHAnsi" w:cstheme="majorHAnsi"/>
          <w:i/>
          <w:iCs/>
        </w:rPr>
      </w:pPr>
      <w:r>
        <w:rPr>
          <w:rStyle w:val="Heading3Char"/>
          <w:rFonts w:cstheme="majorHAnsi"/>
          <w:i/>
          <w:iCs/>
          <w:color w:val="auto"/>
        </w:rPr>
        <w:br/>
      </w:r>
      <w:r w:rsidR="00F059F7" w:rsidRPr="001677C7">
        <w:rPr>
          <w:rStyle w:val="Heading3Char"/>
          <w:rFonts w:cstheme="majorHAnsi"/>
          <w:i/>
          <w:iCs/>
          <w:color w:val="auto"/>
        </w:rPr>
        <w:t xml:space="preserve">Labor Availability </w:t>
      </w:r>
    </w:p>
    <w:p w14:paraId="4AD14B25" w14:textId="3860A87F" w:rsidR="00F059F7" w:rsidRPr="00B12461" w:rsidRDefault="00F059F7" w:rsidP="00B12461">
      <w:pPr>
        <w:pStyle w:val="ListParagraph"/>
        <w:numPr>
          <w:ilvl w:val="0"/>
          <w:numId w:val="16"/>
        </w:numPr>
        <w:spacing w:after="120" w:line="240" w:lineRule="auto"/>
        <w:rPr>
          <w:rStyle w:val="Heading3Char"/>
          <w:rFonts w:eastAsiaTheme="minorHAnsi" w:cstheme="majorHAnsi"/>
          <w:i/>
          <w:iCs/>
          <w:color w:val="auto"/>
          <w:sz w:val="22"/>
          <w:szCs w:val="22"/>
        </w:rPr>
      </w:pPr>
      <w:r w:rsidRPr="00B12461">
        <w:rPr>
          <w:rFonts w:asciiTheme="majorHAnsi" w:hAnsiTheme="majorHAnsi" w:cstheme="majorHAnsi"/>
          <w:i/>
          <w:iCs/>
        </w:rPr>
        <w:t>“Demand remains very relevant. Our largest hinderance to growth will be finding qualified employees.”</w:t>
      </w:r>
    </w:p>
    <w:p w14:paraId="3056AF15" w14:textId="055BC073" w:rsidR="007C6BE2" w:rsidRPr="001677C7" w:rsidRDefault="007C6BE2" w:rsidP="00706D70">
      <w:pPr>
        <w:rPr>
          <w:rFonts w:asciiTheme="majorHAnsi" w:hAnsiTheme="majorHAnsi" w:cstheme="majorHAnsi"/>
        </w:rPr>
      </w:pPr>
    </w:p>
    <w:sectPr w:rsidR="007C6BE2" w:rsidRPr="001677C7" w:rsidSect="00BE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5A2F" w14:textId="77777777" w:rsidR="00514CAC" w:rsidRDefault="00514CAC" w:rsidP="00722892">
      <w:pPr>
        <w:spacing w:after="0" w:line="240" w:lineRule="auto"/>
      </w:pPr>
      <w:r>
        <w:separator/>
      </w:r>
    </w:p>
  </w:endnote>
  <w:endnote w:type="continuationSeparator" w:id="0">
    <w:p w14:paraId="3AA47068" w14:textId="77777777" w:rsidR="00514CAC" w:rsidRDefault="00514CAC" w:rsidP="007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531655"/>
      <w:docPartObj>
        <w:docPartGallery w:val="Page Numbers (Bottom of Page)"/>
        <w:docPartUnique/>
      </w:docPartObj>
    </w:sdtPr>
    <w:sdtEndPr/>
    <w:sdtContent>
      <w:sdt>
        <w:sdtPr>
          <w:id w:val="-1769616900"/>
          <w:docPartObj>
            <w:docPartGallery w:val="Page Numbers (Top of Page)"/>
            <w:docPartUnique/>
          </w:docPartObj>
        </w:sdtPr>
        <w:sdtEndPr/>
        <w:sdtContent>
          <w:p w14:paraId="759FA69B" w14:textId="07661092" w:rsidR="00C16097" w:rsidRDefault="00C160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DD0540" w14:textId="77777777" w:rsidR="007623F0" w:rsidRDefault="0076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7436" w14:textId="77777777" w:rsidR="00514CAC" w:rsidRDefault="00514CAC" w:rsidP="00722892">
      <w:pPr>
        <w:spacing w:after="0" w:line="240" w:lineRule="auto"/>
      </w:pPr>
      <w:r>
        <w:separator/>
      </w:r>
    </w:p>
  </w:footnote>
  <w:footnote w:type="continuationSeparator" w:id="0">
    <w:p w14:paraId="4455B295" w14:textId="77777777" w:rsidR="00514CAC" w:rsidRDefault="00514CAC" w:rsidP="0072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7273" w14:textId="33748DAC" w:rsidR="007623F0" w:rsidRDefault="0076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97C"/>
    <w:multiLevelType w:val="hybridMultilevel"/>
    <w:tmpl w:val="C75E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792C"/>
    <w:multiLevelType w:val="hybridMultilevel"/>
    <w:tmpl w:val="4F46C5A4"/>
    <w:lvl w:ilvl="0" w:tplc="7EC49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31618"/>
    <w:multiLevelType w:val="hybridMultilevel"/>
    <w:tmpl w:val="F544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1DDB"/>
    <w:multiLevelType w:val="hybridMultilevel"/>
    <w:tmpl w:val="103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54002"/>
    <w:multiLevelType w:val="hybridMultilevel"/>
    <w:tmpl w:val="9036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10DA1"/>
    <w:multiLevelType w:val="hybridMultilevel"/>
    <w:tmpl w:val="B8CE587E"/>
    <w:lvl w:ilvl="0" w:tplc="C196342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2D4075"/>
    <w:multiLevelType w:val="hybridMultilevel"/>
    <w:tmpl w:val="77DE0E20"/>
    <w:lvl w:ilvl="0" w:tplc="FEC443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0424F"/>
    <w:multiLevelType w:val="hybridMultilevel"/>
    <w:tmpl w:val="7994C8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1A73C2"/>
    <w:multiLevelType w:val="hybridMultilevel"/>
    <w:tmpl w:val="C54C98A6"/>
    <w:lvl w:ilvl="0" w:tplc="710E8D2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9" w15:restartNumberingAfterBreak="0">
    <w:nsid w:val="37236F71"/>
    <w:multiLevelType w:val="hybridMultilevel"/>
    <w:tmpl w:val="FF00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4C75"/>
    <w:multiLevelType w:val="hybridMultilevel"/>
    <w:tmpl w:val="D97AB74E"/>
    <w:lvl w:ilvl="0" w:tplc="593A9B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229547C"/>
    <w:multiLevelType w:val="hybridMultilevel"/>
    <w:tmpl w:val="63AE7CF0"/>
    <w:lvl w:ilvl="0" w:tplc="16A4D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C3162D5"/>
    <w:multiLevelType w:val="hybridMultilevel"/>
    <w:tmpl w:val="2B5E2D2E"/>
    <w:lvl w:ilvl="0" w:tplc="18A02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FFF4843"/>
    <w:multiLevelType w:val="hybridMultilevel"/>
    <w:tmpl w:val="CA0CEBC6"/>
    <w:lvl w:ilvl="0" w:tplc="EC82D616">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73B8360C"/>
    <w:multiLevelType w:val="hybridMultilevel"/>
    <w:tmpl w:val="AD0E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F19FF"/>
    <w:multiLevelType w:val="hybridMultilevel"/>
    <w:tmpl w:val="B11A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34575">
    <w:abstractNumId w:val="13"/>
  </w:num>
  <w:num w:numId="2" w16cid:durableId="1599874743">
    <w:abstractNumId w:val="6"/>
  </w:num>
  <w:num w:numId="3" w16cid:durableId="504369051">
    <w:abstractNumId w:val="1"/>
  </w:num>
  <w:num w:numId="4" w16cid:durableId="524097676">
    <w:abstractNumId w:val="5"/>
  </w:num>
  <w:num w:numId="5" w16cid:durableId="1271664004">
    <w:abstractNumId w:val="8"/>
  </w:num>
  <w:num w:numId="6" w16cid:durableId="458962367">
    <w:abstractNumId w:val="10"/>
  </w:num>
  <w:num w:numId="7" w16cid:durableId="1040591933">
    <w:abstractNumId w:val="12"/>
  </w:num>
  <w:num w:numId="8" w16cid:durableId="14239075">
    <w:abstractNumId w:val="11"/>
  </w:num>
  <w:num w:numId="9" w16cid:durableId="1956015422">
    <w:abstractNumId w:val="4"/>
  </w:num>
  <w:num w:numId="10" w16cid:durableId="571232976">
    <w:abstractNumId w:val="9"/>
  </w:num>
  <w:num w:numId="11" w16cid:durableId="1543593689">
    <w:abstractNumId w:val="0"/>
  </w:num>
  <w:num w:numId="12" w16cid:durableId="185947595">
    <w:abstractNumId w:val="2"/>
  </w:num>
  <w:num w:numId="13" w16cid:durableId="2010448324">
    <w:abstractNumId w:val="15"/>
  </w:num>
  <w:num w:numId="14" w16cid:durableId="2034768158">
    <w:abstractNumId w:val="7"/>
  </w:num>
  <w:num w:numId="15" w16cid:durableId="1430004808">
    <w:abstractNumId w:val="3"/>
  </w:num>
  <w:num w:numId="16" w16cid:durableId="897932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A"/>
    <w:rsid w:val="000045C4"/>
    <w:rsid w:val="000055EB"/>
    <w:rsid w:val="00005824"/>
    <w:rsid w:val="00006BCD"/>
    <w:rsid w:val="000102FA"/>
    <w:rsid w:val="00011BFB"/>
    <w:rsid w:val="0001747C"/>
    <w:rsid w:val="00022457"/>
    <w:rsid w:val="00023BB3"/>
    <w:rsid w:val="00024074"/>
    <w:rsid w:val="00024AAD"/>
    <w:rsid w:val="00033FB0"/>
    <w:rsid w:val="00034A07"/>
    <w:rsid w:val="000358C0"/>
    <w:rsid w:val="0004259F"/>
    <w:rsid w:val="00043367"/>
    <w:rsid w:val="00043FE7"/>
    <w:rsid w:val="00050E4D"/>
    <w:rsid w:val="000530CD"/>
    <w:rsid w:val="0005336B"/>
    <w:rsid w:val="000554FA"/>
    <w:rsid w:val="000631E3"/>
    <w:rsid w:val="00064F89"/>
    <w:rsid w:val="000715D1"/>
    <w:rsid w:val="00085CB5"/>
    <w:rsid w:val="00093843"/>
    <w:rsid w:val="00097993"/>
    <w:rsid w:val="00097F32"/>
    <w:rsid w:val="000A0BC3"/>
    <w:rsid w:val="000A28AD"/>
    <w:rsid w:val="000A65D8"/>
    <w:rsid w:val="000B4D88"/>
    <w:rsid w:val="000B68D5"/>
    <w:rsid w:val="000B7992"/>
    <w:rsid w:val="000C04EE"/>
    <w:rsid w:val="000C107F"/>
    <w:rsid w:val="000C1BCF"/>
    <w:rsid w:val="000D1B53"/>
    <w:rsid w:val="000D53DE"/>
    <w:rsid w:val="000E61B5"/>
    <w:rsid w:val="000E746C"/>
    <w:rsid w:val="000F04F2"/>
    <w:rsid w:val="000F78D5"/>
    <w:rsid w:val="00100C21"/>
    <w:rsid w:val="00106485"/>
    <w:rsid w:val="001129DB"/>
    <w:rsid w:val="00113DB1"/>
    <w:rsid w:val="001215A7"/>
    <w:rsid w:val="00126400"/>
    <w:rsid w:val="0013508B"/>
    <w:rsid w:val="001406E5"/>
    <w:rsid w:val="00143B8B"/>
    <w:rsid w:val="00157FEC"/>
    <w:rsid w:val="0016078E"/>
    <w:rsid w:val="0016160D"/>
    <w:rsid w:val="00162471"/>
    <w:rsid w:val="001631FC"/>
    <w:rsid w:val="00164AE2"/>
    <w:rsid w:val="001667E5"/>
    <w:rsid w:val="001677C7"/>
    <w:rsid w:val="00167F1A"/>
    <w:rsid w:val="00170768"/>
    <w:rsid w:val="00174C4B"/>
    <w:rsid w:val="00174D79"/>
    <w:rsid w:val="001A1D64"/>
    <w:rsid w:val="001A29CB"/>
    <w:rsid w:val="001A409D"/>
    <w:rsid w:val="001A70BD"/>
    <w:rsid w:val="001B421E"/>
    <w:rsid w:val="001C0F02"/>
    <w:rsid w:val="001C1605"/>
    <w:rsid w:val="001C7F52"/>
    <w:rsid w:val="001D0139"/>
    <w:rsid w:val="001D0365"/>
    <w:rsid w:val="001D1D2A"/>
    <w:rsid w:val="001D280C"/>
    <w:rsid w:val="001D53EC"/>
    <w:rsid w:val="001D592F"/>
    <w:rsid w:val="001D69C4"/>
    <w:rsid w:val="001D7C7A"/>
    <w:rsid w:val="001E553C"/>
    <w:rsid w:val="001F1B8F"/>
    <w:rsid w:val="001F26CC"/>
    <w:rsid w:val="001F3A8F"/>
    <w:rsid w:val="00200309"/>
    <w:rsid w:val="002054F5"/>
    <w:rsid w:val="002065A8"/>
    <w:rsid w:val="00210DD4"/>
    <w:rsid w:val="00225875"/>
    <w:rsid w:val="002274F7"/>
    <w:rsid w:val="0023223B"/>
    <w:rsid w:val="00234F93"/>
    <w:rsid w:val="00241335"/>
    <w:rsid w:val="00243472"/>
    <w:rsid w:val="0024440C"/>
    <w:rsid w:val="00245A31"/>
    <w:rsid w:val="0025036B"/>
    <w:rsid w:val="002515D8"/>
    <w:rsid w:val="002521C5"/>
    <w:rsid w:val="002530CA"/>
    <w:rsid w:val="00253C7F"/>
    <w:rsid w:val="002548E2"/>
    <w:rsid w:val="00273A9B"/>
    <w:rsid w:val="00273DC2"/>
    <w:rsid w:val="00276903"/>
    <w:rsid w:val="00277905"/>
    <w:rsid w:val="00280798"/>
    <w:rsid w:val="00286A99"/>
    <w:rsid w:val="002934A2"/>
    <w:rsid w:val="00293720"/>
    <w:rsid w:val="00297604"/>
    <w:rsid w:val="002A39E0"/>
    <w:rsid w:val="002A419E"/>
    <w:rsid w:val="002A4627"/>
    <w:rsid w:val="002A54B0"/>
    <w:rsid w:val="002B3361"/>
    <w:rsid w:val="002B4C24"/>
    <w:rsid w:val="002C1301"/>
    <w:rsid w:val="002C1382"/>
    <w:rsid w:val="002C48DC"/>
    <w:rsid w:val="002C5461"/>
    <w:rsid w:val="002C784F"/>
    <w:rsid w:val="002D2D7B"/>
    <w:rsid w:val="002D4D64"/>
    <w:rsid w:val="002E4C76"/>
    <w:rsid w:val="002E60AC"/>
    <w:rsid w:val="002F1C66"/>
    <w:rsid w:val="00304A04"/>
    <w:rsid w:val="00305097"/>
    <w:rsid w:val="003058BA"/>
    <w:rsid w:val="00311D39"/>
    <w:rsid w:val="003349C7"/>
    <w:rsid w:val="003368D3"/>
    <w:rsid w:val="0033727A"/>
    <w:rsid w:val="00337ABD"/>
    <w:rsid w:val="00346D0D"/>
    <w:rsid w:val="00351D1F"/>
    <w:rsid w:val="003549BF"/>
    <w:rsid w:val="003617E5"/>
    <w:rsid w:val="00364DC4"/>
    <w:rsid w:val="00367060"/>
    <w:rsid w:val="00370FCA"/>
    <w:rsid w:val="0037361F"/>
    <w:rsid w:val="00373ED3"/>
    <w:rsid w:val="003774CD"/>
    <w:rsid w:val="003809EF"/>
    <w:rsid w:val="00380DCC"/>
    <w:rsid w:val="003844D4"/>
    <w:rsid w:val="003900CA"/>
    <w:rsid w:val="00391761"/>
    <w:rsid w:val="00391C69"/>
    <w:rsid w:val="00392665"/>
    <w:rsid w:val="00393696"/>
    <w:rsid w:val="003942C0"/>
    <w:rsid w:val="00396DC1"/>
    <w:rsid w:val="00397E22"/>
    <w:rsid w:val="003A5A17"/>
    <w:rsid w:val="003A6906"/>
    <w:rsid w:val="003A765D"/>
    <w:rsid w:val="003B032B"/>
    <w:rsid w:val="003B0396"/>
    <w:rsid w:val="003B5D7E"/>
    <w:rsid w:val="003B7BDF"/>
    <w:rsid w:val="003C059D"/>
    <w:rsid w:val="003C657C"/>
    <w:rsid w:val="003D4460"/>
    <w:rsid w:val="003E0958"/>
    <w:rsid w:val="003E3664"/>
    <w:rsid w:val="003E5789"/>
    <w:rsid w:val="003F33BB"/>
    <w:rsid w:val="003F46AE"/>
    <w:rsid w:val="003F4F11"/>
    <w:rsid w:val="003F5F27"/>
    <w:rsid w:val="003F62BE"/>
    <w:rsid w:val="00401D67"/>
    <w:rsid w:val="00405496"/>
    <w:rsid w:val="00411327"/>
    <w:rsid w:val="0041352F"/>
    <w:rsid w:val="00413D79"/>
    <w:rsid w:val="0041490E"/>
    <w:rsid w:val="0041750B"/>
    <w:rsid w:val="004211C2"/>
    <w:rsid w:val="00421E6F"/>
    <w:rsid w:val="004262DB"/>
    <w:rsid w:val="00427A28"/>
    <w:rsid w:val="0043194C"/>
    <w:rsid w:val="004327B3"/>
    <w:rsid w:val="00437F33"/>
    <w:rsid w:val="00444DF2"/>
    <w:rsid w:val="0044654E"/>
    <w:rsid w:val="00450302"/>
    <w:rsid w:val="00450BEA"/>
    <w:rsid w:val="00457917"/>
    <w:rsid w:val="004662B5"/>
    <w:rsid w:val="004770F3"/>
    <w:rsid w:val="004861F4"/>
    <w:rsid w:val="00487342"/>
    <w:rsid w:val="0049058E"/>
    <w:rsid w:val="0049334A"/>
    <w:rsid w:val="0049521D"/>
    <w:rsid w:val="004962E4"/>
    <w:rsid w:val="004968AC"/>
    <w:rsid w:val="004A770C"/>
    <w:rsid w:val="004B0E5A"/>
    <w:rsid w:val="004B4F77"/>
    <w:rsid w:val="004C194A"/>
    <w:rsid w:val="004C508D"/>
    <w:rsid w:val="004C7DDB"/>
    <w:rsid w:val="004D0F62"/>
    <w:rsid w:val="004D5B1E"/>
    <w:rsid w:val="004E068C"/>
    <w:rsid w:val="004E07AA"/>
    <w:rsid w:val="004E12F2"/>
    <w:rsid w:val="004E3C39"/>
    <w:rsid w:val="004E5601"/>
    <w:rsid w:val="004E7D1F"/>
    <w:rsid w:val="004F0B64"/>
    <w:rsid w:val="004F6209"/>
    <w:rsid w:val="004F7772"/>
    <w:rsid w:val="00500E37"/>
    <w:rsid w:val="0050177E"/>
    <w:rsid w:val="00502AAA"/>
    <w:rsid w:val="0051195F"/>
    <w:rsid w:val="00514CAC"/>
    <w:rsid w:val="00520911"/>
    <w:rsid w:val="005212B3"/>
    <w:rsid w:val="005252B0"/>
    <w:rsid w:val="00531B2D"/>
    <w:rsid w:val="00531B4E"/>
    <w:rsid w:val="00532ED4"/>
    <w:rsid w:val="00533104"/>
    <w:rsid w:val="00534421"/>
    <w:rsid w:val="00540208"/>
    <w:rsid w:val="005432B6"/>
    <w:rsid w:val="00543B8E"/>
    <w:rsid w:val="00550643"/>
    <w:rsid w:val="00551665"/>
    <w:rsid w:val="005546DD"/>
    <w:rsid w:val="00554B61"/>
    <w:rsid w:val="00557345"/>
    <w:rsid w:val="00557A6D"/>
    <w:rsid w:val="00557CBF"/>
    <w:rsid w:val="00562E29"/>
    <w:rsid w:val="00563908"/>
    <w:rsid w:val="00565C48"/>
    <w:rsid w:val="00567732"/>
    <w:rsid w:val="00584451"/>
    <w:rsid w:val="0058515D"/>
    <w:rsid w:val="005A18F0"/>
    <w:rsid w:val="005A24D4"/>
    <w:rsid w:val="005A2834"/>
    <w:rsid w:val="005A45F6"/>
    <w:rsid w:val="005A548A"/>
    <w:rsid w:val="005B6565"/>
    <w:rsid w:val="005B6BED"/>
    <w:rsid w:val="005C0002"/>
    <w:rsid w:val="005C1437"/>
    <w:rsid w:val="005C5C85"/>
    <w:rsid w:val="005C6060"/>
    <w:rsid w:val="005D05C5"/>
    <w:rsid w:val="005D08DD"/>
    <w:rsid w:val="005D1520"/>
    <w:rsid w:val="005D4168"/>
    <w:rsid w:val="005E211A"/>
    <w:rsid w:val="005F0E3F"/>
    <w:rsid w:val="005F308E"/>
    <w:rsid w:val="005F3E68"/>
    <w:rsid w:val="005F70D1"/>
    <w:rsid w:val="00600575"/>
    <w:rsid w:val="00607414"/>
    <w:rsid w:val="00623F4F"/>
    <w:rsid w:val="00624969"/>
    <w:rsid w:val="00627309"/>
    <w:rsid w:val="006309E6"/>
    <w:rsid w:val="0063228F"/>
    <w:rsid w:val="006327BB"/>
    <w:rsid w:val="0063644F"/>
    <w:rsid w:val="006449F7"/>
    <w:rsid w:val="00645D99"/>
    <w:rsid w:val="0065167F"/>
    <w:rsid w:val="0065730A"/>
    <w:rsid w:val="00671D12"/>
    <w:rsid w:val="006720E4"/>
    <w:rsid w:val="00680156"/>
    <w:rsid w:val="00684EC5"/>
    <w:rsid w:val="00695A9E"/>
    <w:rsid w:val="006A1085"/>
    <w:rsid w:val="006A387C"/>
    <w:rsid w:val="006A3B8F"/>
    <w:rsid w:val="006A4A5C"/>
    <w:rsid w:val="006A58DB"/>
    <w:rsid w:val="006B0B3E"/>
    <w:rsid w:val="006B28F7"/>
    <w:rsid w:val="006B3637"/>
    <w:rsid w:val="006B6F5E"/>
    <w:rsid w:val="006B6FD4"/>
    <w:rsid w:val="006C42B8"/>
    <w:rsid w:val="006C6700"/>
    <w:rsid w:val="006C6FD3"/>
    <w:rsid w:val="006D2EAD"/>
    <w:rsid w:val="006D3B3F"/>
    <w:rsid w:val="006D66E0"/>
    <w:rsid w:val="006E291A"/>
    <w:rsid w:val="006E3F3F"/>
    <w:rsid w:val="006F1451"/>
    <w:rsid w:val="006F2329"/>
    <w:rsid w:val="006F6BE5"/>
    <w:rsid w:val="006F7EFC"/>
    <w:rsid w:val="00702D96"/>
    <w:rsid w:val="0070375F"/>
    <w:rsid w:val="0070546F"/>
    <w:rsid w:val="00706D70"/>
    <w:rsid w:val="007075DF"/>
    <w:rsid w:val="007145B2"/>
    <w:rsid w:val="007171B2"/>
    <w:rsid w:val="00717DF3"/>
    <w:rsid w:val="00722892"/>
    <w:rsid w:val="00722B61"/>
    <w:rsid w:val="007242DF"/>
    <w:rsid w:val="00724A78"/>
    <w:rsid w:val="00725454"/>
    <w:rsid w:val="00726C57"/>
    <w:rsid w:val="0073212E"/>
    <w:rsid w:val="00742BA0"/>
    <w:rsid w:val="00747776"/>
    <w:rsid w:val="00752148"/>
    <w:rsid w:val="00755DCE"/>
    <w:rsid w:val="007579D5"/>
    <w:rsid w:val="007623F0"/>
    <w:rsid w:val="00765F50"/>
    <w:rsid w:val="00771521"/>
    <w:rsid w:val="007750EE"/>
    <w:rsid w:val="00781E6E"/>
    <w:rsid w:val="00783BB1"/>
    <w:rsid w:val="007874B0"/>
    <w:rsid w:val="0079369A"/>
    <w:rsid w:val="007A0B75"/>
    <w:rsid w:val="007A0E8F"/>
    <w:rsid w:val="007A7E3D"/>
    <w:rsid w:val="007B16BB"/>
    <w:rsid w:val="007B1F27"/>
    <w:rsid w:val="007B5927"/>
    <w:rsid w:val="007B6783"/>
    <w:rsid w:val="007C0321"/>
    <w:rsid w:val="007C2216"/>
    <w:rsid w:val="007C3754"/>
    <w:rsid w:val="007C3F5F"/>
    <w:rsid w:val="007C629F"/>
    <w:rsid w:val="007C6BE2"/>
    <w:rsid w:val="007C73EE"/>
    <w:rsid w:val="007C7CDC"/>
    <w:rsid w:val="007D0758"/>
    <w:rsid w:val="007D253F"/>
    <w:rsid w:val="007D3DE8"/>
    <w:rsid w:val="007D58C4"/>
    <w:rsid w:val="007D7CFA"/>
    <w:rsid w:val="007E1626"/>
    <w:rsid w:val="007E2463"/>
    <w:rsid w:val="007E666B"/>
    <w:rsid w:val="007F61A9"/>
    <w:rsid w:val="008051D0"/>
    <w:rsid w:val="00810157"/>
    <w:rsid w:val="00811679"/>
    <w:rsid w:val="00811D30"/>
    <w:rsid w:val="00813AE8"/>
    <w:rsid w:val="00814ED5"/>
    <w:rsid w:val="00814F86"/>
    <w:rsid w:val="0081524D"/>
    <w:rsid w:val="0081643D"/>
    <w:rsid w:val="00820241"/>
    <w:rsid w:val="00824ECD"/>
    <w:rsid w:val="00825F3C"/>
    <w:rsid w:val="00830783"/>
    <w:rsid w:val="00831B82"/>
    <w:rsid w:val="00835E20"/>
    <w:rsid w:val="00836269"/>
    <w:rsid w:val="0084634F"/>
    <w:rsid w:val="00846A5F"/>
    <w:rsid w:val="00852CCC"/>
    <w:rsid w:val="00853F8F"/>
    <w:rsid w:val="00855892"/>
    <w:rsid w:val="0086126B"/>
    <w:rsid w:val="008616AD"/>
    <w:rsid w:val="00866AE5"/>
    <w:rsid w:val="00873CE5"/>
    <w:rsid w:val="00875E22"/>
    <w:rsid w:val="00877E2D"/>
    <w:rsid w:val="00877E6A"/>
    <w:rsid w:val="00881C43"/>
    <w:rsid w:val="00885C46"/>
    <w:rsid w:val="0089134A"/>
    <w:rsid w:val="008917AD"/>
    <w:rsid w:val="0089194E"/>
    <w:rsid w:val="008930DA"/>
    <w:rsid w:val="00895160"/>
    <w:rsid w:val="008959F9"/>
    <w:rsid w:val="0089607A"/>
    <w:rsid w:val="00897DC0"/>
    <w:rsid w:val="00897FBF"/>
    <w:rsid w:val="008A0661"/>
    <w:rsid w:val="008A3B5D"/>
    <w:rsid w:val="008A5913"/>
    <w:rsid w:val="008A5EF8"/>
    <w:rsid w:val="008A7529"/>
    <w:rsid w:val="008A7855"/>
    <w:rsid w:val="008A7B58"/>
    <w:rsid w:val="008B00D4"/>
    <w:rsid w:val="008B2E6E"/>
    <w:rsid w:val="008B388C"/>
    <w:rsid w:val="008C0851"/>
    <w:rsid w:val="008C387B"/>
    <w:rsid w:val="008C578B"/>
    <w:rsid w:val="008C6664"/>
    <w:rsid w:val="008C6794"/>
    <w:rsid w:val="008C7C93"/>
    <w:rsid w:val="008D19EB"/>
    <w:rsid w:val="008D3F64"/>
    <w:rsid w:val="008D6DDD"/>
    <w:rsid w:val="008E015A"/>
    <w:rsid w:val="008E7E58"/>
    <w:rsid w:val="008F3AB3"/>
    <w:rsid w:val="00902FE2"/>
    <w:rsid w:val="00911DAA"/>
    <w:rsid w:val="0091534A"/>
    <w:rsid w:val="009163D7"/>
    <w:rsid w:val="00930E4B"/>
    <w:rsid w:val="00932E94"/>
    <w:rsid w:val="0093301B"/>
    <w:rsid w:val="0093302A"/>
    <w:rsid w:val="009330AF"/>
    <w:rsid w:val="00933559"/>
    <w:rsid w:val="009371C0"/>
    <w:rsid w:val="00937B6C"/>
    <w:rsid w:val="00941384"/>
    <w:rsid w:val="0094164D"/>
    <w:rsid w:val="0094434C"/>
    <w:rsid w:val="009468D5"/>
    <w:rsid w:val="00952E63"/>
    <w:rsid w:val="00955E99"/>
    <w:rsid w:val="0095690F"/>
    <w:rsid w:val="00957C8C"/>
    <w:rsid w:val="00961887"/>
    <w:rsid w:val="00962FBB"/>
    <w:rsid w:val="009674FC"/>
    <w:rsid w:val="009713A3"/>
    <w:rsid w:val="00971DC5"/>
    <w:rsid w:val="00972D5C"/>
    <w:rsid w:val="009768AE"/>
    <w:rsid w:val="00987EC0"/>
    <w:rsid w:val="00990882"/>
    <w:rsid w:val="00994B7A"/>
    <w:rsid w:val="00995CB9"/>
    <w:rsid w:val="009969EB"/>
    <w:rsid w:val="00997791"/>
    <w:rsid w:val="009A0736"/>
    <w:rsid w:val="009A1954"/>
    <w:rsid w:val="009A1D8F"/>
    <w:rsid w:val="009A7E27"/>
    <w:rsid w:val="009B07B0"/>
    <w:rsid w:val="009B3DF5"/>
    <w:rsid w:val="009B7995"/>
    <w:rsid w:val="009B7A08"/>
    <w:rsid w:val="009C5EDC"/>
    <w:rsid w:val="009C6A64"/>
    <w:rsid w:val="009D2102"/>
    <w:rsid w:val="009D2313"/>
    <w:rsid w:val="009D6A9C"/>
    <w:rsid w:val="009D720D"/>
    <w:rsid w:val="009E27C5"/>
    <w:rsid w:val="009E4192"/>
    <w:rsid w:val="009E438F"/>
    <w:rsid w:val="009F13ED"/>
    <w:rsid w:val="009F14B6"/>
    <w:rsid w:val="009F26AA"/>
    <w:rsid w:val="009F50B1"/>
    <w:rsid w:val="009F568F"/>
    <w:rsid w:val="00A059E2"/>
    <w:rsid w:val="00A121AF"/>
    <w:rsid w:val="00A15573"/>
    <w:rsid w:val="00A257DB"/>
    <w:rsid w:val="00A2646F"/>
    <w:rsid w:val="00A2685D"/>
    <w:rsid w:val="00A31665"/>
    <w:rsid w:val="00A319A9"/>
    <w:rsid w:val="00A41AC1"/>
    <w:rsid w:val="00A43276"/>
    <w:rsid w:val="00A448E3"/>
    <w:rsid w:val="00A47279"/>
    <w:rsid w:val="00A47862"/>
    <w:rsid w:val="00A516F3"/>
    <w:rsid w:val="00A53568"/>
    <w:rsid w:val="00A53866"/>
    <w:rsid w:val="00A561F7"/>
    <w:rsid w:val="00A573B1"/>
    <w:rsid w:val="00A66699"/>
    <w:rsid w:val="00A67406"/>
    <w:rsid w:val="00A7075E"/>
    <w:rsid w:val="00A70BA3"/>
    <w:rsid w:val="00A72C89"/>
    <w:rsid w:val="00A80F35"/>
    <w:rsid w:val="00A82DA5"/>
    <w:rsid w:val="00A87222"/>
    <w:rsid w:val="00A902A5"/>
    <w:rsid w:val="00A908BB"/>
    <w:rsid w:val="00A94D17"/>
    <w:rsid w:val="00A979C6"/>
    <w:rsid w:val="00A97C01"/>
    <w:rsid w:val="00AB54BD"/>
    <w:rsid w:val="00AB6F70"/>
    <w:rsid w:val="00AC5782"/>
    <w:rsid w:val="00AC6BEA"/>
    <w:rsid w:val="00AC7A68"/>
    <w:rsid w:val="00AD00D1"/>
    <w:rsid w:val="00AD2C42"/>
    <w:rsid w:val="00AD38E8"/>
    <w:rsid w:val="00AD5AC2"/>
    <w:rsid w:val="00AD5C32"/>
    <w:rsid w:val="00AE0EFF"/>
    <w:rsid w:val="00AE1B73"/>
    <w:rsid w:val="00AE5AA1"/>
    <w:rsid w:val="00AF157E"/>
    <w:rsid w:val="00AF5CB2"/>
    <w:rsid w:val="00B033A6"/>
    <w:rsid w:val="00B06F44"/>
    <w:rsid w:val="00B07173"/>
    <w:rsid w:val="00B073F1"/>
    <w:rsid w:val="00B12461"/>
    <w:rsid w:val="00B172A1"/>
    <w:rsid w:val="00B20EAA"/>
    <w:rsid w:val="00B22064"/>
    <w:rsid w:val="00B22FAE"/>
    <w:rsid w:val="00B23F59"/>
    <w:rsid w:val="00B3278D"/>
    <w:rsid w:val="00B350D2"/>
    <w:rsid w:val="00B37696"/>
    <w:rsid w:val="00B3790C"/>
    <w:rsid w:val="00B4100B"/>
    <w:rsid w:val="00B42CDA"/>
    <w:rsid w:val="00B42CEB"/>
    <w:rsid w:val="00B503D5"/>
    <w:rsid w:val="00B66A95"/>
    <w:rsid w:val="00B76A86"/>
    <w:rsid w:val="00B76C4D"/>
    <w:rsid w:val="00B81B7A"/>
    <w:rsid w:val="00B8301F"/>
    <w:rsid w:val="00B8390B"/>
    <w:rsid w:val="00B86180"/>
    <w:rsid w:val="00B86E7E"/>
    <w:rsid w:val="00B90F9D"/>
    <w:rsid w:val="00BA1C65"/>
    <w:rsid w:val="00BA5968"/>
    <w:rsid w:val="00BB4D26"/>
    <w:rsid w:val="00BC0C4D"/>
    <w:rsid w:val="00BC265F"/>
    <w:rsid w:val="00BC2BDF"/>
    <w:rsid w:val="00BC5DD8"/>
    <w:rsid w:val="00BD5061"/>
    <w:rsid w:val="00BD7419"/>
    <w:rsid w:val="00BE1B88"/>
    <w:rsid w:val="00BE319F"/>
    <w:rsid w:val="00BE474F"/>
    <w:rsid w:val="00BE7561"/>
    <w:rsid w:val="00BF2600"/>
    <w:rsid w:val="00BF738E"/>
    <w:rsid w:val="00C016FB"/>
    <w:rsid w:val="00C05B7D"/>
    <w:rsid w:val="00C067E2"/>
    <w:rsid w:val="00C1258E"/>
    <w:rsid w:val="00C16097"/>
    <w:rsid w:val="00C174D5"/>
    <w:rsid w:val="00C2343E"/>
    <w:rsid w:val="00C24089"/>
    <w:rsid w:val="00C2607A"/>
    <w:rsid w:val="00C310C5"/>
    <w:rsid w:val="00C33B94"/>
    <w:rsid w:val="00C346A0"/>
    <w:rsid w:val="00C34B1A"/>
    <w:rsid w:val="00C35CB2"/>
    <w:rsid w:val="00C37A2C"/>
    <w:rsid w:val="00C46B75"/>
    <w:rsid w:val="00C510B2"/>
    <w:rsid w:val="00C52DEF"/>
    <w:rsid w:val="00C5553E"/>
    <w:rsid w:val="00C570D5"/>
    <w:rsid w:val="00C6136E"/>
    <w:rsid w:val="00C633BF"/>
    <w:rsid w:val="00C707A3"/>
    <w:rsid w:val="00C70E36"/>
    <w:rsid w:val="00C74624"/>
    <w:rsid w:val="00C74737"/>
    <w:rsid w:val="00C75042"/>
    <w:rsid w:val="00C80792"/>
    <w:rsid w:val="00C80C65"/>
    <w:rsid w:val="00C834D1"/>
    <w:rsid w:val="00C94448"/>
    <w:rsid w:val="00C94B17"/>
    <w:rsid w:val="00CA018D"/>
    <w:rsid w:val="00CA37B6"/>
    <w:rsid w:val="00CA4F8E"/>
    <w:rsid w:val="00CA5832"/>
    <w:rsid w:val="00CB385A"/>
    <w:rsid w:val="00CC2FD0"/>
    <w:rsid w:val="00CC4432"/>
    <w:rsid w:val="00CD249D"/>
    <w:rsid w:val="00CE1510"/>
    <w:rsid w:val="00CE2823"/>
    <w:rsid w:val="00CE28CD"/>
    <w:rsid w:val="00CE70D6"/>
    <w:rsid w:val="00CF0E97"/>
    <w:rsid w:val="00CF0F48"/>
    <w:rsid w:val="00CF504B"/>
    <w:rsid w:val="00CF6083"/>
    <w:rsid w:val="00D00E73"/>
    <w:rsid w:val="00D0165F"/>
    <w:rsid w:val="00D016CA"/>
    <w:rsid w:val="00D056A9"/>
    <w:rsid w:val="00D101D6"/>
    <w:rsid w:val="00D12E13"/>
    <w:rsid w:val="00D12EE2"/>
    <w:rsid w:val="00D20506"/>
    <w:rsid w:val="00D21E21"/>
    <w:rsid w:val="00D26CCA"/>
    <w:rsid w:val="00D33609"/>
    <w:rsid w:val="00D3621B"/>
    <w:rsid w:val="00D40360"/>
    <w:rsid w:val="00D40EDB"/>
    <w:rsid w:val="00D47417"/>
    <w:rsid w:val="00D52CFB"/>
    <w:rsid w:val="00D53E18"/>
    <w:rsid w:val="00D57F6C"/>
    <w:rsid w:val="00D60273"/>
    <w:rsid w:val="00D656A2"/>
    <w:rsid w:val="00D7058B"/>
    <w:rsid w:val="00D71F1A"/>
    <w:rsid w:val="00D733D3"/>
    <w:rsid w:val="00D81C94"/>
    <w:rsid w:val="00D91E8A"/>
    <w:rsid w:val="00DA18EA"/>
    <w:rsid w:val="00DB1BE2"/>
    <w:rsid w:val="00DC1E5A"/>
    <w:rsid w:val="00DC3511"/>
    <w:rsid w:val="00DC4468"/>
    <w:rsid w:val="00DD0D08"/>
    <w:rsid w:val="00DD1C11"/>
    <w:rsid w:val="00DD1D04"/>
    <w:rsid w:val="00DD39EC"/>
    <w:rsid w:val="00DE2B27"/>
    <w:rsid w:val="00DE74D0"/>
    <w:rsid w:val="00DE7AC6"/>
    <w:rsid w:val="00DF1687"/>
    <w:rsid w:val="00E037B4"/>
    <w:rsid w:val="00E14759"/>
    <w:rsid w:val="00E1535A"/>
    <w:rsid w:val="00E2110F"/>
    <w:rsid w:val="00E211E5"/>
    <w:rsid w:val="00E25CD3"/>
    <w:rsid w:val="00E26BBB"/>
    <w:rsid w:val="00E35205"/>
    <w:rsid w:val="00E412C1"/>
    <w:rsid w:val="00E50B04"/>
    <w:rsid w:val="00E54DD8"/>
    <w:rsid w:val="00E55E81"/>
    <w:rsid w:val="00E56F49"/>
    <w:rsid w:val="00E57838"/>
    <w:rsid w:val="00E647F4"/>
    <w:rsid w:val="00E66525"/>
    <w:rsid w:val="00E66A72"/>
    <w:rsid w:val="00E66F63"/>
    <w:rsid w:val="00E679C1"/>
    <w:rsid w:val="00E7356E"/>
    <w:rsid w:val="00E83520"/>
    <w:rsid w:val="00E841AC"/>
    <w:rsid w:val="00E92FD4"/>
    <w:rsid w:val="00EA0D40"/>
    <w:rsid w:val="00EA2806"/>
    <w:rsid w:val="00EA2AE1"/>
    <w:rsid w:val="00EA40C9"/>
    <w:rsid w:val="00EB4493"/>
    <w:rsid w:val="00EB77C6"/>
    <w:rsid w:val="00EC4D56"/>
    <w:rsid w:val="00EC6FBE"/>
    <w:rsid w:val="00EC7FDA"/>
    <w:rsid w:val="00EE2D4D"/>
    <w:rsid w:val="00EE6084"/>
    <w:rsid w:val="00EE7F5A"/>
    <w:rsid w:val="00EF2617"/>
    <w:rsid w:val="00EF745B"/>
    <w:rsid w:val="00F006C4"/>
    <w:rsid w:val="00F059F7"/>
    <w:rsid w:val="00F06B1E"/>
    <w:rsid w:val="00F10ED0"/>
    <w:rsid w:val="00F1513D"/>
    <w:rsid w:val="00F20553"/>
    <w:rsid w:val="00F22B90"/>
    <w:rsid w:val="00F267EF"/>
    <w:rsid w:val="00F411B9"/>
    <w:rsid w:val="00F51D8F"/>
    <w:rsid w:val="00F573FD"/>
    <w:rsid w:val="00F60B34"/>
    <w:rsid w:val="00F62FD1"/>
    <w:rsid w:val="00F6311A"/>
    <w:rsid w:val="00F648C0"/>
    <w:rsid w:val="00F64B0D"/>
    <w:rsid w:val="00F6539A"/>
    <w:rsid w:val="00F65E10"/>
    <w:rsid w:val="00F76D55"/>
    <w:rsid w:val="00F82F8E"/>
    <w:rsid w:val="00F86309"/>
    <w:rsid w:val="00F87D08"/>
    <w:rsid w:val="00F87D0E"/>
    <w:rsid w:val="00F9098F"/>
    <w:rsid w:val="00F9263A"/>
    <w:rsid w:val="00F97D05"/>
    <w:rsid w:val="00FA15BD"/>
    <w:rsid w:val="00FA2654"/>
    <w:rsid w:val="00FA5554"/>
    <w:rsid w:val="00FB1AE2"/>
    <w:rsid w:val="00FB2467"/>
    <w:rsid w:val="00FB474B"/>
    <w:rsid w:val="00FC06ED"/>
    <w:rsid w:val="00FC3B48"/>
    <w:rsid w:val="00FD40A7"/>
    <w:rsid w:val="00FD51F6"/>
    <w:rsid w:val="00FE0621"/>
    <w:rsid w:val="00FE2083"/>
    <w:rsid w:val="00FF0618"/>
    <w:rsid w:val="00FF19ED"/>
    <w:rsid w:val="00FF6807"/>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9AA0"/>
  <w15:chartTrackingRefBased/>
  <w15:docId w15:val="{1B52D937-C38F-41B4-9481-0129100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9D"/>
  </w:style>
  <w:style w:type="paragraph" w:styleId="Heading1">
    <w:name w:val="heading 1"/>
    <w:basedOn w:val="Normal"/>
    <w:next w:val="Normal"/>
    <w:link w:val="Heading1Char"/>
    <w:uiPriority w:val="9"/>
    <w:qFormat/>
    <w:rsid w:val="00AB6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4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5892"/>
    <w:pPr>
      <w:spacing w:after="0" w:line="240" w:lineRule="auto"/>
    </w:pPr>
  </w:style>
  <w:style w:type="character" w:customStyle="1" w:styleId="Heading3Char">
    <w:name w:val="Heading 3 Char"/>
    <w:basedOn w:val="DefaultParagraphFont"/>
    <w:link w:val="Heading3"/>
    <w:uiPriority w:val="9"/>
    <w:rsid w:val="00814ED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96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61A9"/>
    <w:pPr>
      <w:spacing w:after="200" w:line="240" w:lineRule="auto"/>
    </w:pPr>
    <w:rPr>
      <w:i/>
      <w:iCs/>
      <w:color w:val="44546A" w:themeColor="text2"/>
      <w:sz w:val="18"/>
      <w:szCs w:val="18"/>
    </w:rPr>
  </w:style>
  <w:style w:type="table" w:styleId="PlainTable5">
    <w:name w:val="Plain Table 5"/>
    <w:basedOn w:val="TableNormal"/>
    <w:uiPriority w:val="45"/>
    <w:rsid w:val="00A97C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7C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0C65"/>
    <w:pPr>
      <w:ind w:left="720"/>
      <w:contextualSpacing/>
    </w:pPr>
  </w:style>
  <w:style w:type="paragraph" w:styleId="BalloonText">
    <w:name w:val="Balloon Text"/>
    <w:basedOn w:val="Normal"/>
    <w:link w:val="BalloonTextChar"/>
    <w:uiPriority w:val="99"/>
    <w:semiHidden/>
    <w:unhideWhenUsed/>
    <w:rsid w:val="0072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2"/>
    <w:rPr>
      <w:rFonts w:ascii="Segoe UI" w:hAnsi="Segoe UI" w:cs="Segoe UI"/>
      <w:sz w:val="18"/>
      <w:szCs w:val="18"/>
    </w:rPr>
  </w:style>
  <w:style w:type="paragraph" w:styleId="FootnoteText">
    <w:name w:val="footnote text"/>
    <w:basedOn w:val="Normal"/>
    <w:link w:val="FootnoteTextChar"/>
    <w:uiPriority w:val="99"/>
    <w:semiHidden/>
    <w:unhideWhenUsed/>
    <w:rsid w:val="0072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92"/>
    <w:rPr>
      <w:sz w:val="20"/>
      <w:szCs w:val="20"/>
    </w:rPr>
  </w:style>
  <w:style w:type="character" w:styleId="FootnoteReference">
    <w:name w:val="footnote reference"/>
    <w:basedOn w:val="DefaultParagraphFont"/>
    <w:uiPriority w:val="99"/>
    <w:semiHidden/>
    <w:unhideWhenUsed/>
    <w:rsid w:val="00722892"/>
    <w:rPr>
      <w:vertAlign w:val="superscript"/>
    </w:rPr>
  </w:style>
  <w:style w:type="character" w:styleId="CommentReference">
    <w:name w:val="annotation reference"/>
    <w:basedOn w:val="DefaultParagraphFont"/>
    <w:uiPriority w:val="99"/>
    <w:semiHidden/>
    <w:unhideWhenUsed/>
    <w:rsid w:val="00DE7AC6"/>
    <w:rPr>
      <w:sz w:val="16"/>
      <w:szCs w:val="16"/>
    </w:rPr>
  </w:style>
  <w:style w:type="paragraph" w:styleId="CommentText">
    <w:name w:val="annotation text"/>
    <w:basedOn w:val="Normal"/>
    <w:link w:val="CommentTextChar"/>
    <w:uiPriority w:val="99"/>
    <w:unhideWhenUsed/>
    <w:rsid w:val="00DE7AC6"/>
    <w:pPr>
      <w:spacing w:line="240" w:lineRule="auto"/>
    </w:pPr>
    <w:rPr>
      <w:sz w:val="20"/>
      <w:szCs w:val="20"/>
    </w:rPr>
  </w:style>
  <w:style w:type="character" w:customStyle="1" w:styleId="CommentTextChar">
    <w:name w:val="Comment Text Char"/>
    <w:basedOn w:val="DefaultParagraphFont"/>
    <w:link w:val="CommentText"/>
    <w:uiPriority w:val="99"/>
    <w:rsid w:val="00DE7AC6"/>
    <w:rPr>
      <w:sz w:val="20"/>
      <w:szCs w:val="20"/>
    </w:rPr>
  </w:style>
  <w:style w:type="paragraph" w:styleId="CommentSubject">
    <w:name w:val="annotation subject"/>
    <w:basedOn w:val="CommentText"/>
    <w:next w:val="CommentText"/>
    <w:link w:val="CommentSubjectChar"/>
    <w:uiPriority w:val="99"/>
    <w:semiHidden/>
    <w:unhideWhenUsed/>
    <w:rsid w:val="00DE7AC6"/>
    <w:rPr>
      <w:b/>
      <w:bCs/>
    </w:rPr>
  </w:style>
  <w:style w:type="character" w:customStyle="1" w:styleId="CommentSubjectChar">
    <w:name w:val="Comment Subject Char"/>
    <w:basedOn w:val="CommentTextChar"/>
    <w:link w:val="CommentSubject"/>
    <w:uiPriority w:val="99"/>
    <w:semiHidden/>
    <w:rsid w:val="00DE7AC6"/>
    <w:rPr>
      <w:b/>
      <w:bCs/>
      <w:sz w:val="20"/>
      <w:szCs w:val="20"/>
    </w:rPr>
  </w:style>
  <w:style w:type="paragraph" w:styleId="Revision">
    <w:name w:val="Revision"/>
    <w:hidden/>
    <w:uiPriority w:val="99"/>
    <w:semiHidden/>
    <w:rsid w:val="00E83520"/>
    <w:pPr>
      <w:spacing w:after="0" w:line="240" w:lineRule="auto"/>
    </w:pPr>
  </w:style>
  <w:style w:type="paragraph" w:styleId="Header">
    <w:name w:val="header"/>
    <w:basedOn w:val="Normal"/>
    <w:link w:val="HeaderChar"/>
    <w:uiPriority w:val="99"/>
    <w:unhideWhenUsed/>
    <w:rsid w:val="0076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F0"/>
  </w:style>
  <w:style w:type="paragraph" w:styleId="Footer">
    <w:name w:val="footer"/>
    <w:basedOn w:val="Normal"/>
    <w:link w:val="FooterChar"/>
    <w:uiPriority w:val="99"/>
    <w:unhideWhenUsed/>
    <w:rsid w:val="0076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7997">
      <w:bodyDiv w:val="1"/>
      <w:marLeft w:val="0"/>
      <w:marRight w:val="0"/>
      <w:marTop w:val="0"/>
      <w:marBottom w:val="0"/>
      <w:divBdr>
        <w:top w:val="none" w:sz="0" w:space="0" w:color="auto"/>
        <w:left w:val="none" w:sz="0" w:space="0" w:color="auto"/>
        <w:bottom w:val="none" w:sz="0" w:space="0" w:color="auto"/>
        <w:right w:val="none" w:sz="0" w:space="0" w:color="auto"/>
      </w:divBdr>
    </w:div>
    <w:div w:id="188030221">
      <w:bodyDiv w:val="1"/>
      <w:marLeft w:val="0"/>
      <w:marRight w:val="0"/>
      <w:marTop w:val="0"/>
      <w:marBottom w:val="0"/>
      <w:divBdr>
        <w:top w:val="none" w:sz="0" w:space="0" w:color="auto"/>
        <w:left w:val="none" w:sz="0" w:space="0" w:color="auto"/>
        <w:bottom w:val="none" w:sz="0" w:space="0" w:color="auto"/>
        <w:right w:val="none" w:sz="0" w:space="0" w:color="auto"/>
      </w:divBdr>
    </w:div>
    <w:div w:id="1028608362">
      <w:bodyDiv w:val="1"/>
      <w:marLeft w:val="0"/>
      <w:marRight w:val="0"/>
      <w:marTop w:val="0"/>
      <w:marBottom w:val="0"/>
      <w:divBdr>
        <w:top w:val="none" w:sz="0" w:space="0" w:color="auto"/>
        <w:left w:val="none" w:sz="0" w:space="0" w:color="auto"/>
        <w:bottom w:val="none" w:sz="0" w:space="0" w:color="auto"/>
        <w:right w:val="none" w:sz="0" w:space="0" w:color="auto"/>
      </w:divBdr>
    </w:div>
    <w:div w:id="1178351210">
      <w:bodyDiv w:val="1"/>
      <w:marLeft w:val="0"/>
      <w:marRight w:val="0"/>
      <w:marTop w:val="0"/>
      <w:marBottom w:val="0"/>
      <w:divBdr>
        <w:top w:val="none" w:sz="0" w:space="0" w:color="auto"/>
        <w:left w:val="none" w:sz="0" w:space="0" w:color="auto"/>
        <w:bottom w:val="none" w:sz="0" w:space="0" w:color="auto"/>
        <w:right w:val="none" w:sz="0" w:space="0" w:color="auto"/>
      </w:divBdr>
      <w:divsChild>
        <w:div w:id="333459049">
          <w:marLeft w:val="0"/>
          <w:marRight w:val="0"/>
          <w:marTop w:val="0"/>
          <w:marBottom w:val="0"/>
          <w:divBdr>
            <w:top w:val="none" w:sz="0" w:space="0" w:color="auto"/>
            <w:left w:val="none" w:sz="0" w:space="0" w:color="auto"/>
            <w:bottom w:val="none" w:sz="0" w:space="0" w:color="auto"/>
            <w:right w:val="none" w:sz="0" w:space="0" w:color="auto"/>
          </w:divBdr>
          <w:divsChild>
            <w:div w:id="676545511">
              <w:marLeft w:val="0"/>
              <w:marRight w:val="0"/>
              <w:marTop w:val="0"/>
              <w:marBottom w:val="0"/>
              <w:divBdr>
                <w:top w:val="none" w:sz="0" w:space="0" w:color="auto"/>
                <w:left w:val="none" w:sz="0" w:space="0" w:color="auto"/>
                <w:bottom w:val="none" w:sz="0" w:space="0" w:color="auto"/>
                <w:right w:val="none" w:sz="0" w:space="0" w:color="auto"/>
              </w:divBdr>
              <w:divsChild>
                <w:div w:id="674767185">
                  <w:marLeft w:val="0"/>
                  <w:marRight w:val="0"/>
                  <w:marTop w:val="0"/>
                  <w:marBottom w:val="0"/>
                  <w:divBdr>
                    <w:top w:val="none" w:sz="0" w:space="0" w:color="auto"/>
                    <w:left w:val="none" w:sz="0" w:space="0" w:color="auto"/>
                    <w:bottom w:val="none" w:sz="0" w:space="0" w:color="auto"/>
                    <w:right w:val="none" w:sz="0" w:space="0" w:color="auto"/>
                  </w:divBdr>
                  <w:divsChild>
                    <w:div w:id="510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2889">
          <w:marLeft w:val="0"/>
          <w:marRight w:val="0"/>
          <w:marTop w:val="0"/>
          <w:marBottom w:val="0"/>
          <w:divBdr>
            <w:top w:val="none" w:sz="0" w:space="0" w:color="auto"/>
            <w:left w:val="none" w:sz="0" w:space="0" w:color="auto"/>
            <w:bottom w:val="none" w:sz="0" w:space="0" w:color="auto"/>
            <w:right w:val="none" w:sz="0" w:space="0" w:color="auto"/>
          </w:divBdr>
          <w:divsChild>
            <w:div w:id="2002082765">
              <w:marLeft w:val="0"/>
              <w:marRight w:val="0"/>
              <w:marTop w:val="0"/>
              <w:marBottom w:val="0"/>
              <w:divBdr>
                <w:top w:val="none" w:sz="0" w:space="0" w:color="auto"/>
                <w:left w:val="none" w:sz="0" w:space="0" w:color="auto"/>
                <w:bottom w:val="none" w:sz="0" w:space="0" w:color="auto"/>
                <w:right w:val="none" w:sz="0" w:space="0" w:color="auto"/>
              </w:divBdr>
              <w:divsChild>
                <w:div w:id="1472404008">
                  <w:marLeft w:val="0"/>
                  <w:marRight w:val="0"/>
                  <w:marTop w:val="0"/>
                  <w:marBottom w:val="0"/>
                  <w:divBdr>
                    <w:top w:val="none" w:sz="0" w:space="0" w:color="auto"/>
                    <w:left w:val="none" w:sz="0" w:space="0" w:color="auto"/>
                    <w:bottom w:val="none" w:sz="0" w:space="0" w:color="auto"/>
                    <w:right w:val="none" w:sz="0" w:space="0" w:color="auto"/>
                  </w:divBdr>
                  <w:divsChild>
                    <w:div w:id="4005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7172">
      <w:bodyDiv w:val="1"/>
      <w:marLeft w:val="0"/>
      <w:marRight w:val="0"/>
      <w:marTop w:val="0"/>
      <w:marBottom w:val="0"/>
      <w:divBdr>
        <w:top w:val="none" w:sz="0" w:space="0" w:color="auto"/>
        <w:left w:val="none" w:sz="0" w:space="0" w:color="auto"/>
        <w:bottom w:val="none" w:sz="0" w:space="0" w:color="auto"/>
        <w:right w:val="none" w:sz="0" w:space="0" w:color="auto"/>
      </w:divBdr>
    </w:div>
    <w:div w:id="1915584305">
      <w:bodyDiv w:val="1"/>
      <w:marLeft w:val="0"/>
      <w:marRight w:val="0"/>
      <w:marTop w:val="0"/>
      <w:marBottom w:val="0"/>
      <w:divBdr>
        <w:top w:val="none" w:sz="0" w:space="0" w:color="auto"/>
        <w:left w:val="none" w:sz="0" w:space="0" w:color="auto"/>
        <w:bottom w:val="none" w:sz="0" w:space="0" w:color="auto"/>
        <w:right w:val="none" w:sz="0" w:space="0" w:color="auto"/>
      </w:divBdr>
      <w:divsChild>
        <w:div w:id="1142960326">
          <w:marLeft w:val="0"/>
          <w:marRight w:val="0"/>
          <w:marTop w:val="0"/>
          <w:marBottom w:val="0"/>
          <w:divBdr>
            <w:top w:val="none" w:sz="0" w:space="0" w:color="auto"/>
            <w:left w:val="none" w:sz="0" w:space="0" w:color="auto"/>
            <w:bottom w:val="none" w:sz="0" w:space="0" w:color="auto"/>
            <w:right w:val="none" w:sz="0" w:space="0" w:color="auto"/>
          </w:divBdr>
          <w:divsChild>
            <w:div w:id="1068386017">
              <w:marLeft w:val="0"/>
              <w:marRight w:val="0"/>
              <w:marTop w:val="0"/>
              <w:marBottom w:val="0"/>
              <w:divBdr>
                <w:top w:val="none" w:sz="0" w:space="0" w:color="auto"/>
                <w:left w:val="none" w:sz="0" w:space="0" w:color="auto"/>
                <w:bottom w:val="none" w:sz="0" w:space="0" w:color="auto"/>
                <w:right w:val="none" w:sz="0" w:space="0" w:color="auto"/>
              </w:divBdr>
              <w:divsChild>
                <w:div w:id="1793135359">
                  <w:marLeft w:val="0"/>
                  <w:marRight w:val="0"/>
                  <w:marTop w:val="0"/>
                  <w:marBottom w:val="0"/>
                  <w:divBdr>
                    <w:top w:val="none" w:sz="0" w:space="0" w:color="auto"/>
                    <w:left w:val="none" w:sz="0" w:space="0" w:color="auto"/>
                    <w:bottom w:val="none" w:sz="0" w:space="0" w:color="auto"/>
                    <w:right w:val="none" w:sz="0" w:space="0" w:color="auto"/>
                  </w:divBdr>
                  <w:divsChild>
                    <w:div w:id="4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2761">
          <w:marLeft w:val="0"/>
          <w:marRight w:val="0"/>
          <w:marTop w:val="0"/>
          <w:marBottom w:val="0"/>
          <w:divBdr>
            <w:top w:val="none" w:sz="0" w:space="0" w:color="auto"/>
            <w:left w:val="none" w:sz="0" w:space="0" w:color="auto"/>
            <w:bottom w:val="none" w:sz="0" w:space="0" w:color="auto"/>
            <w:right w:val="none" w:sz="0" w:space="0" w:color="auto"/>
          </w:divBdr>
          <w:divsChild>
            <w:div w:id="1851946810">
              <w:marLeft w:val="0"/>
              <w:marRight w:val="0"/>
              <w:marTop w:val="0"/>
              <w:marBottom w:val="0"/>
              <w:divBdr>
                <w:top w:val="none" w:sz="0" w:space="0" w:color="auto"/>
                <w:left w:val="none" w:sz="0" w:space="0" w:color="auto"/>
                <w:bottom w:val="none" w:sz="0" w:space="0" w:color="auto"/>
                <w:right w:val="none" w:sz="0" w:space="0" w:color="auto"/>
              </w:divBdr>
              <w:divsChild>
                <w:div w:id="27419484">
                  <w:marLeft w:val="0"/>
                  <w:marRight w:val="0"/>
                  <w:marTop w:val="0"/>
                  <w:marBottom w:val="0"/>
                  <w:divBdr>
                    <w:top w:val="none" w:sz="0" w:space="0" w:color="auto"/>
                    <w:left w:val="none" w:sz="0" w:space="0" w:color="auto"/>
                    <w:bottom w:val="none" w:sz="0" w:space="0" w:color="auto"/>
                    <w:right w:val="none" w:sz="0" w:space="0" w:color="auto"/>
                  </w:divBdr>
                  <w:divsChild>
                    <w:div w:id="8378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1" i="0" baseline="0">
                <a:effectLst/>
              </a:rPr>
              <a:t>Chart 1: Economic Performance for Minnesota's Business Services Firms -- Previous Year</a:t>
            </a:r>
          </a:p>
        </c:rich>
      </c:tx>
      <c:layout>
        <c:manualLayout>
          <c:xMode val="edge"/>
          <c:yMode val="edge"/>
          <c:x val="0.12086114235720535"/>
          <c:y val="4.629476260522380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5374827639445679"/>
          <c:y val="0.19212962962962962"/>
          <c:w val="0.81114308987238659"/>
          <c:h val="0.66853474154054093"/>
        </c:manualLayout>
      </c:layout>
      <c:barChart>
        <c:barDir val="col"/>
        <c:grouping val="clustered"/>
        <c:varyColors val="0"/>
        <c:ser>
          <c:idx val="0"/>
          <c:order val="0"/>
          <c:tx>
            <c:strRef>
              <c:f>'Diffusion Indexes'!$B$8</c:f>
              <c:strCache>
                <c:ptCount val="1"/>
                <c:pt idx="0">
                  <c:v>Diffusion Index </c:v>
                </c:pt>
              </c:strCache>
            </c:strRef>
          </c:tx>
          <c:spPr>
            <a:solidFill>
              <a:srgbClr val="003865"/>
            </a:solidFill>
            <a:ln>
              <a:solidFill>
                <a:srgbClr val="003865"/>
              </a:solidFill>
            </a:ln>
            <a:effectLst/>
          </c:spPr>
          <c:invertIfNegative val="0"/>
          <c:dLbls>
            <c:dLbl>
              <c:idx val="6"/>
              <c:layout>
                <c:manualLayout>
                  <c:x val="2.1276595744680851E-2"/>
                  <c:y val="4.3859793233744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27-4E2D-A948-591528963F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Indexes'!$A$9:$A$17</c:f>
              <c:strCache>
                <c:ptCount val="9"/>
                <c:pt idx="0">
                  <c:v>Revenue</c:v>
                </c:pt>
                <c:pt idx="1">
                  <c:v>Profits</c:v>
                </c:pt>
                <c:pt idx="2">
                  <c:v>Produc-
tivity</c:v>
                </c:pt>
                <c:pt idx="3">
                  <c:v>Employ-
ment</c:v>
                </c:pt>
                <c:pt idx="4">
                  <c:v>Labor 
availa.</c:v>
                </c:pt>
                <c:pt idx="5">
                  <c:v>Selling
prices</c:v>
                </c:pt>
                <c:pt idx="6">
                  <c:v>Input
costs</c:v>
                </c:pt>
                <c:pt idx="7">
                  <c:v>Space
occu.</c:v>
                </c:pt>
                <c:pt idx="8">
                  <c:v>Exports</c:v>
                </c:pt>
              </c:strCache>
            </c:strRef>
          </c:cat>
          <c:val>
            <c:numRef>
              <c:f>'Diffusion Indexes'!$B$9:$B$17</c:f>
              <c:numCache>
                <c:formatCode>0</c:formatCode>
                <c:ptCount val="9"/>
                <c:pt idx="0">
                  <c:v>56.500000000000007</c:v>
                </c:pt>
                <c:pt idx="1">
                  <c:v>48</c:v>
                </c:pt>
                <c:pt idx="2">
                  <c:v>53.499999999999993</c:v>
                </c:pt>
                <c:pt idx="3">
                  <c:v>51.5</c:v>
                </c:pt>
                <c:pt idx="4">
                  <c:v>41</c:v>
                </c:pt>
                <c:pt idx="5">
                  <c:v>72</c:v>
                </c:pt>
                <c:pt idx="6">
                  <c:v>85.5</c:v>
                </c:pt>
                <c:pt idx="7">
                  <c:v>49.5</c:v>
                </c:pt>
                <c:pt idx="8">
                  <c:v>44.5</c:v>
                </c:pt>
              </c:numCache>
            </c:numRef>
          </c:val>
          <c:extLst>
            <c:ext xmlns:c16="http://schemas.microsoft.com/office/drawing/2014/chart" uri="{C3380CC4-5D6E-409C-BE32-E72D297353CC}">
              <c16:uniqueId val="{00000000-4817-4DF7-BE28-941B4B035C13}"/>
            </c:ext>
          </c:extLst>
        </c:ser>
        <c:dLbls>
          <c:showLegendKey val="0"/>
          <c:showVal val="0"/>
          <c:showCatName val="0"/>
          <c:showSerName val="0"/>
          <c:showPercent val="0"/>
          <c:showBubbleSize val="0"/>
        </c:dLbls>
        <c:gapWidth val="185"/>
        <c:axId val="593427568"/>
        <c:axId val="593431176"/>
      </c:barChart>
      <c:lineChart>
        <c:grouping val="standard"/>
        <c:varyColors val="0"/>
        <c:ser>
          <c:idx val="1"/>
          <c:order val="1"/>
          <c:tx>
            <c:strRef>
              <c:f>'Diffusion Indexes'!$C$8</c:f>
              <c:strCache>
                <c:ptCount val="1"/>
                <c:pt idx="0">
                  <c:v>Vertical Line</c:v>
                </c:pt>
              </c:strCache>
            </c:strRef>
          </c:tx>
          <c:spPr>
            <a:ln w="28575" cap="rnd">
              <a:solidFill>
                <a:schemeClr val="accent2"/>
              </a:solidFill>
              <a:round/>
            </a:ln>
            <a:effectLst/>
          </c:spPr>
          <c:marker>
            <c:symbol val="none"/>
          </c:marker>
          <c:cat>
            <c:strRef>
              <c:f>'Diffusion Indexes'!$A$9:$A$17</c:f>
              <c:strCache>
                <c:ptCount val="9"/>
                <c:pt idx="0">
                  <c:v>Revenue</c:v>
                </c:pt>
                <c:pt idx="1">
                  <c:v>Profits</c:v>
                </c:pt>
                <c:pt idx="2">
                  <c:v>Produc-
tivity</c:v>
                </c:pt>
                <c:pt idx="3">
                  <c:v>Employ-
ment</c:v>
                </c:pt>
                <c:pt idx="4">
                  <c:v>Labor 
availa.</c:v>
                </c:pt>
                <c:pt idx="5">
                  <c:v>Selling
prices</c:v>
                </c:pt>
                <c:pt idx="6">
                  <c:v>Input
costs</c:v>
                </c:pt>
                <c:pt idx="7">
                  <c:v>Space
occu.</c:v>
                </c:pt>
                <c:pt idx="8">
                  <c:v>Exports</c:v>
                </c:pt>
              </c:strCache>
            </c:strRef>
          </c:cat>
          <c:val>
            <c:numRef>
              <c:f>'Diffusion Indexes'!$C$9:$C$17</c:f>
              <c:numCache>
                <c:formatCode>0</c:formatCode>
                <c:ptCount val="9"/>
                <c:pt idx="0">
                  <c:v>50</c:v>
                </c:pt>
                <c:pt idx="1">
                  <c:v>50</c:v>
                </c:pt>
                <c:pt idx="2">
                  <c:v>50</c:v>
                </c:pt>
                <c:pt idx="3">
                  <c:v>50</c:v>
                </c:pt>
                <c:pt idx="4">
                  <c:v>50</c:v>
                </c:pt>
                <c:pt idx="5">
                  <c:v>50</c:v>
                </c:pt>
                <c:pt idx="6">
                  <c:v>50</c:v>
                </c:pt>
                <c:pt idx="7">
                  <c:v>50</c:v>
                </c:pt>
                <c:pt idx="8">
                  <c:v>50</c:v>
                </c:pt>
              </c:numCache>
            </c:numRef>
          </c:val>
          <c:smooth val="0"/>
          <c:extLst>
            <c:ext xmlns:c16="http://schemas.microsoft.com/office/drawing/2014/chart" uri="{C3380CC4-5D6E-409C-BE32-E72D297353CC}">
              <c16:uniqueId val="{00000001-4817-4DF7-BE28-941B4B035C13}"/>
            </c:ext>
          </c:extLst>
        </c:ser>
        <c:dLbls>
          <c:showLegendKey val="0"/>
          <c:showVal val="0"/>
          <c:showCatName val="0"/>
          <c:showSerName val="0"/>
          <c:showPercent val="0"/>
          <c:showBubbleSize val="0"/>
        </c:dLbls>
        <c:marker val="1"/>
        <c:smooth val="0"/>
        <c:axId val="593427568"/>
        <c:axId val="593431176"/>
      </c:lineChart>
      <c:catAx>
        <c:axId val="59342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0" i="0" u="none" strike="noStrike" kern="1200" spc="0" baseline="0">
                <a:solidFill>
                  <a:schemeClr val="tx1">
                    <a:lumMod val="65000"/>
                    <a:lumOff val="35000"/>
                  </a:schemeClr>
                </a:solidFill>
                <a:latin typeface="+mn-lt"/>
                <a:ea typeface="+mn-ea"/>
                <a:cs typeface="+mn-cs"/>
              </a:defRPr>
            </a:pPr>
            <a:endParaRPr lang="en-US"/>
          </a:p>
        </c:txPr>
        <c:crossAx val="593431176"/>
        <c:crosses val="autoZero"/>
        <c:auto val="1"/>
        <c:lblAlgn val="ctr"/>
        <c:lblOffset val="100"/>
        <c:noMultiLvlLbl val="0"/>
      </c:catAx>
      <c:valAx>
        <c:axId val="593431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Difussion</a:t>
                </a:r>
                <a:r>
                  <a:rPr lang="en-US" baseline="0"/>
                  <a:t> Index*</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42756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1" i="0" baseline="0">
                <a:effectLst/>
              </a:rPr>
              <a:t>Chart 2: Economic Performance for Minnesota's Business Services Firms -- Next Year</a:t>
            </a:r>
            <a:endParaRPr lang="en-US" sz="900">
              <a:effectLst/>
            </a:endParaRPr>
          </a:p>
        </c:rich>
      </c:tx>
      <c:layout>
        <c:manualLayout>
          <c:xMode val="edge"/>
          <c:yMode val="edge"/>
          <c:x val="0.1370536721962517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'Diffusion Indexes'!$B$21</c:f>
              <c:strCache>
                <c:ptCount val="1"/>
                <c:pt idx="0">
                  <c:v>Diffusion Index </c:v>
                </c:pt>
              </c:strCache>
            </c:strRef>
          </c:tx>
          <c:spPr>
            <a:solidFill>
              <a:schemeClr val="accent5">
                <a:lumMod val="50000"/>
              </a:schemeClr>
            </a:solidFill>
            <a:ln>
              <a:solidFill>
                <a:srgbClr val="003865"/>
              </a:solidFill>
            </a:ln>
            <a:effectLst/>
          </c:spPr>
          <c:invertIfNegative val="0"/>
          <c:dLbls>
            <c:dLbl>
              <c:idx val="4"/>
              <c:layout>
                <c:manualLayout>
                  <c:x val="0"/>
                  <c:y val="3.048780487804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12-4D85-8988-4EA679B51A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Indexes'!$A$22:$A$30</c:f>
              <c:strCache>
                <c:ptCount val="9"/>
                <c:pt idx="0">
                  <c:v>Revenue</c:v>
                </c:pt>
                <c:pt idx="1">
                  <c:v>Profits</c:v>
                </c:pt>
                <c:pt idx="2">
                  <c:v>Produc-
tivity</c:v>
                </c:pt>
                <c:pt idx="3">
                  <c:v>Employ-
ment</c:v>
                </c:pt>
                <c:pt idx="4">
                  <c:v>Labor 
avala.</c:v>
                </c:pt>
                <c:pt idx="5">
                  <c:v>Selling
prices</c:v>
                </c:pt>
                <c:pt idx="6">
                  <c:v>Input 
costs</c:v>
                </c:pt>
                <c:pt idx="7">
                  <c:v>Space
occu.</c:v>
                </c:pt>
                <c:pt idx="8">
                  <c:v>Exports</c:v>
                </c:pt>
              </c:strCache>
            </c:strRef>
          </c:cat>
          <c:val>
            <c:numRef>
              <c:f>'Diffusion Indexes'!$B$22:$B$30</c:f>
              <c:numCache>
                <c:formatCode>0</c:formatCode>
                <c:ptCount val="9"/>
                <c:pt idx="0">
                  <c:v>61.5</c:v>
                </c:pt>
                <c:pt idx="1">
                  <c:v>52.5</c:v>
                </c:pt>
                <c:pt idx="2">
                  <c:v>59.5</c:v>
                </c:pt>
                <c:pt idx="3">
                  <c:v>57.000000000000007</c:v>
                </c:pt>
                <c:pt idx="4">
                  <c:v>45.5</c:v>
                </c:pt>
                <c:pt idx="5">
                  <c:v>67</c:v>
                </c:pt>
                <c:pt idx="6">
                  <c:v>79.5</c:v>
                </c:pt>
                <c:pt idx="7">
                  <c:v>51.5</c:v>
                </c:pt>
                <c:pt idx="8">
                  <c:v>50.5</c:v>
                </c:pt>
              </c:numCache>
            </c:numRef>
          </c:val>
          <c:extLst>
            <c:ext xmlns:c16="http://schemas.microsoft.com/office/drawing/2014/chart" uri="{C3380CC4-5D6E-409C-BE32-E72D297353CC}">
              <c16:uniqueId val="{00000000-1419-429F-A0C4-BCC5377369F7}"/>
            </c:ext>
          </c:extLst>
        </c:ser>
        <c:dLbls>
          <c:showLegendKey val="0"/>
          <c:showVal val="0"/>
          <c:showCatName val="0"/>
          <c:showSerName val="0"/>
          <c:showPercent val="0"/>
          <c:showBubbleSize val="0"/>
        </c:dLbls>
        <c:gapWidth val="219"/>
        <c:overlap val="-27"/>
        <c:axId val="601113008"/>
        <c:axId val="601113664"/>
      </c:barChart>
      <c:lineChart>
        <c:grouping val="standard"/>
        <c:varyColors val="0"/>
        <c:ser>
          <c:idx val="1"/>
          <c:order val="1"/>
          <c:tx>
            <c:strRef>
              <c:f>'Diffusion Indexes'!$C$21</c:f>
              <c:strCache>
                <c:ptCount val="1"/>
                <c:pt idx="0">
                  <c:v>Vertical Line</c:v>
                </c:pt>
              </c:strCache>
            </c:strRef>
          </c:tx>
          <c:spPr>
            <a:ln w="28575" cap="rnd">
              <a:solidFill>
                <a:schemeClr val="accent2"/>
              </a:solidFill>
              <a:round/>
            </a:ln>
            <a:effectLst/>
          </c:spPr>
          <c:marker>
            <c:symbol val="none"/>
          </c:marker>
          <c:cat>
            <c:strRef>
              <c:f>'Diffusion Indexes'!$A$22:$A$30</c:f>
              <c:strCache>
                <c:ptCount val="9"/>
                <c:pt idx="0">
                  <c:v>Revenue</c:v>
                </c:pt>
                <c:pt idx="1">
                  <c:v>Profits</c:v>
                </c:pt>
                <c:pt idx="2">
                  <c:v>Produc-
tivity</c:v>
                </c:pt>
                <c:pt idx="3">
                  <c:v>Employ-
ment</c:v>
                </c:pt>
                <c:pt idx="4">
                  <c:v>Labor 
avala.</c:v>
                </c:pt>
                <c:pt idx="5">
                  <c:v>Selling
prices</c:v>
                </c:pt>
                <c:pt idx="6">
                  <c:v>Input 
costs</c:v>
                </c:pt>
                <c:pt idx="7">
                  <c:v>Space
occu.</c:v>
                </c:pt>
                <c:pt idx="8">
                  <c:v>Exports</c:v>
                </c:pt>
              </c:strCache>
            </c:strRef>
          </c:cat>
          <c:val>
            <c:numRef>
              <c:f>'Diffusion Indexes'!$C$22:$C$30</c:f>
              <c:numCache>
                <c:formatCode>0</c:formatCode>
                <c:ptCount val="9"/>
                <c:pt idx="0">
                  <c:v>50</c:v>
                </c:pt>
                <c:pt idx="1">
                  <c:v>50</c:v>
                </c:pt>
                <c:pt idx="2">
                  <c:v>50</c:v>
                </c:pt>
                <c:pt idx="3">
                  <c:v>50</c:v>
                </c:pt>
                <c:pt idx="4">
                  <c:v>50</c:v>
                </c:pt>
                <c:pt idx="5">
                  <c:v>50</c:v>
                </c:pt>
                <c:pt idx="6">
                  <c:v>50</c:v>
                </c:pt>
                <c:pt idx="7">
                  <c:v>50</c:v>
                </c:pt>
                <c:pt idx="8">
                  <c:v>50</c:v>
                </c:pt>
              </c:numCache>
            </c:numRef>
          </c:val>
          <c:smooth val="0"/>
          <c:extLst>
            <c:ext xmlns:c16="http://schemas.microsoft.com/office/drawing/2014/chart" uri="{C3380CC4-5D6E-409C-BE32-E72D297353CC}">
              <c16:uniqueId val="{00000001-1419-429F-A0C4-BCC5377369F7}"/>
            </c:ext>
          </c:extLst>
        </c:ser>
        <c:dLbls>
          <c:showLegendKey val="0"/>
          <c:showVal val="0"/>
          <c:showCatName val="0"/>
          <c:showSerName val="0"/>
          <c:showPercent val="0"/>
          <c:showBubbleSize val="0"/>
        </c:dLbls>
        <c:marker val="1"/>
        <c:smooth val="0"/>
        <c:axId val="601113008"/>
        <c:axId val="601113664"/>
      </c:lineChart>
      <c:catAx>
        <c:axId val="60111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0" i="0" u="none" strike="noStrike" kern="1200" baseline="0">
                <a:solidFill>
                  <a:schemeClr val="tx1">
                    <a:lumMod val="65000"/>
                    <a:lumOff val="35000"/>
                  </a:schemeClr>
                </a:solidFill>
                <a:latin typeface="+mn-lt"/>
                <a:ea typeface="+mn-ea"/>
                <a:cs typeface="+mn-cs"/>
              </a:defRPr>
            </a:pPr>
            <a:endParaRPr lang="en-US"/>
          </a:p>
        </c:txPr>
        <c:crossAx val="601113664"/>
        <c:crosses val="autoZero"/>
        <c:auto val="1"/>
        <c:lblAlgn val="ctr"/>
        <c:lblOffset val="100"/>
        <c:noMultiLvlLbl val="0"/>
      </c:catAx>
      <c:valAx>
        <c:axId val="60111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Diffusion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1300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5378-A83B-4D0A-8BBC-E77EB54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Olson</dc:creator>
  <cp:keywords/>
  <dc:description/>
  <cp:lastModifiedBy>Olson, Magda (DEED)</cp:lastModifiedBy>
  <cp:revision>3</cp:revision>
  <cp:lastPrinted>2023-06-28T14:24:00Z</cp:lastPrinted>
  <dcterms:created xsi:type="dcterms:W3CDTF">2024-07-29T14:56:00Z</dcterms:created>
  <dcterms:modified xsi:type="dcterms:W3CDTF">2024-08-01T16:44:00Z</dcterms:modified>
</cp:coreProperties>
</file>