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C3" w:rsidRDefault="00E150B3" w:rsidP="00AB6F70">
      <w:r>
        <w:rPr>
          <w:noProof/>
        </w:rPr>
        <w:drawing>
          <wp:inline distT="0" distB="0" distL="0" distR="0">
            <wp:extent cx="6858000" cy="1548130"/>
            <wp:effectExtent l="0" t="0" r="0" b="0"/>
            <wp:docPr id="3" name="Picture 3" descr="Minnesota Manufacturing Business Conditions Syrvey"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G Business Conditions Survey Header_2017.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548130"/>
                    </a:xfrm>
                    <a:prstGeom prst="rect">
                      <a:avLst/>
                    </a:prstGeom>
                  </pic:spPr>
                </pic:pic>
              </a:graphicData>
            </a:graphic>
          </wp:inline>
        </w:drawing>
      </w:r>
    </w:p>
    <w:p w:rsidR="008B388C" w:rsidRDefault="004B0923" w:rsidP="004F00B0">
      <w:pPr>
        <w:pStyle w:val="Heading1"/>
        <w:jc w:val="center"/>
        <w:sectPr w:rsidR="008B388C" w:rsidSect="0070375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r>
        <w:t>Stability Expected</w:t>
      </w:r>
      <w:r w:rsidR="00870F46">
        <w:t xml:space="preserve"> for 2019</w:t>
      </w:r>
      <w:r w:rsidR="004F00B0">
        <w:t xml:space="preserve">  </w:t>
      </w:r>
    </w:p>
    <w:p w:rsidR="00855892" w:rsidRDefault="00855892" w:rsidP="00855892">
      <w:pPr>
        <w:spacing w:after="0" w:line="240" w:lineRule="auto"/>
      </w:pPr>
    </w:p>
    <w:p w:rsidR="00D53E18" w:rsidRPr="007C1A84" w:rsidRDefault="009B07B0" w:rsidP="00D53E18">
      <w:pPr>
        <w:spacing w:after="0" w:line="240" w:lineRule="auto"/>
      </w:pPr>
      <w:r w:rsidRPr="007C1A84">
        <w:t>A random sample survey of Minnesota manufacturer</w:t>
      </w:r>
      <w:r w:rsidR="00855892" w:rsidRPr="007C1A84">
        <w:t>s</w:t>
      </w:r>
      <w:r w:rsidRPr="007C1A84">
        <w:t xml:space="preserve"> conducted in November by the Minnesota Department of Employment and Economic Development and the Federal Reserve Ban</w:t>
      </w:r>
      <w:r w:rsidR="006203DF" w:rsidRPr="007C1A84">
        <w:t>k of</w:t>
      </w:r>
      <w:r w:rsidR="006309E6" w:rsidRPr="007C1A84">
        <w:t xml:space="preserve"> Minne</w:t>
      </w:r>
      <w:r w:rsidR="00AD207E" w:rsidRPr="007C1A84">
        <w:t>apolis reports that</w:t>
      </w:r>
      <w:r w:rsidR="00D53E18" w:rsidRPr="007C1A84">
        <w:t xml:space="preserve"> Minnes</w:t>
      </w:r>
      <w:r w:rsidR="00F13655" w:rsidRPr="007C1A84">
        <w:t>ota manufac</w:t>
      </w:r>
      <w:r w:rsidR="00AD207E" w:rsidRPr="007C1A84">
        <w:t>turers expect conditions in 2019</w:t>
      </w:r>
      <w:r w:rsidR="00F13655" w:rsidRPr="007C1A84">
        <w:t xml:space="preserve"> to </w:t>
      </w:r>
      <w:r w:rsidR="00AD207E" w:rsidRPr="007C1A84">
        <w:t xml:space="preserve">remain </w:t>
      </w:r>
      <w:r w:rsidR="004B0923">
        <w:t xml:space="preserve">mostly </w:t>
      </w:r>
      <w:r w:rsidR="00305FF9">
        <w:t>stable</w:t>
      </w:r>
      <w:r w:rsidR="00AD207E" w:rsidRPr="007C1A84">
        <w:t>.  Sixty-one</w:t>
      </w:r>
      <w:r w:rsidR="00FE36FF" w:rsidRPr="007C1A84">
        <w:t xml:space="preserve"> </w:t>
      </w:r>
      <w:r w:rsidR="00DB4C1E" w:rsidRPr="007C1A84">
        <w:t xml:space="preserve">percent </w:t>
      </w:r>
      <w:r w:rsidR="00AD207E" w:rsidRPr="007C1A84">
        <w:t>anticipate stable employment while 51 percent expect unchanged investment</w:t>
      </w:r>
      <w:r w:rsidR="00D53E18" w:rsidRPr="007C1A84">
        <w:t xml:space="preserve">. </w:t>
      </w:r>
    </w:p>
    <w:p w:rsidR="00855892" w:rsidRPr="007C1A84" w:rsidRDefault="00855892" w:rsidP="009B07B0">
      <w:pPr>
        <w:pStyle w:val="Heading2"/>
        <w:rPr>
          <w:color w:val="auto"/>
        </w:rPr>
      </w:pPr>
    </w:p>
    <w:p w:rsidR="001215A7" w:rsidRPr="004F7DBA" w:rsidRDefault="009B07B0" w:rsidP="004F7DBA">
      <w:pPr>
        <w:pStyle w:val="Heading2"/>
        <w:spacing w:before="0" w:line="240" w:lineRule="auto"/>
        <w:rPr>
          <w:color w:val="1F4E79" w:themeColor="accent1" w:themeShade="80"/>
          <w:sz w:val="24"/>
          <w:szCs w:val="24"/>
        </w:rPr>
      </w:pPr>
      <w:r w:rsidRPr="004F7DBA">
        <w:rPr>
          <w:color w:val="1F4E79" w:themeColor="accent1" w:themeShade="80"/>
          <w:sz w:val="24"/>
          <w:szCs w:val="24"/>
        </w:rPr>
        <w:t>The Manufact</w:t>
      </w:r>
      <w:r w:rsidR="00F13655" w:rsidRPr="004F7DBA">
        <w:rPr>
          <w:color w:val="1F4E79" w:themeColor="accent1" w:themeShade="80"/>
          <w:sz w:val="24"/>
          <w:szCs w:val="24"/>
        </w:rPr>
        <w:t xml:space="preserve">uring </w:t>
      </w:r>
      <w:r w:rsidR="00AD207E" w:rsidRPr="004F7DBA">
        <w:rPr>
          <w:color w:val="1F4E79" w:themeColor="accent1" w:themeShade="80"/>
          <w:sz w:val="24"/>
          <w:szCs w:val="24"/>
        </w:rPr>
        <w:t>Industry in 2018</w:t>
      </w:r>
      <w:r w:rsidR="00855892" w:rsidRPr="004F7DBA">
        <w:rPr>
          <w:color w:val="1F4E79" w:themeColor="accent1" w:themeShade="80"/>
          <w:sz w:val="24"/>
          <w:szCs w:val="24"/>
        </w:rPr>
        <w:br/>
      </w:r>
    </w:p>
    <w:p w:rsidR="00E7356E" w:rsidRPr="001B1620" w:rsidRDefault="001215A7" w:rsidP="004F7DBA">
      <w:pPr>
        <w:spacing w:after="0" w:line="240" w:lineRule="auto"/>
        <w:rPr>
          <w:color w:val="000000" w:themeColor="text1"/>
        </w:rPr>
      </w:pPr>
      <w:r w:rsidRPr="007C1A84">
        <w:t>Minnesota manufa</w:t>
      </w:r>
      <w:r w:rsidR="00DF2DA5" w:rsidRPr="007C1A84">
        <w:t>cturers reported</w:t>
      </w:r>
      <w:r w:rsidR="00BC71FD" w:rsidRPr="007C1A84">
        <w:t xml:space="preserve"> </w:t>
      </w:r>
      <w:r w:rsidR="00412D7B" w:rsidRPr="007C1A84">
        <w:t xml:space="preserve">mostly </w:t>
      </w:r>
      <w:r w:rsidR="0090239B" w:rsidRPr="007C1A84">
        <w:t>unchanged</w:t>
      </w:r>
      <w:r w:rsidR="00EA0B8A" w:rsidRPr="007C1A84">
        <w:t xml:space="preserve"> </w:t>
      </w:r>
      <w:r w:rsidR="00DF2DA5" w:rsidRPr="007C1A84">
        <w:t xml:space="preserve">or improved </w:t>
      </w:r>
      <w:r w:rsidR="00EA0B8A" w:rsidRPr="007C1A84">
        <w:t>conditions</w:t>
      </w:r>
      <w:r w:rsidR="00DF2DA5" w:rsidRPr="007C1A84">
        <w:t>.</w:t>
      </w:r>
      <w:r w:rsidR="007739EC" w:rsidRPr="007C1A84">
        <w:t xml:space="preserve"> </w:t>
      </w:r>
      <w:r w:rsidR="003D01A4" w:rsidRPr="007C1A84">
        <w:t xml:space="preserve">Forty-nine percent </w:t>
      </w:r>
      <w:r w:rsidR="00A14734" w:rsidRPr="007C1A84">
        <w:t xml:space="preserve">reported </w:t>
      </w:r>
      <w:r w:rsidR="003D01A4" w:rsidRPr="007C1A84">
        <w:t xml:space="preserve">unchanged productivity </w:t>
      </w:r>
      <w:r w:rsidR="00DF2DA5" w:rsidRPr="007C1A84">
        <w:t>and e</w:t>
      </w:r>
      <w:r w:rsidR="005B06CE">
        <w:t>xports while 45</w:t>
      </w:r>
      <w:r w:rsidRPr="007C1A84">
        <w:t xml:space="preserve"> pe</w:t>
      </w:r>
      <w:r w:rsidR="00A14734" w:rsidRPr="007C1A84">
        <w:t xml:space="preserve">rcent </w:t>
      </w:r>
      <w:r w:rsidR="00DF2DA5" w:rsidRPr="007C1A84">
        <w:t xml:space="preserve">experienced </w:t>
      </w:r>
      <w:r w:rsidR="005B06CE">
        <w:t>stable employment</w:t>
      </w:r>
      <w:r w:rsidR="0090239B" w:rsidRPr="007C1A84">
        <w:t>.</w:t>
      </w:r>
      <w:r w:rsidR="007739EC" w:rsidRPr="007C1A84">
        <w:t xml:space="preserve"> </w:t>
      </w:r>
      <w:r w:rsidR="00EA0B8A" w:rsidRPr="007C1A84">
        <w:t>Respondents</w:t>
      </w:r>
      <w:r w:rsidR="007A03CB">
        <w:t xml:space="preserve"> </w:t>
      </w:r>
      <w:proofErr w:type="gramStart"/>
      <w:r w:rsidR="007A03CB">
        <w:t>were</w:t>
      </w:r>
      <w:r w:rsidR="000B2C14">
        <w:t xml:space="preserve"> </w:t>
      </w:r>
      <w:r w:rsidR="00347627">
        <w:t xml:space="preserve"> closely</w:t>
      </w:r>
      <w:proofErr w:type="gramEnd"/>
      <w:r w:rsidR="008C41C4" w:rsidRPr="007C1A84">
        <w:t xml:space="preserve"> divided</w:t>
      </w:r>
      <w:r w:rsidR="00EA0B8A" w:rsidRPr="007C1A84">
        <w:t xml:space="preserve"> about profits w</w:t>
      </w:r>
      <w:r w:rsidR="004B0923">
        <w:t xml:space="preserve">ith </w:t>
      </w:r>
      <w:r w:rsidR="007A03CB">
        <w:t xml:space="preserve">34 percent reporting growth, </w:t>
      </w:r>
      <w:r w:rsidR="004B0923">
        <w:t>the same percentage</w:t>
      </w:r>
      <w:r w:rsidR="00EA0B8A" w:rsidRPr="007C1A84">
        <w:t xml:space="preserve"> </w:t>
      </w:r>
      <w:r w:rsidR="007A03CB">
        <w:t>experiencing</w:t>
      </w:r>
      <w:r w:rsidR="004B0923">
        <w:t xml:space="preserve"> decrease</w:t>
      </w:r>
      <w:r w:rsidR="00DF2DA5" w:rsidRPr="007C1A84">
        <w:t xml:space="preserve"> </w:t>
      </w:r>
      <w:r w:rsidR="007A03CB">
        <w:t xml:space="preserve">and 32 percent unchanged conditions. </w:t>
      </w:r>
      <w:r w:rsidR="00412D7B" w:rsidRPr="007C1A84">
        <w:t xml:space="preserve">The diffusion index for this indicator was 50, lower than the </w:t>
      </w:r>
      <w:r w:rsidR="005B06CE">
        <w:t xml:space="preserve">index of </w:t>
      </w:r>
      <w:r w:rsidR="00412D7B" w:rsidRPr="007C1A84">
        <w:t>54</w:t>
      </w:r>
      <w:r w:rsidR="005B06CE">
        <w:t xml:space="preserve"> for 2017</w:t>
      </w:r>
      <w:r w:rsidR="00412D7B" w:rsidRPr="007C1A84">
        <w:t>, indicating contraction</w:t>
      </w:r>
      <w:r w:rsidR="006B0F15">
        <w:t xml:space="preserve">. </w:t>
      </w:r>
      <w:r w:rsidR="00EB7E38" w:rsidRPr="007C1A84">
        <w:t>Nonetheless, i</w:t>
      </w:r>
      <w:r w:rsidR="009D0D0F" w:rsidRPr="007C1A84">
        <w:t xml:space="preserve">mproved conditions were experienced by 55 </w:t>
      </w:r>
      <w:r w:rsidR="007739EC" w:rsidRPr="007C1A84">
        <w:t xml:space="preserve">percent of </w:t>
      </w:r>
      <w:r w:rsidR="00412D7B" w:rsidRPr="007C1A84">
        <w:t>manufacturers with respect to</w:t>
      </w:r>
      <w:r w:rsidR="007739EC" w:rsidRPr="007C1A84">
        <w:t xml:space="preserve"> number of orders and production levels. </w:t>
      </w:r>
      <w:r w:rsidR="00412D7B" w:rsidRPr="007C1A84">
        <w:br/>
      </w:r>
      <w:r w:rsidR="00814F86">
        <w:rPr>
          <w:noProof/>
          <w:color w:val="C00000"/>
        </w:rPr>
        <w:drawing>
          <wp:inline distT="0" distB="0" distL="0" distR="0" wp14:anchorId="25CDCB54" wp14:editId="62FE0C23">
            <wp:extent cx="3049270" cy="2354580"/>
            <wp:effectExtent l="0" t="0" r="0" b="7620"/>
            <wp:docPr id="1" name="Chart 1" descr="Chart description: Forty-nine percent reported unchanged productivity and exports. Forty-five percent experienced stable employment levels. Respondents were almost equally divided about profits with 34 percent reporting growth, 32 percent unchanged conditions and 34 percent decrease.  The diffusion index for this indicator was 50, lower than the diffusion index for the previous year of 54, indicating contraction. Improved conditions were experienced by 55 percent of manufacturers with respect to number of orders and production levels. " title="Economic Performance: 2018 Compare to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t xml:space="preserve"> </w:t>
      </w:r>
      <w:r w:rsidR="00BD6BDF">
        <w:rPr>
          <w:rStyle w:val="Heading2Char"/>
        </w:rPr>
        <w:br/>
      </w:r>
      <w:r w:rsidR="00BD6BDF">
        <w:rPr>
          <w:rStyle w:val="Heading2Char"/>
        </w:rPr>
        <w:br/>
      </w:r>
      <w:r w:rsidR="00793FB8">
        <w:rPr>
          <w:rStyle w:val="Heading2Char"/>
          <w:color w:val="1F4E79" w:themeColor="accent1" w:themeShade="80"/>
          <w:sz w:val="24"/>
          <w:szCs w:val="24"/>
        </w:rPr>
        <w:br/>
      </w:r>
      <w:r w:rsidR="00810157" w:rsidRPr="004F7DBA">
        <w:rPr>
          <w:rStyle w:val="Heading2Char"/>
          <w:color w:val="1F4E79" w:themeColor="accent1" w:themeShade="80"/>
          <w:sz w:val="24"/>
          <w:szCs w:val="24"/>
        </w:rPr>
        <w:t>Outlook on the Manufacturing Industry</w:t>
      </w:r>
      <w:r w:rsidR="00E7356E" w:rsidRPr="004F7DBA">
        <w:rPr>
          <w:rStyle w:val="Heading2Char"/>
          <w:color w:val="1F4E79" w:themeColor="accent1" w:themeShade="80"/>
          <w:sz w:val="24"/>
          <w:szCs w:val="24"/>
        </w:rPr>
        <w:br/>
      </w:r>
      <w:r w:rsidR="00E7356E" w:rsidRPr="007C1A84">
        <w:br/>
      </w:r>
      <w:r w:rsidR="00814ED5" w:rsidRPr="007C1A84">
        <w:rPr>
          <w:color w:val="000000" w:themeColor="text1"/>
        </w:rPr>
        <w:t>M</w:t>
      </w:r>
      <w:r w:rsidR="00E7356E" w:rsidRPr="007C1A84">
        <w:rPr>
          <w:color w:val="000000" w:themeColor="text1"/>
        </w:rPr>
        <w:t>anufacturers</w:t>
      </w:r>
      <w:r w:rsidR="00EB7E38" w:rsidRPr="007C1A84">
        <w:rPr>
          <w:color w:val="000000" w:themeColor="text1"/>
        </w:rPr>
        <w:t xml:space="preserve"> expect mostly unchanged </w:t>
      </w:r>
      <w:r w:rsidR="00CC408A" w:rsidRPr="007C1A84">
        <w:rPr>
          <w:color w:val="000000" w:themeColor="text1"/>
        </w:rPr>
        <w:t>conditions</w:t>
      </w:r>
      <w:r w:rsidR="0073379A" w:rsidRPr="007C1A84">
        <w:rPr>
          <w:color w:val="000000" w:themeColor="text1"/>
        </w:rPr>
        <w:t xml:space="preserve"> for the coming year</w:t>
      </w:r>
      <w:r w:rsidR="002F1C66" w:rsidRPr="007C1A84">
        <w:rPr>
          <w:color w:val="000000" w:themeColor="text1"/>
        </w:rPr>
        <w:t>.</w:t>
      </w:r>
      <w:r w:rsidR="00E7356E" w:rsidRPr="007C1A84">
        <w:rPr>
          <w:color w:val="000000" w:themeColor="text1"/>
        </w:rPr>
        <w:t xml:space="preserve"> </w:t>
      </w:r>
      <w:r w:rsidR="00EB7E38" w:rsidRPr="007C1A84">
        <w:rPr>
          <w:color w:val="000000" w:themeColor="text1"/>
        </w:rPr>
        <w:t xml:space="preserve"> Sixty-one</w:t>
      </w:r>
      <w:r w:rsidR="008B59FF" w:rsidRPr="007C1A84">
        <w:rPr>
          <w:color w:val="000000" w:themeColor="text1"/>
        </w:rPr>
        <w:t xml:space="preserve"> percent </w:t>
      </w:r>
      <w:r w:rsidR="002558DB" w:rsidRPr="007C1A84">
        <w:rPr>
          <w:color w:val="000000" w:themeColor="text1"/>
        </w:rPr>
        <w:t>of respondents exp</w:t>
      </w:r>
      <w:r w:rsidR="00FD7D98" w:rsidRPr="007C1A84">
        <w:rPr>
          <w:color w:val="000000" w:themeColor="text1"/>
        </w:rPr>
        <w:t>ect stable</w:t>
      </w:r>
      <w:r w:rsidR="00EB7E38" w:rsidRPr="007C1A84">
        <w:rPr>
          <w:color w:val="000000" w:themeColor="text1"/>
        </w:rPr>
        <w:t xml:space="preserve"> employment and 51</w:t>
      </w:r>
      <w:r w:rsidR="00B44D34" w:rsidRPr="007C1A84">
        <w:rPr>
          <w:color w:val="000000" w:themeColor="text1"/>
        </w:rPr>
        <w:t xml:space="preserve"> percent</w:t>
      </w:r>
      <w:r w:rsidR="00EB7E38" w:rsidRPr="007C1A84">
        <w:rPr>
          <w:color w:val="000000" w:themeColor="text1"/>
        </w:rPr>
        <w:t xml:space="preserve"> anticipate unchanged investment in plant and equipment</w:t>
      </w:r>
      <w:r w:rsidR="0073379A" w:rsidRPr="007C1A84">
        <w:rPr>
          <w:color w:val="000000" w:themeColor="text1"/>
        </w:rPr>
        <w:t xml:space="preserve">.  </w:t>
      </w:r>
      <w:r w:rsidR="00FD7D98" w:rsidRPr="007C1A84">
        <w:rPr>
          <w:color w:val="000000" w:themeColor="text1"/>
        </w:rPr>
        <w:t>Respondents were equally split about production levels with 47 percent anticipating growth and the same percentage</w:t>
      </w:r>
      <w:r w:rsidR="009E4D2C" w:rsidRPr="007C1A84">
        <w:rPr>
          <w:color w:val="000000" w:themeColor="text1"/>
        </w:rPr>
        <w:t xml:space="preserve"> expecting unchanged conditions. </w:t>
      </w:r>
      <w:r w:rsidR="00C60E3F">
        <w:rPr>
          <w:color w:val="000000" w:themeColor="text1"/>
        </w:rPr>
        <w:t xml:space="preserve"> </w:t>
      </w:r>
      <w:r w:rsidR="001B1620">
        <w:rPr>
          <w:color w:val="000000" w:themeColor="text1"/>
        </w:rPr>
        <w:t>Manufacturers were moderately optimistic about</w:t>
      </w:r>
      <w:r w:rsidR="009E4D2C" w:rsidRPr="007C1A84">
        <w:rPr>
          <w:color w:val="000000" w:themeColor="text1"/>
        </w:rPr>
        <w:t xml:space="preserve"> productivity with 51 percent expecting </w:t>
      </w:r>
      <w:r w:rsidR="00347627">
        <w:rPr>
          <w:color w:val="000000" w:themeColor="text1"/>
        </w:rPr>
        <w:t>expansion</w:t>
      </w:r>
      <w:r w:rsidR="009E4D2C" w:rsidRPr="007C1A84">
        <w:rPr>
          <w:color w:val="000000" w:themeColor="text1"/>
        </w:rPr>
        <w:t>.</w:t>
      </w:r>
      <w:r w:rsidR="00305FF9">
        <w:rPr>
          <w:color w:val="000000" w:themeColor="text1"/>
        </w:rPr>
        <w:t xml:space="preserve"> </w:t>
      </w:r>
      <w:r w:rsidR="004F7DBA">
        <w:rPr>
          <w:color w:val="000000" w:themeColor="text1"/>
        </w:rPr>
        <w:br/>
      </w:r>
      <w:r w:rsidR="00305FF9">
        <w:rPr>
          <w:color w:val="000000" w:themeColor="text1"/>
        </w:rPr>
        <w:t xml:space="preserve">Although </w:t>
      </w:r>
      <w:r w:rsidR="009E4D2C" w:rsidRPr="007C1A84">
        <w:rPr>
          <w:color w:val="000000" w:themeColor="text1"/>
        </w:rPr>
        <w:t xml:space="preserve">diffusion indexes for most indicators were higher than 50 indicating expansion, there were lower than indexes </w:t>
      </w:r>
      <w:r w:rsidR="00740281">
        <w:rPr>
          <w:color w:val="000000" w:themeColor="text1"/>
        </w:rPr>
        <w:t>for</w:t>
      </w:r>
      <w:r w:rsidR="009E4D2C" w:rsidRPr="007C1A84">
        <w:rPr>
          <w:color w:val="000000" w:themeColor="text1"/>
        </w:rPr>
        <w:t xml:space="preserve"> the previous year, suggesting that manufacturers are less optimistic</w:t>
      </w:r>
      <w:r w:rsidR="00305FF9">
        <w:rPr>
          <w:color w:val="000000" w:themeColor="text1"/>
        </w:rPr>
        <w:t xml:space="preserve"> for 2019 than they were for</w:t>
      </w:r>
      <w:r w:rsidR="009E4D2C" w:rsidRPr="007C1A84">
        <w:rPr>
          <w:color w:val="000000" w:themeColor="text1"/>
        </w:rPr>
        <w:t xml:space="preserve"> </w:t>
      </w:r>
      <w:r w:rsidR="00740281">
        <w:rPr>
          <w:color w:val="000000" w:themeColor="text1"/>
        </w:rPr>
        <w:t>2018.</w:t>
      </w:r>
    </w:p>
    <w:p w:rsidR="00EE48A9" w:rsidRDefault="00F10ED0" w:rsidP="00EE48A9">
      <w:pPr>
        <w:rPr>
          <w:rFonts w:asciiTheme="majorHAnsi" w:eastAsiaTheme="majorEastAsia" w:hAnsiTheme="majorHAnsi" w:cstheme="majorBidi"/>
          <w:color w:val="1F4D78" w:themeColor="accent1" w:themeShade="7F"/>
          <w:sz w:val="24"/>
          <w:szCs w:val="24"/>
        </w:rPr>
        <w:sectPr w:rsidR="00EE48A9" w:rsidSect="009B07B0">
          <w:type w:val="continuous"/>
          <w:pgSz w:w="12240" w:h="15840"/>
          <w:pgMar w:top="720" w:right="720" w:bottom="720" w:left="720" w:header="720" w:footer="720" w:gutter="0"/>
          <w:cols w:num="2" w:space="720"/>
          <w:docGrid w:linePitch="360"/>
        </w:sectPr>
      </w:pPr>
      <w:r>
        <w:rPr>
          <w:noProof/>
          <w:color w:val="C00000"/>
        </w:rPr>
        <w:drawing>
          <wp:inline distT="0" distB="0" distL="0" distR="0" wp14:anchorId="654F64E3" wp14:editId="31DE3620">
            <wp:extent cx="2880360" cy="2125980"/>
            <wp:effectExtent l="0" t="0" r="0" b="7620"/>
            <wp:docPr id="5" name="Chart 5" descr="Chart description: Sixty-one percent of respondents expect stable employment and 51 percent anticipate unchanged investment in plant and equipment.  Respondents were equally split about production levels with 47 percent anticipating growth and the same percentage expecting unchanged conditions. Manufacturers were particularly optimistic about productivity with 51 percent expecting growth and 42 percent unchanged conditions. " title="Outlook on Economic Performace, 2018 Compare to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14ED5">
        <w:br/>
      </w:r>
      <w:r w:rsidR="00814ED5" w:rsidRPr="00814ED5">
        <w:rPr>
          <w:rStyle w:val="Heading3Char"/>
        </w:rPr>
        <w:t>Outlook on the State Economy</w:t>
      </w:r>
      <w:r w:rsidR="004F7DBA">
        <w:rPr>
          <w:rStyle w:val="Heading3Char"/>
        </w:rPr>
        <w:br/>
      </w:r>
      <w:r w:rsidR="004F7DBA">
        <w:br/>
      </w:r>
      <w:r w:rsidR="00814ED5" w:rsidRPr="00846BD5">
        <w:t>Manufacturers</w:t>
      </w:r>
      <w:r w:rsidR="00814ED5" w:rsidRPr="00846BD5">
        <w:rPr>
          <w:rStyle w:val="Heading3Char"/>
        </w:rPr>
        <w:t xml:space="preserve"> </w:t>
      </w:r>
      <w:r w:rsidR="00F573FD" w:rsidRPr="00846BD5">
        <w:t>expec</w:t>
      </w:r>
      <w:r w:rsidR="00D94F3F">
        <w:t>t mostly</w:t>
      </w:r>
      <w:r w:rsidR="007A0AAC" w:rsidRPr="00846BD5">
        <w:t xml:space="preserve"> constant </w:t>
      </w:r>
      <w:r w:rsidR="0073379A" w:rsidRPr="00846BD5">
        <w:t>conditions</w:t>
      </w:r>
      <w:r w:rsidR="00740281">
        <w:t xml:space="preserve"> for </w:t>
      </w:r>
      <w:r w:rsidR="00D82BFD" w:rsidRPr="00846BD5">
        <w:t>next year</w:t>
      </w:r>
      <w:r w:rsidR="00AF0C5D">
        <w:t>. Fifty-nine</w:t>
      </w:r>
      <w:r w:rsidR="00F573FD" w:rsidRPr="00846BD5">
        <w:t xml:space="preserve"> percent expe</w:t>
      </w:r>
      <w:r w:rsidR="00D94F3F">
        <w:t xml:space="preserve">ct </w:t>
      </w:r>
      <w:r w:rsidR="00AF0C5D">
        <w:t>stable</w:t>
      </w:r>
      <w:r w:rsidR="00AF0C5D" w:rsidRPr="00846BD5">
        <w:t xml:space="preserve"> employment</w:t>
      </w:r>
      <w:r w:rsidR="00AF0C5D">
        <w:t xml:space="preserve"> while 57 percent anticipate </w:t>
      </w:r>
      <w:r w:rsidR="00D94F3F">
        <w:t>unchanged business inv</w:t>
      </w:r>
      <w:r w:rsidR="00AF0C5D">
        <w:t>estment</w:t>
      </w:r>
      <w:r w:rsidR="00F573FD" w:rsidRPr="00846BD5">
        <w:t xml:space="preserve">. </w:t>
      </w:r>
      <w:r w:rsidR="007A0AAC" w:rsidRPr="00846BD5">
        <w:t>Fifty-one</w:t>
      </w:r>
      <w:r w:rsidR="0073379A" w:rsidRPr="00846BD5">
        <w:t xml:space="preserve"> </w:t>
      </w:r>
      <w:r w:rsidR="00C3708A">
        <w:t xml:space="preserve">percent </w:t>
      </w:r>
      <w:r w:rsidR="0073379A" w:rsidRPr="00846BD5">
        <w:t>anticipate</w:t>
      </w:r>
      <w:r w:rsidR="00D94F3F">
        <w:t xml:space="preserve"> constant corporate profits</w:t>
      </w:r>
      <w:r w:rsidR="00F573FD" w:rsidRPr="00846BD5">
        <w:t xml:space="preserve">. </w:t>
      </w:r>
      <w:r w:rsidR="00D94F3F">
        <w:t>Nonetheless, 70</w:t>
      </w:r>
      <w:r w:rsidR="00F573FD" w:rsidRPr="00846BD5">
        <w:t xml:space="preserve"> percent</w:t>
      </w:r>
      <w:r w:rsidR="00FE229F" w:rsidRPr="00846BD5">
        <w:t xml:space="preserve"> </w:t>
      </w:r>
      <w:r w:rsidR="00F573FD" w:rsidRPr="00846BD5">
        <w:t xml:space="preserve">expect increased inflation. </w:t>
      </w:r>
      <w:r w:rsidR="00FE229F" w:rsidRPr="00846BD5">
        <w:br/>
      </w:r>
      <w:r w:rsidR="00D94F3F">
        <w:br/>
      </w:r>
      <w:r w:rsidR="00F573FD">
        <w:lastRenderedPageBreak/>
        <w:t xml:space="preserve">A </w:t>
      </w:r>
      <w:r w:rsidR="00FE229F">
        <w:t xml:space="preserve">special </w:t>
      </w:r>
      <w:r w:rsidR="00F573FD">
        <w:t>question inquire</w:t>
      </w:r>
      <w:r w:rsidR="006449F7">
        <w:t>d</w:t>
      </w:r>
      <w:r w:rsidR="00AF0C5D">
        <w:t xml:space="preserve"> about the effect of U.S. tariffs and/or foreign countermeasures during the past year.  </w:t>
      </w:r>
      <w:r w:rsidR="007C1A84">
        <w:t xml:space="preserve">The majority of manufacturers reported no effect from U.S. tariffs for employment (86 percent), </w:t>
      </w:r>
      <w:r w:rsidR="007C1A84">
        <w:t>investment (80 percent) and capital expenditure (77 percent). However, 55 percent reported negative effect for input cost and cost to consumers.</w:t>
      </w:r>
      <w:r w:rsidR="004F7DBA">
        <w:t xml:space="preserve"> </w:t>
      </w:r>
    </w:p>
    <w:p w:rsidR="00EE48A9" w:rsidRDefault="00EE48A9" w:rsidP="00814ED5"/>
    <w:p w:rsidR="007F61A9" w:rsidRPr="00C46B75" w:rsidRDefault="007C1A84" w:rsidP="00C46B75">
      <w:pPr>
        <w:pStyle w:val="Title"/>
        <w:jc w:val="center"/>
        <w:rPr>
          <w:color w:val="2E74B5" w:themeColor="accent1" w:themeShade="BF"/>
          <w:sz w:val="28"/>
          <w:szCs w:val="28"/>
        </w:rPr>
      </w:pPr>
      <w:r>
        <w:rPr>
          <w:color w:val="2E74B5" w:themeColor="accent1" w:themeShade="BF"/>
          <w:sz w:val="28"/>
          <w:szCs w:val="28"/>
        </w:rPr>
        <w:t>Minnesota 2018</w:t>
      </w:r>
      <w:r w:rsidR="009969EB" w:rsidRPr="009969EB">
        <w:rPr>
          <w:color w:val="2E74B5" w:themeColor="accent1" w:themeShade="BF"/>
          <w:sz w:val="28"/>
          <w:szCs w:val="28"/>
        </w:rPr>
        <w:t xml:space="preserve"> Manufacturing Business Condition Survey</w:t>
      </w:r>
      <w:r w:rsidR="009969EB">
        <w:rPr>
          <w:color w:val="2E74B5" w:themeColor="accent1" w:themeShade="BF"/>
          <w:sz w:val="28"/>
          <w:szCs w:val="28"/>
        </w:rPr>
        <w:t xml:space="preserve"> Results</w:t>
      </w:r>
      <w:r w:rsidR="009713A3" w:rsidRPr="009713A3">
        <w:rPr>
          <w:color w:val="2E74B5" w:themeColor="accent1" w:themeShade="BF"/>
          <w:sz w:val="28"/>
          <w:szCs w:val="28"/>
          <w:vertAlign w:val="superscript"/>
        </w:rPr>
        <w:t>1</w:t>
      </w:r>
    </w:p>
    <w:tbl>
      <w:tblPr>
        <w:tblStyle w:val="PlainTable5"/>
        <w:tblW w:w="10525"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Business Comparison Indicators: 2014-2015"/>
        <w:tblDescription w:val="Table coparing business indicators between 2014 and 2015."/>
      </w:tblPr>
      <w:tblGrid>
        <w:gridCol w:w="3897"/>
        <w:gridCol w:w="1338"/>
        <w:gridCol w:w="1338"/>
        <w:gridCol w:w="1338"/>
        <w:gridCol w:w="1338"/>
        <w:gridCol w:w="1276"/>
      </w:tblGrid>
      <w:tr w:rsidR="001D0139" w:rsidRPr="00623BC4"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top w:val="single" w:sz="4" w:space="0" w:color="auto"/>
              <w:bottom w:val="single" w:sz="4" w:space="0" w:color="auto"/>
              <w:right w:val="nil"/>
            </w:tcBorders>
            <w:shd w:val="clear" w:color="auto" w:fill="BDD6EE" w:themeFill="accent1" w:themeFillTint="66"/>
            <w:noWrap/>
            <w:hideMark/>
          </w:tcPr>
          <w:p w:rsidR="00A97C01" w:rsidRPr="000A28AD" w:rsidRDefault="00722892" w:rsidP="00541E4C">
            <w:pP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Business i</w:t>
            </w:r>
            <w:r w:rsidR="00AE697F">
              <w:rPr>
                <w:rFonts w:asciiTheme="minorHAnsi" w:eastAsia="Times New Roman" w:hAnsiTheme="minorHAnsi" w:cs="Times New Roman"/>
                <w:b/>
                <w:bCs/>
                <w:i w:val="0"/>
                <w:color w:val="000000"/>
                <w:sz w:val="18"/>
                <w:szCs w:val="18"/>
              </w:rPr>
              <w:t>ndicators in 2018</w:t>
            </w:r>
            <w:r w:rsidR="00EE48A9">
              <w:rPr>
                <w:rFonts w:asciiTheme="minorHAnsi" w:eastAsia="Times New Roman" w:hAnsiTheme="minorHAnsi" w:cs="Times New Roman"/>
                <w:b/>
                <w:bCs/>
                <w:i w:val="0"/>
                <w:color w:val="000000"/>
                <w:sz w:val="18"/>
                <w:szCs w:val="18"/>
              </w:rPr>
              <w:t>, compared to</w:t>
            </w:r>
            <w:r w:rsidR="007C1A84">
              <w:rPr>
                <w:rFonts w:asciiTheme="minorHAnsi" w:eastAsia="Times New Roman" w:hAnsiTheme="minorHAnsi" w:cs="Times New Roman"/>
                <w:b/>
                <w:bCs/>
                <w:i w:val="0"/>
                <w:color w:val="000000"/>
                <w:sz w:val="18"/>
                <w:szCs w:val="18"/>
              </w:rPr>
              <w:t xml:space="preserve"> 201</w:t>
            </w:r>
            <w:r w:rsidR="00AE697F">
              <w:rPr>
                <w:rFonts w:asciiTheme="minorHAnsi" w:eastAsia="Times New Roman" w:hAnsiTheme="minorHAnsi" w:cs="Times New Roman"/>
                <w:b/>
                <w:bCs/>
                <w:i w:val="0"/>
                <w:color w:val="000000"/>
                <w:sz w:val="18"/>
                <w:szCs w:val="18"/>
              </w:rPr>
              <w:t>7</w:t>
            </w:r>
            <w:r w:rsidR="007B16BB" w:rsidRPr="000A28AD">
              <w:rPr>
                <w:rFonts w:asciiTheme="minorHAnsi" w:eastAsia="Times New Roman" w:hAnsiTheme="minorHAnsi" w:cs="Times New Roman"/>
                <w:b/>
                <w:bCs/>
                <w:i w:val="0"/>
                <w:color w:val="000000"/>
                <w:sz w:val="18"/>
                <w:szCs w:val="18"/>
              </w:rPr>
              <w:t>:</w:t>
            </w:r>
          </w:p>
        </w:tc>
        <w:tc>
          <w:tcPr>
            <w:tcW w:w="1338" w:type="dxa"/>
            <w:tcBorders>
              <w:top w:val="single" w:sz="4" w:space="0" w:color="auto"/>
              <w:left w:val="nil"/>
              <w:bottom w:val="single" w:sz="4" w:space="0" w:color="auto"/>
            </w:tcBorders>
            <w:shd w:val="clear" w:color="auto" w:fill="BDD6EE" w:themeFill="accent1" w:themeFillTint="66"/>
            <w:noWrap/>
            <w:hideMark/>
          </w:tcPr>
          <w:p w:rsidR="00A97C01" w:rsidRPr="000A28AD" w:rsidRDefault="00A97C01" w:rsidP="00541E4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Up</w:t>
            </w:r>
          </w:p>
        </w:tc>
        <w:tc>
          <w:tcPr>
            <w:tcW w:w="1338"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Same</w:t>
            </w:r>
          </w:p>
        </w:tc>
        <w:tc>
          <w:tcPr>
            <w:tcW w:w="1338"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Down</w:t>
            </w:r>
          </w:p>
        </w:tc>
        <w:tc>
          <w:tcPr>
            <w:tcW w:w="1338"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Diffusion Index</w:t>
            </w:r>
            <w:r w:rsidR="00AE697F">
              <w:rPr>
                <w:rFonts w:asciiTheme="minorHAnsi" w:eastAsia="Times New Roman" w:hAnsiTheme="minorHAnsi" w:cs="Times New Roman"/>
                <w:b/>
                <w:bCs/>
                <w:i w:val="0"/>
                <w:color w:val="000000"/>
                <w:sz w:val="18"/>
                <w:szCs w:val="18"/>
              </w:rPr>
              <w:t xml:space="preserve"> 2018</w:t>
            </w:r>
            <w:r w:rsidR="00C80C65" w:rsidRPr="000A28AD">
              <w:rPr>
                <w:rFonts w:asciiTheme="minorHAnsi" w:eastAsia="Times New Roman" w:hAnsiTheme="minorHAnsi" w:cs="Times New Roman"/>
                <w:b/>
                <w:bCs/>
                <w:i w:val="0"/>
                <w:color w:val="000000"/>
                <w:sz w:val="18"/>
                <w:szCs w:val="18"/>
                <w:vertAlign w:val="superscript"/>
              </w:rPr>
              <w:t>(2)</w:t>
            </w:r>
          </w:p>
        </w:tc>
        <w:tc>
          <w:tcPr>
            <w:tcW w:w="1276" w:type="dxa"/>
            <w:tcBorders>
              <w:top w:val="single" w:sz="4" w:space="0" w:color="auto"/>
              <w:bottom w:val="single" w:sz="4" w:space="0" w:color="auto"/>
            </w:tcBorders>
            <w:shd w:val="clear" w:color="auto" w:fill="BDD6EE" w:themeFill="accent1" w:themeFillTint="66"/>
            <w:noWrap/>
            <w:hideMark/>
          </w:tcPr>
          <w:p w:rsidR="00A97C01" w:rsidRPr="000A28AD" w:rsidRDefault="00AE697F" w:rsidP="00541E4C">
            <w:pPr>
              <w:jc w:val="center"/>
              <w:rPr>
                <w:rFonts w:asciiTheme="minorHAnsi" w:eastAsia="Times New Roman" w:hAnsiTheme="minorHAnsi" w:cs="Times New Roman"/>
                <w:b/>
                <w:bCs/>
                <w:i w:val="0"/>
                <w:color w:val="000000"/>
                <w:sz w:val="18"/>
                <w:szCs w:val="18"/>
              </w:rPr>
            </w:pPr>
            <w:r>
              <w:rPr>
                <w:rFonts w:asciiTheme="minorHAnsi" w:eastAsia="Times New Roman" w:hAnsiTheme="minorHAnsi" w:cs="Times New Roman"/>
                <w:b/>
                <w:bCs/>
                <w:i w:val="0"/>
                <w:color w:val="000000"/>
                <w:sz w:val="18"/>
                <w:szCs w:val="18"/>
              </w:rPr>
              <w:t>Diffusion Index 2017</w:t>
            </w:r>
            <w:r w:rsidR="00C80C65" w:rsidRPr="000A28AD">
              <w:rPr>
                <w:rFonts w:asciiTheme="minorHAnsi" w:eastAsia="Times New Roman" w:hAnsiTheme="minorHAnsi" w:cs="Times New Roman"/>
                <w:b/>
                <w:bCs/>
                <w:i w:val="0"/>
                <w:color w:val="000000"/>
                <w:sz w:val="18"/>
                <w:szCs w:val="18"/>
                <w:vertAlign w:val="superscript"/>
              </w:rPr>
              <w:t>(2)</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top w:val="single" w:sz="4" w:space="0" w:color="auto"/>
              <w:bottom w:val="none" w:sz="0" w:space="0" w:color="auto"/>
              <w:right w:val="nil"/>
            </w:tcBorders>
            <w:noWrap/>
            <w:hideMark/>
          </w:tcPr>
          <w:p w:rsidR="00A97C01" w:rsidRPr="000A28AD" w:rsidRDefault="00A97C01" w:rsidP="00541E4C">
            <w:pPr>
              <w:rPr>
                <w:rFonts w:asciiTheme="minorHAnsi" w:eastAsia="Times New Roman" w:hAnsiTheme="minorHAnsi" w:cs="Times New Roman"/>
                <w:i w:val="0"/>
                <w:color w:val="000000"/>
                <w:sz w:val="18"/>
                <w:szCs w:val="18"/>
              </w:rPr>
            </w:pPr>
            <w:r w:rsidRPr="000A28AD">
              <w:rPr>
                <w:rFonts w:asciiTheme="minorHAnsi" w:eastAsia="Times New Roman" w:hAnsiTheme="minorHAnsi" w:cs="Times New Roman"/>
                <w:i w:val="0"/>
                <w:color w:val="000000"/>
                <w:sz w:val="18"/>
                <w:szCs w:val="18"/>
              </w:rPr>
              <w:t>Number of orders</w:t>
            </w:r>
          </w:p>
        </w:tc>
        <w:tc>
          <w:tcPr>
            <w:tcW w:w="1338" w:type="dxa"/>
            <w:tcBorders>
              <w:top w:val="single" w:sz="4" w:space="0" w:color="auto"/>
              <w:left w:val="nil"/>
              <w:bottom w:val="none" w:sz="0" w:space="0" w:color="auto"/>
            </w:tcBorders>
            <w:noWrap/>
            <w:hideMark/>
          </w:tcPr>
          <w:p w:rsidR="00A97C01" w:rsidRPr="000A28AD" w:rsidRDefault="007C1A8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55</w:t>
            </w:r>
            <w:r w:rsidR="00A97C01" w:rsidRPr="000A28AD">
              <w:rPr>
                <w:rFonts w:asciiTheme="minorHAnsi" w:eastAsia="Times New Roman" w:hAnsiTheme="minorHAnsi" w:cs="Times New Roman"/>
                <w:i w:val="0"/>
                <w:color w:val="000000"/>
                <w:sz w:val="18"/>
                <w:szCs w:val="18"/>
              </w:rPr>
              <w:t>%</w:t>
            </w:r>
          </w:p>
        </w:tc>
        <w:tc>
          <w:tcPr>
            <w:tcW w:w="1338" w:type="dxa"/>
            <w:tcBorders>
              <w:top w:val="single" w:sz="4" w:space="0" w:color="auto"/>
              <w:bottom w:val="none" w:sz="0" w:space="0" w:color="auto"/>
            </w:tcBorders>
            <w:noWrap/>
            <w:hideMark/>
          </w:tcPr>
          <w:p w:rsidR="00A97C01" w:rsidRPr="000A28AD" w:rsidRDefault="007C1A8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27</w:t>
            </w:r>
            <w:r w:rsidR="00A97C01" w:rsidRPr="000A28AD">
              <w:rPr>
                <w:rFonts w:asciiTheme="minorHAnsi" w:eastAsia="Times New Roman" w:hAnsiTheme="minorHAnsi" w:cs="Times New Roman"/>
                <w:i w:val="0"/>
                <w:color w:val="000000"/>
                <w:sz w:val="18"/>
                <w:szCs w:val="18"/>
              </w:rPr>
              <w:t>%</w:t>
            </w:r>
          </w:p>
        </w:tc>
        <w:tc>
          <w:tcPr>
            <w:tcW w:w="1338" w:type="dxa"/>
            <w:tcBorders>
              <w:top w:val="single" w:sz="4" w:space="0" w:color="auto"/>
              <w:bottom w:val="none" w:sz="0" w:space="0" w:color="auto"/>
            </w:tcBorders>
            <w:noWrap/>
            <w:hideMark/>
          </w:tcPr>
          <w:p w:rsidR="00A97C01" w:rsidRPr="000A28AD" w:rsidRDefault="007C1A84"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18</w:t>
            </w:r>
            <w:r w:rsidR="00A97C01" w:rsidRPr="000A28AD">
              <w:rPr>
                <w:rFonts w:asciiTheme="minorHAnsi" w:eastAsia="Times New Roman" w:hAnsiTheme="minorHAnsi" w:cs="Times New Roman"/>
                <w:i w:val="0"/>
                <w:color w:val="000000"/>
                <w:sz w:val="18"/>
                <w:szCs w:val="18"/>
              </w:rPr>
              <w:t>%</w:t>
            </w:r>
          </w:p>
        </w:tc>
        <w:tc>
          <w:tcPr>
            <w:tcW w:w="1338" w:type="dxa"/>
            <w:tcBorders>
              <w:top w:val="single" w:sz="4" w:space="0" w:color="auto"/>
              <w:bottom w:val="none" w:sz="0" w:space="0" w:color="auto"/>
            </w:tcBorders>
            <w:noWrap/>
            <w:hideMark/>
          </w:tcPr>
          <w:p w:rsidR="00A97C01" w:rsidRPr="000A28AD" w:rsidRDefault="0083658D"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69</w:t>
            </w:r>
          </w:p>
        </w:tc>
        <w:tc>
          <w:tcPr>
            <w:tcW w:w="1276" w:type="dxa"/>
            <w:tcBorders>
              <w:top w:val="single" w:sz="4" w:space="0" w:color="auto"/>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w:t>
            </w:r>
            <w:r w:rsidR="0083658D">
              <w:rPr>
                <w:rFonts w:asciiTheme="minorHAnsi" w:eastAsia="Times New Roman" w:hAnsiTheme="minorHAnsi" w:cs="Times New Roman"/>
                <w:i w:val="0"/>
                <w:color w:val="000000"/>
                <w:sz w:val="18"/>
                <w:szCs w:val="18"/>
              </w:rPr>
              <w:t>9</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A97C01" w:rsidP="00541E4C">
            <w:pPr>
              <w:rPr>
                <w:rFonts w:asciiTheme="minorHAnsi" w:eastAsia="Times New Roman" w:hAnsiTheme="minorHAnsi" w:cs="Times New Roman"/>
                <w:i w:val="0"/>
                <w:color w:val="000000"/>
                <w:sz w:val="18"/>
                <w:szCs w:val="18"/>
              </w:rPr>
            </w:pPr>
            <w:r w:rsidRPr="000A28AD">
              <w:rPr>
                <w:rFonts w:asciiTheme="minorHAnsi" w:eastAsia="Times New Roman" w:hAnsiTheme="minorHAnsi" w:cs="Times New Roman"/>
                <w:i w:val="0"/>
                <w:color w:val="000000"/>
                <w:sz w:val="18"/>
                <w:szCs w:val="18"/>
              </w:rPr>
              <w:t>Product/service production level</w:t>
            </w:r>
          </w:p>
        </w:tc>
        <w:tc>
          <w:tcPr>
            <w:tcW w:w="1338" w:type="dxa"/>
            <w:tcBorders>
              <w:left w:val="nil"/>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55</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31</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15</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83658D"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7</w:t>
            </w:r>
            <w:r w:rsidR="00AC7444">
              <w:rPr>
                <w:rFonts w:asciiTheme="minorHAnsi" w:eastAsia="Times New Roman" w:hAnsiTheme="minorHAnsi" w:cs="Times New Roman"/>
                <w:i w:val="0"/>
                <w:color w:val="000000"/>
                <w:sz w:val="18"/>
                <w:szCs w:val="18"/>
              </w:rPr>
              <w:t>1</w:t>
            </w:r>
          </w:p>
        </w:tc>
        <w:tc>
          <w:tcPr>
            <w:tcW w:w="1276"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7</w:t>
            </w:r>
            <w:r w:rsidR="0083658D">
              <w:rPr>
                <w:rFonts w:asciiTheme="minorHAnsi" w:eastAsia="Times New Roman" w:hAnsiTheme="minorHAnsi" w:cs="Times New Roman"/>
                <w:i w:val="0"/>
                <w:color w:val="000000"/>
                <w:sz w:val="18"/>
                <w:szCs w:val="18"/>
              </w:rPr>
              <w:t>1</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A97C01" w:rsidP="00541E4C">
            <w:pPr>
              <w:rPr>
                <w:rFonts w:asciiTheme="minorHAnsi" w:eastAsia="Times New Roman" w:hAnsiTheme="minorHAnsi" w:cs="Times New Roman"/>
                <w:i w:val="0"/>
                <w:color w:val="000000"/>
                <w:sz w:val="18"/>
                <w:szCs w:val="18"/>
              </w:rPr>
            </w:pPr>
            <w:r w:rsidRPr="000A28AD">
              <w:rPr>
                <w:rFonts w:asciiTheme="minorHAnsi" w:eastAsia="Times New Roman" w:hAnsiTheme="minorHAnsi" w:cs="Times New Roman"/>
                <w:i w:val="0"/>
                <w:color w:val="000000"/>
                <w:sz w:val="18"/>
                <w:szCs w:val="18"/>
              </w:rPr>
              <w:t>Employment level</w:t>
            </w:r>
          </w:p>
        </w:tc>
        <w:tc>
          <w:tcPr>
            <w:tcW w:w="1338" w:type="dxa"/>
            <w:tcBorders>
              <w:left w:val="nil"/>
              <w:bottom w:val="none" w:sz="0" w:space="0" w:color="auto"/>
            </w:tcBorders>
            <w:noWrap/>
            <w:hideMark/>
          </w:tcPr>
          <w:p w:rsidR="00A97C01" w:rsidRPr="000A28AD" w:rsidRDefault="0083658D"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41</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45</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15</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83658D"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w:t>
            </w:r>
            <w:r w:rsidR="00AE697F">
              <w:rPr>
                <w:rFonts w:asciiTheme="minorHAnsi" w:eastAsia="Times New Roman" w:hAnsiTheme="minorHAnsi" w:cs="Times New Roman"/>
                <w:i w:val="0"/>
                <w:color w:val="000000"/>
                <w:sz w:val="18"/>
                <w:szCs w:val="18"/>
              </w:rPr>
              <w:t>4</w:t>
            </w:r>
          </w:p>
        </w:tc>
        <w:tc>
          <w:tcPr>
            <w:tcW w:w="1276"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w:t>
            </w:r>
            <w:r w:rsidR="0083658D">
              <w:rPr>
                <w:rFonts w:asciiTheme="minorHAnsi" w:eastAsia="Times New Roman" w:hAnsiTheme="minorHAnsi" w:cs="Times New Roman"/>
                <w:i w:val="0"/>
                <w:color w:val="000000"/>
                <w:sz w:val="18"/>
                <w:szCs w:val="18"/>
              </w:rPr>
              <w:t>2</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A97C01" w:rsidP="00541E4C">
            <w:pPr>
              <w:rPr>
                <w:rFonts w:asciiTheme="minorHAnsi" w:eastAsia="Times New Roman" w:hAnsiTheme="minorHAnsi" w:cs="Times New Roman"/>
                <w:i w:val="0"/>
                <w:color w:val="000000"/>
                <w:sz w:val="18"/>
                <w:szCs w:val="18"/>
              </w:rPr>
            </w:pPr>
            <w:r w:rsidRPr="000A28AD">
              <w:rPr>
                <w:rFonts w:asciiTheme="minorHAnsi" w:eastAsia="Times New Roman" w:hAnsiTheme="minorHAnsi" w:cs="Times New Roman"/>
                <w:i w:val="0"/>
                <w:color w:val="000000"/>
                <w:sz w:val="18"/>
                <w:szCs w:val="18"/>
              </w:rPr>
              <w:t>Investment in plant/equipment</w:t>
            </w:r>
          </w:p>
        </w:tc>
        <w:tc>
          <w:tcPr>
            <w:tcW w:w="1338" w:type="dxa"/>
            <w:tcBorders>
              <w:left w:val="nil"/>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46</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83658D"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42</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13</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67</w:t>
            </w:r>
          </w:p>
        </w:tc>
        <w:tc>
          <w:tcPr>
            <w:tcW w:w="1276"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68</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A97C01" w:rsidP="00541E4C">
            <w:pPr>
              <w:rPr>
                <w:rFonts w:asciiTheme="minorHAnsi" w:eastAsia="Times New Roman" w:hAnsiTheme="minorHAnsi" w:cs="Times New Roman"/>
                <w:i w:val="0"/>
                <w:color w:val="000000"/>
                <w:sz w:val="18"/>
                <w:szCs w:val="18"/>
              </w:rPr>
            </w:pPr>
            <w:r w:rsidRPr="000A28AD">
              <w:rPr>
                <w:rFonts w:asciiTheme="minorHAnsi" w:eastAsia="Times New Roman" w:hAnsiTheme="minorHAnsi" w:cs="Times New Roman"/>
                <w:i w:val="0"/>
                <w:color w:val="000000"/>
                <w:sz w:val="18"/>
                <w:szCs w:val="18"/>
              </w:rPr>
              <w:t>Prices</w:t>
            </w:r>
          </w:p>
        </w:tc>
        <w:tc>
          <w:tcPr>
            <w:tcW w:w="1338" w:type="dxa"/>
            <w:tcBorders>
              <w:left w:val="nil"/>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57</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36</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7</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7</w:t>
            </w:r>
            <w:r w:rsidR="0083658D">
              <w:rPr>
                <w:rFonts w:asciiTheme="minorHAnsi" w:eastAsia="Times New Roman" w:hAnsiTheme="minorHAnsi" w:cs="Times New Roman"/>
                <w:i w:val="0"/>
                <w:color w:val="000000"/>
                <w:sz w:val="18"/>
                <w:szCs w:val="18"/>
              </w:rPr>
              <w:t>5</w:t>
            </w:r>
          </w:p>
        </w:tc>
        <w:tc>
          <w:tcPr>
            <w:tcW w:w="1276"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65</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A97C01" w:rsidP="00541E4C">
            <w:pPr>
              <w:rPr>
                <w:rFonts w:asciiTheme="minorHAnsi" w:eastAsia="Times New Roman" w:hAnsiTheme="minorHAnsi" w:cs="Times New Roman"/>
                <w:i w:val="0"/>
                <w:color w:val="000000"/>
                <w:sz w:val="18"/>
                <w:szCs w:val="18"/>
              </w:rPr>
            </w:pPr>
            <w:r w:rsidRPr="000A28AD">
              <w:rPr>
                <w:rFonts w:asciiTheme="minorHAnsi" w:eastAsia="Times New Roman" w:hAnsiTheme="minorHAnsi" w:cs="Times New Roman"/>
                <w:i w:val="0"/>
                <w:color w:val="000000"/>
                <w:sz w:val="18"/>
                <w:szCs w:val="18"/>
              </w:rPr>
              <w:t>Profits</w:t>
            </w:r>
          </w:p>
        </w:tc>
        <w:tc>
          <w:tcPr>
            <w:tcW w:w="1338" w:type="dxa"/>
            <w:tcBorders>
              <w:left w:val="nil"/>
              <w:bottom w:val="none" w:sz="0" w:space="0" w:color="auto"/>
            </w:tcBorders>
            <w:noWrap/>
            <w:hideMark/>
          </w:tcPr>
          <w:p w:rsidR="00A97C01" w:rsidRPr="000A28AD" w:rsidRDefault="0083658D"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34</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32</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34</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50</w:t>
            </w:r>
          </w:p>
        </w:tc>
        <w:tc>
          <w:tcPr>
            <w:tcW w:w="1276"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54</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A97C01" w:rsidP="00541E4C">
            <w:pPr>
              <w:rPr>
                <w:rFonts w:asciiTheme="minorHAnsi" w:eastAsia="Times New Roman" w:hAnsiTheme="minorHAnsi" w:cs="Times New Roman"/>
                <w:i w:val="0"/>
                <w:color w:val="000000"/>
                <w:sz w:val="18"/>
                <w:szCs w:val="18"/>
              </w:rPr>
            </w:pPr>
            <w:r w:rsidRPr="000A28AD">
              <w:rPr>
                <w:rFonts w:asciiTheme="minorHAnsi" w:eastAsia="Times New Roman" w:hAnsiTheme="minorHAnsi" w:cs="Times New Roman"/>
                <w:i w:val="0"/>
                <w:color w:val="000000"/>
                <w:sz w:val="18"/>
                <w:szCs w:val="18"/>
              </w:rPr>
              <w:t>Productivity</w:t>
            </w:r>
          </w:p>
        </w:tc>
        <w:tc>
          <w:tcPr>
            <w:tcW w:w="1338" w:type="dxa"/>
            <w:tcBorders>
              <w:left w:val="nil"/>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38</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49</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13</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97C01" w:rsidP="00E647F4">
            <w:pPr>
              <w:jc w:val="center"/>
              <w:rPr>
                <w:rFonts w:asciiTheme="minorHAnsi" w:eastAsia="Times New Roman" w:hAnsiTheme="minorHAnsi" w:cs="Times New Roman"/>
                <w:i w:val="0"/>
                <w:color w:val="000000"/>
                <w:sz w:val="18"/>
                <w:szCs w:val="18"/>
              </w:rPr>
            </w:pPr>
            <w:r w:rsidRPr="000A28AD">
              <w:rPr>
                <w:rFonts w:asciiTheme="minorHAnsi" w:eastAsia="Times New Roman" w:hAnsiTheme="minorHAnsi" w:cs="Times New Roman"/>
                <w:i w:val="0"/>
                <w:color w:val="000000"/>
                <w:sz w:val="18"/>
                <w:szCs w:val="18"/>
              </w:rPr>
              <w:t>6</w:t>
            </w:r>
            <w:r w:rsidR="00AE697F">
              <w:rPr>
                <w:rFonts w:asciiTheme="minorHAnsi" w:eastAsia="Times New Roman" w:hAnsiTheme="minorHAnsi" w:cs="Times New Roman"/>
                <w:i w:val="0"/>
                <w:color w:val="000000"/>
                <w:sz w:val="18"/>
                <w:szCs w:val="18"/>
              </w:rPr>
              <w:t>3</w:t>
            </w:r>
          </w:p>
        </w:tc>
        <w:tc>
          <w:tcPr>
            <w:tcW w:w="1276"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67</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single" w:sz="4" w:space="0" w:color="auto"/>
              <w:right w:val="nil"/>
            </w:tcBorders>
            <w:noWrap/>
            <w:hideMark/>
          </w:tcPr>
          <w:p w:rsidR="00A97C01" w:rsidRPr="000A28AD" w:rsidRDefault="00A97C01" w:rsidP="00541E4C">
            <w:pPr>
              <w:rPr>
                <w:rFonts w:asciiTheme="minorHAnsi" w:eastAsia="Times New Roman" w:hAnsiTheme="minorHAnsi" w:cs="Times New Roman"/>
                <w:i w:val="0"/>
                <w:color w:val="000000"/>
                <w:sz w:val="18"/>
                <w:szCs w:val="18"/>
              </w:rPr>
            </w:pPr>
            <w:r w:rsidRPr="000A28AD">
              <w:rPr>
                <w:rFonts w:asciiTheme="minorHAnsi" w:eastAsia="Times New Roman" w:hAnsiTheme="minorHAnsi" w:cs="Times New Roman"/>
                <w:i w:val="0"/>
                <w:color w:val="000000"/>
                <w:sz w:val="18"/>
                <w:szCs w:val="18"/>
              </w:rPr>
              <w:t>Exports</w:t>
            </w:r>
          </w:p>
        </w:tc>
        <w:tc>
          <w:tcPr>
            <w:tcW w:w="1338" w:type="dxa"/>
            <w:tcBorders>
              <w:left w:val="nil"/>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33</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49</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17</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58</w:t>
            </w:r>
          </w:p>
        </w:tc>
        <w:tc>
          <w:tcPr>
            <w:tcW w:w="1276" w:type="dxa"/>
            <w:tcBorders>
              <w:bottom w:val="none" w:sz="0" w:space="0" w:color="auto"/>
            </w:tcBorders>
            <w:noWrap/>
            <w:hideMark/>
          </w:tcPr>
          <w:p w:rsidR="00A97C01" w:rsidRPr="000A28AD" w:rsidRDefault="00AE697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57</w:t>
            </w:r>
          </w:p>
        </w:tc>
      </w:tr>
    </w:tbl>
    <w:p w:rsidR="00A97C01" w:rsidRDefault="00A97C01" w:rsidP="000A28AD">
      <w:pPr>
        <w:spacing w:after="0" w:line="120" w:lineRule="auto"/>
        <w:contextualSpacing/>
      </w:pPr>
    </w:p>
    <w:tbl>
      <w:tblPr>
        <w:tblStyle w:val="PlainTable4"/>
        <w:tblW w:w="10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Comparison Worker's Indicators, 2014-2015"/>
        <w:tblDescription w:val="Table comparing workers indicators 2014-2014-2015"/>
      </w:tblPr>
      <w:tblGrid>
        <w:gridCol w:w="2880"/>
        <w:gridCol w:w="902"/>
        <w:gridCol w:w="1334"/>
        <w:gridCol w:w="1350"/>
        <w:gridCol w:w="1350"/>
        <w:gridCol w:w="1350"/>
        <w:gridCol w:w="1355"/>
      </w:tblGrid>
      <w:tr w:rsidR="00E647F4" w:rsidRPr="000F78D4"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single" w:sz="4" w:space="0" w:color="auto"/>
              <w:right w:val="nil"/>
            </w:tcBorders>
            <w:shd w:val="clear" w:color="auto" w:fill="BDD6EE" w:themeFill="accent1" w:themeFillTint="66"/>
            <w:noWrap/>
            <w:hideMark/>
          </w:tcPr>
          <w:p w:rsidR="00A97C01" w:rsidRPr="000A28AD" w:rsidRDefault="00722892"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Labor i</w:t>
            </w:r>
            <w:r w:rsidR="00AE697F">
              <w:rPr>
                <w:rFonts w:ascii="Calibri" w:eastAsia="Times New Roman" w:hAnsi="Calibri" w:cs="Times New Roman"/>
                <w:color w:val="000000"/>
                <w:sz w:val="18"/>
                <w:szCs w:val="18"/>
              </w:rPr>
              <w:t>ndicators in 2018, compared to 2017</w:t>
            </w:r>
            <w:r w:rsidR="00531B2D" w:rsidRPr="000A28AD">
              <w:rPr>
                <w:rFonts w:ascii="Calibri" w:eastAsia="Times New Roman" w:hAnsi="Calibri" w:cs="Times New Roman"/>
                <w:color w:val="000000"/>
                <w:sz w:val="18"/>
                <w:szCs w:val="18"/>
              </w:rPr>
              <w:t>:</w:t>
            </w:r>
          </w:p>
        </w:tc>
        <w:tc>
          <w:tcPr>
            <w:tcW w:w="902" w:type="dxa"/>
            <w:tcBorders>
              <w:top w:val="single" w:sz="4" w:space="0" w:color="auto"/>
              <w:left w:val="nil"/>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0</w:t>
            </w:r>
            <w:r w:rsidR="00FF2E6D">
              <w:rPr>
                <w:rFonts w:ascii="Calibri" w:eastAsia="Times New Roman" w:hAnsi="Calibri" w:cs="Times New Roman"/>
                <w:color w:val="000000"/>
                <w:sz w:val="18"/>
                <w:szCs w:val="18"/>
              </w:rPr>
              <w:t>%</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1-2%</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6-9%</w:t>
            </w:r>
          </w:p>
        </w:tc>
        <w:tc>
          <w:tcPr>
            <w:tcW w:w="1355"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&gt;10%</w:t>
            </w:r>
          </w:p>
        </w:tc>
      </w:tr>
      <w:tr w:rsidR="001D0139" w:rsidRPr="000F78D4"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right w:val="nil"/>
            </w:tcBorders>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Wages per worker</w:t>
            </w:r>
          </w:p>
        </w:tc>
        <w:tc>
          <w:tcPr>
            <w:tcW w:w="902" w:type="dxa"/>
            <w:tcBorders>
              <w:top w:val="single" w:sz="4" w:space="0" w:color="auto"/>
              <w:left w:val="nil"/>
            </w:tcBorders>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2</w:t>
            </w:r>
            <w:r w:rsidR="00A97C01" w:rsidRPr="000A28AD">
              <w:rPr>
                <w:rFonts w:ascii="Calibri" w:eastAsia="Times New Roman" w:hAnsi="Calibri" w:cs="Times New Roman"/>
                <w:b w:val="0"/>
                <w:color w:val="000000"/>
                <w:sz w:val="18"/>
                <w:szCs w:val="18"/>
              </w:rPr>
              <w:t>%</w:t>
            </w:r>
          </w:p>
        </w:tc>
        <w:tc>
          <w:tcPr>
            <w:tcW w:w="1334" w:type="dxa"/>
            <w:tcBorders>
              <w:top w:val="single" w:sz="4" w:space="0" w:color="auto"/>
            </w:tcBorders>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7</w:t>
            </w:r>
            <w:r w:rsidR="00A97C01" w:rsidRPr="000A28AD">
              <w:rPr>
                <w:rFonts w:ascii="Calibri" w:eastAsia="Times New Roman" w:hAnsi="Calibri" w:cs="Times New Roman"/>
                <w:b w:val="0"/>
                <w:color w:val="000000"/>
                <w:sz w:val="18"/>
                <w:szCs w:val="18"/>
              </w:rPr>
              <w:t>%</w:t>
            </w:r>
          </w:p>
        </w:tc>
        <w:tc>
          <w:tcPr>
            <w:tcW w:w="1350" w:type="dxa"/>
            <w:tcBorders>
              <w:top w:val="single" w:sz="4" w:space="0" w:color="auto"/>
            </w:tcBorders>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24</w:t>
            </w:r>
            <w:r w:rsidR="00A97C01" w:rsidRPr="000A28AD">
              <w:rPr>
                <w:rFonts w:ascii="Calibri" w:eastAsia="Times New Roman" w:hAnsi="Calibri" w:cs="Times New Roman"/>
                <w:b w:val="0"/>
                <w:color w:val="000000"/>
                <w:sz w:val="18"/>
                <w:szCs w:val="18"/>
              </w:rPr>
              <w:t>%</w:t>
            </w:r>
          </w:p>
        </w:tc>
        <w:tc>
          <w:tcPr>
            <w:tcW w:w="1350" w:type="dxa"/>
            <w:tcBorders>
              <w:top w:val="single" w:sz="4" w:space="0" w:color="auto"/>
            </w:tcBorders>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59</w:t>
            </w:r>
            <w:r w:rsidR="00A97C01" w:rsidRPr="000A28AD">
              <w:rPr>
                <w:rFonts w:ascii="Calibri" w:eastAsia="Times New Roman" w:hAnsi="Calibri" w:cs="Times New Roman"/>
                <w:b w:val="0"/>
                <w:color w:val="000000"/>
                <w:sz w:val="18"/>
                <w:szCs w:val="18"/>
              </w:rPr>
              <w:t>%</w:t>
            </w:r>
          </w:p>
        </w:tc>
        <w:tc>
          <w:tcPr>
            <w:tcW w:w="1350" w:type="dxa"/>
            <w:tcBorders>
              <w:top w:val="single" w:sz="4" w:space="0" w:color="auto"/>
            </w:tcBorders>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5</w:t>
            </w:r>
            <w:r w:rsidR="00A97C01" w:rsidRPr="000A28AD">
              <w:rPr>
                <w:rFonts w:ascii="Calibri" w:eastAsia="Times New Roman" w:hAnsi="Calibri" w:cs="Times New Roman"/>
                <w:b w:val="0"/>
                <w:color w:val="000000"/>
                <w:sz w:val="18"/>
                <w:szCs w:val="18"/>
              </w:rPr>
              <w:t>%</w:t>
            </w:r>
          </w:p>
        </w:tc>
        <w:tc>
          <w:tcPr>
            <w:tcW w:w="1355" w:type="dxa"/>
            <w:tcBorders>
              <w:top w:val="single" w:sz="4" w:space="0" w:color="auto"/>
            </w:tcBorders>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3</w:t>
            </w:r>
            <w:r w:rsidR="00A97C01" w:rsidRPr="000A28AD">
              <w:rPr>
                <w:rFonts w:ascii="Calibri" w:eastAsia="Times New Roman" w:hAnsi="Calibri" w:cs="Times New Roman"/>
                <w:b w:val="0"/>
                <w:color w:val="000000"/>
                <w:sz w:val="18"/>
                <w:szCs w:val="18"/>
              </w:rPr>
              <w:t>%</w:t>
            </w:r>
          </w:p>
        </w:tc>
      </w:tr>
      <w:tr w:rsidR="00E647F4" w:rsidRPr="000F78D4"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right w:val="nil"/>
            </w:tcBorders>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Benefits per worker</w:t>
            </w:r>
          </w:p>
        </w:tc>
        <w:tc>
          <w:tcPr>
            <w:tcW w:w="902" w:type="dxa"/>
            <w:tcBorders>
              <w:left w:val="nil"/>
            </w:tcBorders>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2</w:t>
            </w:r>
            <w:r w:rsidR="00A97C01" w:rsidRPr="000A28AD">
              <w:rPr>
                <w:rFonts w:ascii="Calibri" w:eastAsia="Times New Roman" w:hAnsi="Calibri" w:cs="Times New Roman"/>
                <w:b w:val="0"/>
                <w:color w:val="000000"/>
                <w:sz w:val="18"/>
                <w:szCs w:val="18"/>
              </w:rPr>
              <w:t>%</w:t>
            </w:r>
          </w:p>
        </w:tc>
        <w:tc>
          <w:tcPr>
            <w:tcW w:w="1334" w:type="dxa"/>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27</w:t>
            </w:r>
            <w:r w:rsidR="00A97C01" w:rsidRPr="000A28AD">
              <w:rPr>
                <w:rFonts w:ascii="Calibri" w:eastAsia="Times New Roman" w:hAnsi="Calibri" w:cs="Times New Roman"/>
                <w:b w:val="0"/>
                <w:color w:val="000000"/>
                <w:sz w:val="18"/>
                <w:szCs w:val="18"/>
              </w:rPr>
              <w:t>%</w:t>
            </w:r>
          </w:p>
        </w:tc>
        <w:tc>
          <w:tcPr>
            <w:tcW w:w="1350" w:type="dxa"/>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21</w:t>
            </w:r>
            <w:r w:rsidR="00A97C01" w:rsidRPr="000A28AD">
              <w:rPr>
                <w:rFonts w:ascii="Calibri" w:eastAsia="Times New Roman" w:hAnsi="Calibri" w:cs="Times New Roman"/>
                <w:b w:val="0"/>
                <w:color w:val="000000"/>
                <w:sz w:val="18"/>
                <w:szCs w:val="18"/>
              </w:rPr>
              <w:t>%</w:t>
            </w:r>
          </w:p>
        </w:tc>
        <w:tc>
          <w:tcPr>
            <w:tcW w:w="1350" w:type="dxa"/>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31</w:t>
            </w:r>
            <w:r w:rsidR="00A97C01" w:rsidRPr="000A28AD">
              <w:rPr>
                <w:rFonts w:ascii="Calibri" w:eastAsia="Times New Roman" w:hAnsi="Calibri" w:cs="Times New Roman"/>
                <w:b w:val="0"/>
                <w:color w:val="000000"/>
                <w:sz w:val="18"/>
                <w:szCs w:val="18"/>
              </w:rPr>
              <w:t>%</w:t>
            </w:r>
          </w:p>
        </w:tc>
        <w:tc>
          <w:tcPr>
            <w:tcW w:w="1350" w:type="dxa"/>
            <w:noWrap/>
            <w:hideMark/>
          </w:tcPr>
          <w:p w:rsidR="00A97C01" w:rsidRPr="000A28AD" w:rsidRDefault="00AE697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9</w:t>
            </w:r>
            <w:r w:rsidR="00A97C01" w:rsidRPr="000A28AD">
              <w:rPr>
                <w:rFonts w:ascii="Calibri" w:eastAsia="Times New Roman" w:hAnsi="Calibri" w:cs="Times New Roman"/>
                <w:b w:val="0"/>
                <w:color w:val="000000"/>
                <w:sz w:val="18"/>
                <w:szCs w:val="18"/>
              </w:rPr>
              <w:t>%</w:t>
            </w:r>
          </w:p>
        </w:tc>
        <w:tc>
          <w:tcPr>
            <w:tcW w:w="1355" w:type="dxa"/>
            <w:noWrap/>
            <w:hideMark/>
          </w:tcPr>
          <w:p w:rsidR="00A97C01" w:rsidRPr="000A28AD" w:rsidRDefault="00AC7444"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10</w:t>
            </w:r>
            <w:r w:rsidR="00A97C01" w:rsidRPr="000A28AD">
              <w:rPr>
                <w:rFonts w:ascii="Calibri" w:eastAsia="Times New Roman" w:hAnsi="Calibri" w:cs="Times New Roman"/>
                <w:b w:val="0"/>
                <w:color w:val="000000"/>
                <w:sz w:val="18"/>
                <w:szCs w:val="18"/>
              </w:rPr>
              <w:t>%</w:t>
            </w:r>
          </w:p>
        </w:tc>
      </w:tr>
    </w:tbl>
    <w:p w:rsidR="00A97C01" w:rsidRDefault="00A97C01" w:rsidP="000A28AD">
      <w:pPr>
        <w:spacing w:after="0" w:line="120" w:lineRule="auto"/>
      </w:pPr>
    </w:p>
    <w:tbl>
      <w:tblPr>
        <w:tblStyle w:val="PlainTable4"/>
        <w:tblW w:w="10530" w:type="dxa"/>
        <w:jc w:val="center"/>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Caption w:val="Business Expectations for 2016"/>
        <w:tblDescription w:val="Table showing Business Expectations for 2016."/>
      </w:tblPr>
      <w:tblGrid>
        <w:gridCol w:w="3775"/>
        <w:gridCol w:w="1440"/>
        <w:gridCol w:w="1350"/>
        <w:gridCol w:w="1260"/>
        <w:gridCol w:w="1350"/>
        <w:gridCol w:w="1355"/>
      </w:tblGrid>
      <w:tr w:rsidR="00A97C01" w:rsidRPr="000A28AD"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bottom w:val="single" w:sz="4" w:space="0" w:color="auto"/>
            </w:tcBorders>
            <w:shd w:val="clear" w:color="auto" w:fill="BDD6EE" w:themeFill="accent1" w:themeFillTint="66"/>
            <w:noWrap/>
            <w:hideMark/>
          </w:tcPr>
          <w:p w:rsidR="00A97C01" w:rsidRPr="000A28AD" w:rsidRDefault="00722892"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Expected business i</w:t>
            </w:r>
            <w:r w:rsidR="00D12433">
              <w:rPr>
                <w:rFonts w:ascii="Calibri" w:eastAsia="Times New Roman" w:hAnsi="Calibri" w:cs="Times New Roman"/>
                <w:color w:val="000000"/>
                <w:sz w:val="18"/>
                <w:szCs w:val="18"/>
              </w:rPr>
              <w:t>ndicators in 2019, compared to 2018</w:t>
            </w:r>
            <w:r w:rsidR="001A1D64" w:rsidRPr="000A28AD">
              <w:rPr>
                <w:rFonts w:ascii="Calibri" w:eastAsia="Times New Roman" w:hAnsi="Calibri" w:cs="Times New Roman"/>
                <w:color w:val="000000"/>
                <w:sz w:val="18"/>
                <w:szCs w:val="18"/>
              </w:rPr>
              <w:t>:</w:t>
            </w:r>
          </w:p>
        </w:tc>
        <w:tc>
          <w:tcPr>
            <w:tcW w:w="144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Up</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Same</w:t>
            </w:r>
          </w:p>
        </w:tc>
        <w:tc>
          <w:tcPr>
            <w:tcW w:w="126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Down</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5B79AC"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Diffusion Index 2018</w:t>
            </w:r>
            <w:r w:rsidR="00AE0EFF" w:rsidRPr="000A28AD">
              <w:rPr>
                <w:rFonts w:ascii="Calibri" w:eastAsia="Times New Roman" w:hAnsi="Calibri" w:cs="Times New Roman"/>
                <w:color w:val="000000"/>
                <w:sz w:val="18"/>
                <w:szCs w:val="18"/>
                <w:vertAlign w:val="superscript"/>
              </w:rPr>
              <w:t>(2)</w:t>
            </w:r>
          </w:p>
        </w:tc>
        <w:tc>
          <w:tcPr>
            <w:tcW w:w="1355" w:type="dxa"/>
            <w:tcBorders>
              <w:top w:val="single" w:sz="4" w:space="0" w:color="auto"/>
              <w:bottom w:val="single" w:sz="4" w:space="0" w:color="auto"/>
            </w:tcBorders>
            <w:shd w:val="clear" w:color="auto" w:fill="BDD6EE" w:themeFill="accent1" w:themeFillTint="66"/>
            <w:noWrap/>
            <w:hideMark/>
          </w:tcPr>
          <w:p w:rsidR="00A97C01" w:rsidRPr="000A28AD" w:rsidRDefault="005B79AC"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Diffusion Index 2017</w:t>
            </w:r>
            <w:r w:rsidR="00AE0EFF" w:rsidRPr="000A28AD">
              <w:rPr>
                <w:rFonts w:ascii="Calibri" w:eastAsia="Times New Roman" w:hAnsi="Calibri" w:cs="Times New Roman"/>
                <w:color w:val="000000"/>
                <w:sz w:val="18"/>
                <w:szCs w:val="18"/>
                <w:vertAlign w:val="superscript"/>
              </w:rPr>
              <w:t>(2)</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Number of orders</w:t>
            </w:r>
          </w:p>
        </w:tc>
        <w:tc>
          <w:tcPr>
            <w:tcW w:w="1440" w:type="dxa"/>
            <w:tcBorders>
              <w:top w:val="single" w:sz="4" w:space="0" w:color="auto"/>
            </w:tcBorders>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47</w:t>
            </w:r>
            <w:r w:rsidR="00A97C01" w:rsidRPr="000A28AD">
              <w:rPr>
                <w:rFonts w:ascii="Calibri" w:eastAsia="Times New Roman" w:hAnsi="Calibri" w:cs="Times New Roman"/>
                <w:color w:val="000000"/>
                <w:sz w:val="18"/>
                <w:szCs w:val="18"/>
              </w:rPr>
              <w:t>%</w:t>
            </w:r>
          </w:p>
        </w:tc>
        <w:tc>
          <w:tcPr>
            <w:tcW w:w="1350" w:type="dxa"/>
            <w:tcBorders>
              <w:top w:val="single" w:sz="4" w:space="0" w:color="auto"/>
            </w:tcBorders>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43</w:t>
            </w:r>
            <w:r w:rsidR="00A97C01" w:rsidRPr="000A28AD">
              <w:rPr>
                <w:rFonts w:ascii="Calibri" w:eastAsia="Times New Roman" w:hAnsi="Calibri" w:cs="Times New Roman"/>
                <w:color w:val="000000"/>
                <w:sz w:val="18"/>
                <w:szCs w:val="18"/>
              </w:rPr>
              <w:t>%</w:t>
            </w:r>
          </w:p>
        </w:tc>
        <w:tc>
          <w:tcPr>
            <w:tcW w:w="1260" w:type="dxa"/>
            <w:tcBorders>
              <w:top w:val="single" w:sz="4" w:space="0" w:color="auto"/>
            </w:tcBorders>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00A97C01" w:rsidRPr="000A28AD">
              <w:rPr>
                <w:rFonts w:ascii="Calibri" w:eastAsia="Times New Roman" w:hAnsi="Calibri" w:cs="Times New Roman"/>
                <w:color w:val="000000"/>
                <w:sz w:val="18"/>
                <w:szCs w:val="18"/>
              </w:rPr>
              <w:t>%</w:t>
            </w:r>
          </w:p>
        </w:tc>
        <w:tc>
          <w:tcPr>
            <w:tcW w:w="1350" w:type="dxa"/>
            <w:tcBorders>
              <w:top w:val="single" w:sz="4" w:space="0" w:color="auto"/>
            </w:tcBorders>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69</w:t>
            </w:r>
          </w:p>
        </w:tc>
        <w:tc>
          <w:tcPr>
            <w:tcW w:w="1355" w:type="dxa"/>
            <w:tcBorders>
              <w:top w:val="single" w:sz="4" w:space="0" w:color="auto"/>
            </w:tcBorders>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83658D">
              <w:rPr>
                <w:rFonts w:ascii="Calibri" w:eastAsia="Times New Roman" w:hAnsi="Calibri" w:cs="Times New Roman"/>
                <w:color w:val="000000"/>
                <w:sz w:val="18"/>
                <w:szCs w:val="18"/>
              </w:rPr>
              <w:t>7</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Product/service production level</w:t>
            </w:r>
          </w:p>
        </w:tc>
        <w:tc>
          <w:tcPr>
            <w:tcW w:w="144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47</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47</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71</w:t>
            </w:r>
          </w:p>
        </w:tc>
        <w:tc>
          <w:tcPr>
            <w:tcW w:w="1355"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75</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Employment level</w:t>
            </w:r>
          </w:p>
        </w:tc>
        <w:tc>
          <w:tcPr>
            <w:tcW w:w="144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33</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61</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64</w:t>
            </w:r>
          </w:p>
        </w:tc>
        <w:tc>
          <w:tcPr>
            <w:tcW w:w="1355"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70</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Investment in plant/equipment</w:t>
            </w:r>
          </w:p>
        </w:tc>
        <w:tc>
          <w:tcPr>
            <w:tcW w:w="144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36</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51</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62</w:t>
            </w:r>
          </w:p>
        </w:tc>
        <w:tc>
          <w:tcPr>
            <w:tcW w:w="1355"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66</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Prices</w:t>
            </w:r>
          </w:p>
        </w:tc>
        <w:tc>
          <w:tcPr>
            <w:tcW w:w="144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53</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42</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846BD5"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74</w:t>
            </w:r>
          </w:p>
        </w:tc>
        <w:tc>
          <w:tcPr>
            <w:tcW w:w="1355"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70</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Profits</w:t>
            </w:r>
          </w:p>
        </w:tc>
        <w:tc>
          <w:tcPr>
            <w:tcW w:w="144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42</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41</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17</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63</w:t>
            </w:r>
          </w:p>
        </w:tc>
        <w:tc>
          <w:tcPr>
            <w:tcW w:w="1355"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67</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Productivity</w:t>
            </w:r>
          </w:p>
        </w:tc>
        <w:tc>
          <w:tcPr>
            <w:tcW w:w="144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51</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42</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72</w:t>
            </w:r>
          </w:p>
        </w:tc>
        <w:tc>
          <w:tcPr>
            <w:tcW w:w="1355"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74</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Exports</w:t>
            </w:r>
          </w:p>
        </w:tc>
        <w:tc>
          <w:tcPr>
            <w:tcW w:w="144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33</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53</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83658D"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60</w:t>
            </w:r>
          </w:p>
        </w:tc>
        <w:tc>
          <w:tcPr>
            <w:tcW w:w="1355" w:type="dxa"/>
            <w:noWrap/>
            <w:hideMark/>
          </w:tcPr>
          <w:p w:rsidR="00A97C01" w:rsidRPr="000A28AD" w:rsidRDefault="00D1243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60</w:t>
            </w:r>
          </w:p>
        </w:tc>
      </w:tr>
    </w:tbl>
    <w:p w:rsidR="00A97C01" w:rsidRPr="000A28AD" w:rsidRDefault="00A97C01" w:rsidP="000A28AD">
      <w:pPr>
        <w:spacing w:after="0" w:line="120" w:lineRule="auto"/>
        <w:rPr>
          <w:sz w:val="18"/>
          <w:szCs w:val="18"/>
        </w:rPr>
      </w:pPr>
    </w:p>
    <w:tbl>
      <w:tblPr>
        <w:tblStyle w:val="PlainTable4"/>
        <w:tblW w:w="10526"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Indicators for Worker's Expectations, 2016'"/>
        <w:tblDescription w:val="Table showing indicators for Worker's expectations for 2016."/>
      </w:tblPr>
      <w:tblGrid>
        <w:gridCol w:w="2885"/>
        <w:gridCol w:w="902"/>
        <w:gridCol w:w="1334"/>
        <w:gridCol w:w="1440"/>
        <w:gridCol w:w="1170"/>
        <w:gridCol w:w="1350"/>
        <w:gridCol w:w="1445"/>
      </w:tblGrid>
      <w:tr w:rsidR="00E647F4" w:rsidRPr="00C2294E"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2885" w:type="dxa"/>
            <w:tcBorders>
              <w:top w:val="single" w:sz="4" w:space="0" w:color="auto"/>
              <w:bottom w:val="single" w:sz="4" w:space="0" w:color="auto"/>
            </w:tcBorders>
            <w:shd w:val="clear" w:color="auto" w:fill="BDD6EE" w:themeFill="accent1" w:themeFillTint="66"/>
            <w:noWrap/>
            <w:hideMark/>
          </w:tcPr>
          <w:p w:rsidR="00A97C01" w:rsidRPr="000A28AD" w:rsidRDefault="000A28AD" w:rsidP="000A28A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Expected l</w:t>
            </w:r>
            <w:r w:rsidR="00722892" w:rsidRPr="000A28AD">
              <w:rPr>
                <w:rFonts w:ascii="Calibri" w:eastAsia="Times New Roman" w:hAnsi="Calibri" w:cs="Times New Roman"/>
                <w:color w:val="000000"/>
                <w:sz w:val="18"/>
                <w:szCs w:val="18"/>
              </w:rPr>
              <w:t>abor i</w:t>
            </w:r>
            <w:r w:rsidR="005B79AC">
              <w:rPr>
                <w:rFonts w:ascii="Calibri" w:eastAsia="Times New Roman" w:hAnsi="Calibri" w:cs="Times New Roman"/>
                <w:color w:val="000000"/>
                <w:sz w:val="18"/>
                <w:szCs w:val="18"/>
              </w:rPr>
              <w:t>ndicators in 2019, compared to 2018</w:t>
            </w:r>
            <w:r w:rsidR="00531B2D" w:rsidRPr="000A28AD">
              <w:rPr>
                <w:rFonts w:ascii="Calibri" w:eastAsia="Times New Roman" w:hAnsi="Calibri" w:cs="Times New Roman"/>
                <w:color w:val="000000"/>
                <w:sz w:val="18"/>
                <w:szCs w:val="18"/>
              </w:rPr>
              <w:t>:</w:t>
            </w:r>
          </w:p>
        </w:tc>
        <w:tc>
          <w:tcPr>
            <w:tcW w:w="902"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0</w:t>
            </w:r>
            <w:r w:rsidR="00FF2E6D">
              <w:rPr>
                <w:rFonts w:ascii="Calibri" w:eastAsia="Times New Roman" w:hAnsi="Calibri" w:cs="Times New Roman"/>
                <w:color w:val="000000"/>
                <w:sz w:val="18"/>
                <w:szCs w:val="18"/>
              </w:rPr>
              <w:t>%</w:t>
            </w:r>
          </w:p>
        </w:tc>
        <w:tc>
          <w:tcPr>
            <w:tcW w:w="144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1-2%</w:t>
            </w:r>
          </w:p>
        </w:tc>
        <w:tc>
          <w:tcPr>
            <w:tcW w:w="117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6-9%</w:t>
            </w:r>
          </w:p>
        </w:tc>
        <w:tc>
          <w:tcPr>
            <w:tcW w:w="1445"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&gt;10%</w:t>
            </w:r>
          </w:p>
        </w:tc>
      </w:tr>
      <w:tr w:rsidR="00E647F4" w:rsidRPr="00C2294E" w:rsidTr="005B79AC">
        <w:trPr>
          <w:trHeight w:val="144"/>
          <w:jc w:val="center"/>
        </w:trPr>
        <w:tc>
          <w:tcPr>
            <w:tcW w:w="2885" w:type="dxa"/>
            <w:tcBorders>
              <w:top w:val="single" w:sz="4" w:space="0" w:color="auto"/>
              <w:bottom w:val="nil"/>
            </w:tcBorders>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Wages per worker</w:t>
            </w:r>
          </w:p>
        </w:tc>
        <w:tc>
          <w:tcPr>
            <w:tcW w:w="902" w:type="dxa"/>
            <w:tcBorders>
              <w:top w:val="single" w:sz="4" w:space="0" w:color="auto"/>
              <w:bottom w:val="nil"/>
            </w:tcBorders>
            <w:noWrap/>
            <w:hideMark/>
          </w:tcPr>
          <w:p w:rsidR="00A97C01" w:rsidRPr="000A28AD" w:rsidRDefault="00C37B1A"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A97C01" w:rsidRPr="000A28AD">
              <w:rPr>
                <w:rFonts w:ascii="Calibri" w:eastAsia="Times New Roman" w:hAnsi="Calibri" w:cs="Times New Roman"/>
                <w:color w:val="000000"/>
                <w:sz w:val="18"/>
                <w:szCs w:val="18"/>
              </w:rPr>
              <w:t>%</w:t>
            </w:r>
          </w:p>
        </w:tc>
        <w:tc>
          <w:tcPr>
            <w:tcW w:w="1334" w:type="dxa"/>
            <w:tcBorders>
              <w:top w:val="single" w:sz="4" w:space="0" w:color="auto"/>
              <w:bottom w:val="nil"/>
            </w:tcBorders>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A97C01" w:rsidRPr="000A28AD">
              <w:rPr>
                <w:rFonts w:ascii="Calibri" w:eastAsia="Times New Roman" w:hAnsi="Calibri" w:cs="Times New Roman"/>
                <w:color w:val="000000"/>
                <w:sz w:val="18"/>
                <w:szCs w:val="18"/>
              </w:rPr>
              <w:t>%</w:t>
            </w:r>
          </w:p>
        </w:tc>
        <w:tc>
          <w:tcPr>
            <w:tcW w:w="1440" w:type="dxa"/>
            <w:tcBorders>
              <w:top w:val="single" w:sz="4" w:space="0" w:color="auto"/>
            </w:tcBorders>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28</w:t>
            </w:r>
            <w:r w:rsidR="00A97C01" w:rsidRPr="000A28AD">
              <w:rPr>
                <w:rFonts w:ascii="Calibri" w:eastAsia="Times New Roman" w:hAnsi="Calibri" w:cs="Times New Roman"/>
                <w:color w:val="000000"/>
                <w:sz w:val="18"/>
                <w:szCs w:val="18"/>
              </w:rPr>
              <w:t>%</w:t>
            </w:r>
          </w:p>
        </w:tc>
        <w:tc>
          <w:tcPr>
            <w:tcW w:w="1170" w:type="dxa"/>
            <w:tcBorders>
              <w:top w:val="single" w:sz="4" w:space="0" w:color="auto"/>
            </w:tcBorders>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58</w:t>
            </w:r>
            <w:r w:rsidR="00A97C01" w:rsidRPr="000A28AD">
              <w:rPr>
                <w:rFonts w:ascii="Calibri" w:eastAsia="Times New Roman" w:hAnsi="Calibri" w:cs="Times New Roman"/>
                <w:color w:val="000000"/>
                <w:sz w:val="18"/>
                <w:szCs w:val="18"/>
              </w:rPr>
              <w:t>%</w:t>
            </w:r>
          </w:p>
        </w:tc>
        <w:tc>
          <w:tcPr>
            <w:tcW w:w="1350" w:type="dxa"/>
            <w:tcBorders>
              <w:top w:val="single" w:sz="4" w:space="0" w:color="auto"/>
            </w:tcBorders>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A97C01" w:rsidRPr="000A28AD">
              <w:rPr>
                <w:rFonts w:ascii="Calibri" w:eastAsia="Times New Roman" w:hAnsi="Calibri" w:cs="Times New Roman"/>
                <w:color w:val="000000"/>
                <w:sz w:val="18"/>
                <w:szCs w:val="18"/>
              </w:rPr>
              <w:t>%</w:t>
            </w:r>
          </w:p>
        </w:tc>
        <w:tc>
          <w:tcPr>
            <w:tcW w:w="1445" w:type="dxa"/>
            <w:tcBorders>
              <w:top w:val="single" w:sz="4" w:space="0" w:color="auto"/>
            </w:tcBorders>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A97C01" w:rsidRPr="000A28AD">
              <w:rPr>
                <w:rFonts w:ascii="Calibri" w:eastAsia="Times New Roman" w:hAnsi="Calibri" w:cs="Times New Roman"/>
                <w:color w:val="000000"/>
                <w:sz w:val="18"/>
                <w:szCs w:val="18"/>
              </w:rPr>
              <w:t>%</w:t>
            </w:r>
          </w:p>
        </w:tc>
      </w:tr>
      <w:tr w:rsidR="00E647F4" w:rsidRPr="00C2294E" w:rsidTr="005B79AC">
        <w:trPr>
          <w:trHeight w:val="144"/>
          <w:jc w:val="center"/>
        </w:trPr>
        <w:tc>
          <w:tcPr>
            <w:tcW w:w="2885" w:type="dxa"/>
            <w:tcBorders>
              <w:top w:val="nil"/>
              <w:bottom w:val="single" w:sz="4" w:space="0" w:color="auto"/>
            </w:tcBorders>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Benefits per worker</w:t>
            </w:r>
          </w:p>
        </w:tc>
        <w:tc>
          <w:tcPr>
            <w:tcW w:w="902" w:type="dxa"/>
            <w:tcBorders>
              <w:top w:val="nil"/>
              <w:bottom w:val="single" w:sz="4" w:space="0" w:color="auto"/>
            </w:tcBorders>
            <w:noWrap/>
            <w:hideMark/>
          </w:tcPr>
          <w:p w:rsidR="00A97C01" w:rsidRPr="000A28AD" w:rsidRDefault="0083658D"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A97C01" w:rsidRPr="000A28AD">
              <w:rPr>
                <w:rFonts w:ascii="Calibri" w:eastAsia="Times New Roman" w:hAnsi="Calibri" w:cs="Times New Roman"/>
                <w:color w:val="000000"/>
                <w:sz w:val="18"/>
                <w:szCs w:val="18"/>
              </w:rPr>
              <w:t>%</w:t>
            </w:r>
          </w:p>
        </w:tc>
        <w:tc>
          <w:tcPr>
            <w:tcW w:w="1334" w:type="dxa"/>
            <w:tcBorders>
              <w:top w:val="nil"/>
              <w:bottom w:val="single" w:sz="4" w:space="0" w:color="auto"/>
            </w:tcBorders>
            <w:noWrap/>
            <w:hideMark/>
          </w:tcPr>
          <w:p w:rsidR="00A97C01" w:rsidRPr="000A28AD" w:rsidRDefault="0083658D"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27</w:t>
            </w:r>
            <w:r w:rsidR="00A97C01" w:rsidRPr="000A28AD">
              <w:rPr>
                <w:rFonts w:ascii="Calibri" w:eastAsia="Times New Roman" w:hAnsi="Calibri" w:cs="Times New Roman"/>
                <w:color w:val="000000"/>
                <w:sz w:val="18"/>
                <w:szCs w:val="18"/>
              </w:rPr>
              <w:t>%</w:t>
            </w:r>
          </w:p>
        </w:tc>
        <w:tc>
          <w:tcPr>
            <w:tcW w:w="1440" w:type="dxa"/>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24</w:t>
            </w:r>
            <w:r w:rsidR="00A97C01" w:rsidRPr="000A28AD">
              <w:rPr>
                <w:rFonts w:ascii="Calibri" w:eastAsia="Times New Roman" w:hAnsi="Calibri" w:cs="Times New Roman"/>
                <w:color w:val="000000"/>
                <w:sz w:val="18"/>
                <w:szCs w:val="18"/>
              </w:rPr>
              <w:t>%</w:t>
            </w:r>
          </w:p>
        </w:tc>
        <w:tc>
          <w:tcPr>
            <w:tcW w:w="1170" w:type="dxa"/>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33</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00A97C01" w:rsidRPr="000A28AD">
              <w:rPr>
                <w:rFonts w:ascii="Calibri" w:eastAsia="Times New Roman" w:hAnsi="Calibri" w:cs="Times New Roman"/>
                <w:color w:val="000000"/>
                <w:sz w:val="18"/>
                <w:szCs w:val="18"/>
              </w:rPr>
              <w:t>%</w:t>
            </w:r>
          </w:p>
        </w:tc>
        <w:tc>
          <w:tcPr>
            <w:tcW w:w="1445" w:type="dxa"/>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A97C01" w:rsidRPr="000A28AD">
              <w:rPr>
                <w:rFonts w:ascii="Calibri" w:eastAsia="Times New Roman" w:hAnsi="Calibri" w:cs="Times New Roman"/>
                <w:color w:val="000000"/>
                <w:sz w:val="18"/>
                <w:szCs w:val="18"/>
              </w:rPr>
              <w:t>%</w:t>
            </w:r>
          </w:p>
        </w:tc>
      </w:tr>
    </w:tbl>
    <w:p w:rsidR="00A97C01" w:rsidRDefault="00A97C01" w:rsidP="000A28AD">
      <w:pPr>
        <w:spacing w:after="0" w:line="120" w:lineRule="auto"/>
      </w:pPr>
    </w:p>
    <w:tbl>
      <w:tblPr>
        <w:tblStyle w:val="PlainTable4"/>
        <w:tblW w:w="10445"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Economic Outlook for the next year"/>
        <w:tblDescription w:val="Table showing outlook indivators for next year"/>
      </w:tblPr>
      <w:tblGrid>
        <w:gridCol w:w="3780"/>
        <w:gridCol w:w="1252"/>
        <w:gridCol w:w="1293"/>
        <w:gridCol w:w="1561"/>
        <w:gridCol w:w="1204"/>
        <w:gridCol w:w="1355"/>
      </w:tblGrid>
      <w:tr w:rsidR="001D0139" w:rsidRPr="00623BC4"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780" w:type="dxa"/>
            <w:tcBorders>
              <w:top w:val="single" w:sz="4" w:space="0" w:color="auto"/>
              <w:bottom w:val="single" w:sz="4" w:space="0" w:color="auto"/>
            </w:tcBorders>
            <w:shd w:val="clear" w:color="auto" w:fill="BDD6EE" w:themeFill="accent1" w:themeFillTint="66"/>
            <w:noWrap/>
            <w:hideMark/>
          </w:tcPr>
          <w:p w:rsidR="00A97C01" w:rsidRPr="000A28AD" w:rsidRDefault="00531B2D"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Expected</w:t>
            </w:r>
            <w:r w:rsidR="00BE474F" w:rsidRPr="000A28AD">
              <w:rPr>
                <w:rFonts w:ascii="Calibri" w:eastAsia="Times New Roman" w:hAnsi="Calibri" w:cs="Times New Roman"/>
                <w:color w:val="000000"/>
                <w:sz w:val="18"/>
                <w:szCs w:val="18"/>
              </w:rPr>
              <w:t xml:space="preserve"> outlook on the following state economic indicators during the next year: </w:t>
            </w:r>
          </w:p>
        </w:tc>
        <w:tc>
          <w:tcPr>
            <w:tcW w:w="1252"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Up</w:t>
            </w:r>
          </w:p>
        </w:tc>
        <w:tc>
          <w:tcPr>
            <w:tcW w:w="1293"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Same</w:t>
            </w:r>
          </w:p>
        </w:tc>
        <w:tc>
          <w:tcPr>
            <w:tcW w:w="1561"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Down</w:t>
            </w:r>
          </w:p>
        </w:tc>
        <w:tc>
          <w:tcPr>
            <w:tcW w:w="1204" w:type="dxa"/>
            <w:tcBorders>
              <w:top w:val="single" w:sz="4" w:space="0" w:color="auto"/>
              <w:bottom w:val="single" w:sz="4" w:space="0" w:color="auto"/>
            </w:tcBorders>
            <w:shd w:val="clear" w:color="auto" w:fill="BDD6EE" w:themeFill="accent1" w:themeFillTint="66"/>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Diffusion Index 2018</w:t>
            </w:r>
            <w:r w:rsidR="00AE0EFF" w:rsidRPr="000A28AD">
              <w:rPr>
                <w:rFonts w:ascii="Calibri" w:eastAsia="Times New Roman" w:hAnsi="Calibri" w:cs="Times New Roman"/>
                <w:color w:val="000000"/>
                <w:sz w:val="18"/>
                <w:szCs w:val="18"/>
                <w:vertAlign w:val="superscript"/>
              </w:rPr>
              <w:t>(2)</w:t>
            </w:r>
          </w:p>
        </w:tc>
        <w:tc>
          <w:tcPr>
            <w:tcW w:w="1355" w:type="dxa"/>
            <w:tcBorders>
              <w:top w:val="single" w:sz="4" w:space="0" w:color="auto"/>
              <w:bottom w:val="single" w:sz="4" w:space="0" w:color="auto"/>
            </w:tcBorders>
            <w:shd w:val="clear" w:color="auto" w:fill="BDD6EE" w:themeFill="accent1" w:themeFillTint="66"/>
            <w:noWrap/>
            <w:hideMark/>
          </w:tcPr>
          <w:p w:rsidR="00A97C01" w:rsidRPr="000A28AD" w:rsidRDefault="005B79AC"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Diffusion Index 2017</w:t>
            </w:r>
            <w:r w:rsidR="00AE0EFF" w:rsidRPr="000A28AD">
              <w:rPr>
                <w:rFonts w:ascii="Calibri" w:eastAsia="Times New Roman" w:hAnsi="Calibri" w:cs="Times New Roman"/>
                <w:color w:val="000000"/>
                <w:sz w:val="18"/>
                <w:szCs w:val="18"/>
                <w:vertAlign w:val="superscript"/>
              </w:rPr>
              <w:t>(2)</w:t>
            </w:r>
          </w:p>
        </w:tc>
      </w:tr>
      <w:tr w:rsidR="001D0139" w:rsidRPr="00623BC4" w:rsidTr="000A28AD">
        <w:trPr>
          <w:trHeight w:val="144"/>
          <w:jc w:val="center"/>
        </w:trPr>
        <w:tc>
          <w:tcPr>
            <w:tcW w:w="3780" w:type="dxa"/>
            <w:tcBorders>
              <w:top w:val="single" w:sz="4" w:space="0" w:color="auto"/>
            </w:tcBorders>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Business Inv.</w:t>
            </w:r>
          </w:p>
        </w:tc>
        <w:tc>
          <w:tcPr>
            <w:tcW w:w="1252" w:type="dxa"/>
            <w:tcBorders>
              <w:top w:val="single" w:sz="4" w:space="0" w:color="auto"/>
            </w:tcBorders>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31</w:t>
            </w:r>
            <w:r w:rsidR="00A97C01" w:rsidRPr="000A28AD">
              <w:rPr>
                <w:rFonts w:ascii="Calibri" w:eastAsia="Times New Roman" w:hAnsi="Calibri" w:cs="Times New Roman"/>
                <w:color w:val="000000"/>
                <w:sz w:val="18"/>
                <w:szCs w:val="18"/>
              </w:rPr>
              <w:t>%</w:t>
            </w:r>
          </w:p>
        </w:tc>
        <w:tc>
          <w:tcPr>
            <w:tcW w:w="1293" w:type="dxa"/>
            <w:tcBorders>
              <w:top w:val="single" w:sz="4" w:space="0" w:color="auto"/>
            </w:tcBorders>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57</w:t>
            </w:r>
            <w:r w:rsidR="00A97C01" w:rsidRPr="000A28AD">
              <w:rPr>
                <w:rFonts w:ascii="Calibri" w:eastAsia="Times New Roman" w:hAnsi="Calibri" w:cs="Times New Roman"/>
                <w:color w:val="000000"/>
                <w:sz w:val="18"/>
                <w:szCs w:val="18"/>
              </w:rPr>
              <w:t>%</w:t>
            </w:r>
          </w:p>
        </w:tc>
        <w:tc>
          <w:tcPr>
            <w:tcW w:w="1561" w:type="dxa"/>
            <w:tcBorders>
              <w:top w:val="single" w:sz="4" w:space="0" w:color="auto"/>
            </w:tcBorders>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A97C01" w:rsidRPr="000A28AD">
              <w:rPr>
                <w:rFonts w:ascii="Calibri" w:eastAsia="Times New Roman" w:hAnsi="Calibri" w:cs="Times New Roman"/>
                <w:color w:val="000000"/>
                <w:sz w:val="18"/>
                <w:szCs w:val="18"/>
              </w:rPr>
              <w:t>%</w:t>
            </w:r>
          </w:p>
        </w:tc>
        <w:tc>
          <w:tcPr>
            <w:tcW w:w="1204" w:type="dxa"/>
            <w:tcBorders>
              <w:top w:val="single" w:sz="4" w:space="0" w:color="auto"/>
            </w:tcBorders>
            <w:noWrap/>
            <w:hideMark/>
          </w:tcPr>
          <w:p w:rsidR="00A97C01" w:rsidRPr="000A28AD" w:rsidRDefault="00817B87"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5B79AC">
              <w:rPr>
                <w:rFonts w:ascii="Calibri" w:eastAsia="Times New Roman" w:hAnsi="Calibri" w:cs="Times New Roman"/>
                <w:color w:val="000000"/>
                <w:sz w:val="18"/>
                <w:szCs w:val="18"/>
              </w:rPr>
              <w:t>0</w:t>
            </w:r>
          </w:p>
        </w:tc>
        <w:tc>
          <w:tcPr>
            <w:tcW w:w="1355" w:type="dxa"/>
            <w:tcBorders>
              <w:top w:val="single" w:sz="4" w:space="0" w:color="auto"/>
            </w:tcBorders>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817B87">
              <w:rPr>
                <w:rFonts w:ascii="Calibri" w:eastAsia="Times New Roman" w:hAnsi="Calibri" w:cs="Times New Roman"/>
                <w:color w:val="000000"/>
                <w:sz w:val="18"/>
                <w:szCs w:val="18"/>
              </w:rPr>
              <w:t>7</w:t>
            </w:r>
          </w:p>
        </w:tc>
      </w:tr>
      <w:tr w:rsidR="00E647F4" w:rsidRPr="00623BC4" w:rsidTr="000A28AD">
        <w:trPr>
          <w:trHeight w:val="144"/>
          <w:jc w:val="center"/>
        </w:trPr>
        <w:tc>
          <w:tcPr>
            <w:tcW w:w="3780" w:type="dxa"/>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Employment</w:t>
            </w:r>
          </w:p>
        </w:tc>
        <w:tc>
          <w:tcPr>
            <w:tcW w:w="1252"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32</w:t>
            </w:r>
            <w:r w:rsidR="00A97C01" w:rsidRPr="000A28AD">
              <w:rPr>
                <w:rFonts w:ascii="Calibri" w:eastAsia="Times New Roman" w:hAnsi="Calibri" w:cs="Times New Roman"/>
                <w:color w:val="000000"/>
                <w:sz w:val="18"/>
                <w:szCs w:val="18"/>
              </w:rPr>
              <w:t>%</w:t>
            </w:r>
          </w:p>
        </w:tc>
        <w:tc>
          <w:tcPr>
            <w:tcW w:w="1293"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59</w:t>
            </w:r>
            <w:r w:rsidR="00A97C01" w:rsidRPr="000A28AD">
              <w:rPr>
                <w:rFonts w:ascii="Calibri" w:eastAsia="Times New Roman" w:hAnsi="Calibri" w:cs="Times New Roman"/>
                <w:color w:val="000000"/>
                <w:sz w:val="18"/>
                <w:szCs w:val="18"/>
              </w:rPr>
              <w:t>%</w:t>
            </w:r>
          </w:p>
        </w:tc>
        <w:tc>
          <w:tcPr>
            <w:tcW w:w="1561"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00A97C01" w:rsidRPr="000A28AD">
              <w:rPr>
                <w:rFonts w:ascii="Calibri" w:eastAsia="Times New Roman" w:hAnsi="Calibri" w:cs="Times New Roman"/>
                <w:color w:val="000000"/>
                <w:sz w:val="18"/>
                <w:szCs w:val="18"/>
              </w:rPr>
              <w:t>%</w:t>
            </w:r>
          </w:p>
        </w:tc>
        <w:tc>
          <w:tcPr>
            <w:tcW w:w="1204"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62</w:t>
            </w:r>
          </w:p>
        </w:tc>
        <w:tc>
          <w:tcPr>
            <w:tcW w:w="1355"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71</w:t>
            </w:r>
          </w:p>
        </w:tc>
      </w:tr>
      <w:tr w:rsidR="001D0139" w:rsidRPr="00623BC4" w:rsidTr="000A28AD">
        <w:trPr>
          <w:trHeight w:val="144"/>
          <w:jc w:val="center"/>
        </w:trPr>
        <w:tc>
          <w:tcPr>
            <w:tcW w:w="3780" w:type="dxa"/>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Consumer spending</w:t>
            </w:r>
          </w:p>
        </w:tc>
        <w:tc>
          <w:tcPr>
            <w:tcW w:w="1252"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29</w:t>
            </w:r>
            <w:r w:rsidR="00A97C01" w:rsidRPr="000A28AD">
              <w:rPr>
                <w:rFonts w:ascii="Calibri" w:eastAsia="Times New Roman" w:hAnsi="Calibri" w:cs="Times New Roman"/>
                <w:color w:val="000000"/>
                <w:sz w:val="18"/>
                <w:szCs w:val="18"/>
              </w:rPr>
              <w:t>%</w:t>
            </w:r>
          </w:p>
        </w:tc>
        <w:tc>
          <w:tcPr>
            <w:tcW w:w="1293"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50</w:t>
            </w:r>
            <w:r w:rsidR="00A97C01" w:rsidRPr="000A28AD">
              <w:rPr>
                <w:rFonts w:ascii="Calibri" w:eastAsia="Times New Roman" w:hAnsi="Calibri" w:cs="Times New Roman"/>
                <w:color w:val="000000"/>
                <w:sz w:val="18"/>
                <w:szCs w:val="18"/>
              </w:rPr>
              <w:t>%</w:t>
            </w:r>
          </w:p>
        </w:tc>
        <w:tc>
          <w:tcPr>
            <w:tcW w:w="1561"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21</w:t>
            </w:r>
            <w:r w:rsidR="00A97C01" w:rsidRPr="000A28AD">
              <w:rPr>
                <w:rFonts w:ascii="Calibri" w:eastAsia="Times New Roman" w:hAnsi="Calibri" w:cs="Times New Roman"/>
                <w:color w:val="000000"/>
                <w:sz w:val="18"/>
                <w:szCs w:val="18"/>
              </w:rPr>
              <w:t>%</w:t>
            </w:r>
          </w:p>
        </w:tc>
        <w:tc>
          <w:tcPr>
            <w:tcW w:w="1204"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54</w:t>
            </w:r>
          </w:p>
        </w:tc>
        <w:tc>
          <w:tcPr>
            <w:tcW w:w="1355"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70</w:t>
            </w:r>
          </w:p>
        </w:tc>
      </w:tr>
      <w:tr w:rsidR="00E647F4" w:rsidRPr="00623BC4" w:rsidTr="000A28AD">
        <w:trPr>
          <w:trHeight w:val="144"/>
          <w:jc w:val="center"/>
        </w:trPr>
        <w:tc>
          <w:tcPr>
            <w:tcW w:w="3780" w:type="dxa"/>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Inflation</w:t>
            </w:r>
          </w:p>
        </w:tc>
        <w:tc>
          <w:tcPr>
            <w:tcW w:w="1252"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70</w:t>
            </w:r>
            <w:r w:rsidR="00A97C01" w:rsidRPr="000A28AD">
              <w:rPr>
                <w:rFonts w:ascii="Calibri" w:eastAsia="Times New Roman" w:hAnsi="Calibri" w:cs="Times New Roman"/>
                <w:color w:val="000000"/>
                <w:sz w:val="18"/>
                <w:szCs w:val="18"/>
              </w:rPr>
              <w:t>%</w:t>
            </w:r>
          </w:p>
        </w:tc>
        <w:tc>
          <w:tcPr>
            <w:tcW w:w="1293"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29</w:t>
            </w:r>
            <w:r w:rsidR="00A97C01" w:rsidRPr="000A28AD">
              <w:rPr>
                <w:rFonts w:ascii="Calibri" w:eastAsia="Times New Roman" w:hAnsi="Calibri" w:cs="Times New Roman"/>
                <w:color w:val="000000"/>
                <w:sz w:val="18"/>
                <w:szCs w:val="18"/>
              </w:rPr>
              <w:t>%</w:t>
            </w:r>
          </w:p>
        </w:tc>
        <w:tc>
          <w:tcPr>
            <w:tcW w:w="1561"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A97C01" w:rsidRPr="000A28AD">
              <w:rPr>
                <w:rFonts w:ascii="Calibri" w:eastAsia="Times New Roman" w:hAnsi="Calibri" w:cs="Times New Roman"/>
                <w:color w:val="000000"/>
                <w:sz w:val="18"/>
                <w:szCs w:val="18"/>
              </w:rPr>
              <w:t>%</w:t>
            </w:r>
          </w:p>
        </w:tc>
        <w:tc>
          <w:tcPr>
            <w:tcW w:w="1204"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85</w:t>
            </w:r>
          </w:p>
        </w:tc>
        <w:tc>
          <w:tcPr>
            <w:tcW w:w="1355" w:type="dxa"/>
            <w:noWrap/>
            <w:hideMark/>
          </w:tcPr>
          <w:p w:rsidR="00A97C01" w:rsidRPr="000A28AD" w:rsidRDefault="00817B87"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79</w:t>
            </w:r>
          </w:p>
        </w:tc>
      </w:tr>
      <w:tr w:rsidR="001D0139" w:rsidRPr="00623BC4" w:rsidTr="000A28AD">
        <w:trPr>
          <w:trHeight w:val="144"/>
          <w:jc w:val="center"/>
        </w:trPr>
        <w:tc>
          <w:tcPr>
            <w:tcW w:w="3780" w:type="dxa"/>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Economic growth</w:t>
            </w:r>
          </w:p>
        </w:tc>
        <w:tc>
          <w:tcPr>
            <w:tcW w:w="1252"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34</w:t>
            </w:r>
            <w:r w:rsidR="00A97C01" w:rsidRPr="000A28AD">
              <w:rPr>
                <w:rFonts w:ascii="Calibri" w:eastAsia="Times New Roman" w:hAnsi="Calibri" w:cs="Times New Roman"/>
                <w:color w:val="000000"/>
                <w:sz w:val="18"/>
                <w:szCs w:val="18"/>
              </w:rPr>
              <w:t>%</w:t>
            </w:r>
          </w:p>
        </w:tc>
        <w:tc>
          <w:tcPr>
            <w:tcW w:w="1293"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49</w:t>
            </w:r>
            <w:r w:rsidR="00A97C01" w:rsidRPr="000A28AD">
              <w:rPr>
                <w:rFonts w:ascii="Calibri" w:eastAsia="Times New Roman" w:hAnsi="Calibri" w:cs="Times New Roman"/>
                <w:color w:val="000000"/>
                <w:sz w:val="18"/>
                <w:szCs w:val="18"/>
              </w:rPr>
              <w:t>%</w:t>
            </w:r>
          </w:p>
        </w:tc>
        <w:tc>
          <w:tcPr>
            <w:tcW w:w="1561"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r w:rsidR="00A97C01" w:rsidRPr="000A28AD">
              <w:rPr>
                <w:rFonts w:ascii="Calibri" w:eastAsia="Times New Roman" w:hAnsi="Calibri" w:cs="Times New Roman"/>
                <w:color w:val="000000"/>
                <w:sz w:val="18"/>
                <w:szCs w:val="18"/>
              </w:rPr>
              <w:t>%</w:t>
            </w:r>
          </w:p>
        </w:tc>
        <w:tc>
          <w:tcPr>
            <w:tcW w:w="1204"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59</w:t>
            </w:r>
          </w:p>
        </w:tc>
        <w:tc>
          <w:tcPr>
            <w:tcW w:w="1355"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74</w:t>
            </w:r>
          </w:p>
        </w:tc>
      </w:tr>
      <w:tr w:rsidR="00E647F4" w:rsidRPr="00623BC4" w:rsidTr="000A28AD">
        <w:trPr>
          <w:trHeight w:val="144"/>
          <w:jc w:val="center"/>
        </w:trPr>
        <w:tc>
          <w:tcPr>
            <w:tcW w:w="3780" w:type="dxa"/>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Corp. profits</w:t>
            </w:r>
          </w:p>
        </w:tc>
        <w:tc>
          <w:tcPr>
            <w:tcW w:w="1252"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28</w:t>
            </w:r>
            <w:r w:rsidR="00A97C01" w:rsidRPr="000A28AD">
              <w:rPr>
                <w:rFonts w:ascii="Calibri" w:eastAsia="Times New Roman" w:hAnsi="Calibri" w:cs="Times New Roman"/>
                <w:color w:val="000000"/>
                <w:sz w:val="18"/>
                <w:szCs w:val="18"/>
              </w:rPr>
              <w:t>%</w:t>
            </w:r>
          </w:p>
        </w:tc>
        <w:tc>
          <w:tcPr>
            <w:tcW w:w="1293"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51</w:t>
            </w:r>
            <w:r w:rsidR="00A97C01" w:rsidRPr="000A28AD">
              <w:rPr>
                <w:rFonts w:ascii="Calibri" w:eastAsia="Times New Roman" w:hAnsi="Calibri" w:cs="Times New Roman"/>
                <w:color w:val="000000"/>
                <w:sz w:val="18"/>
                <w:szCs w:val="18"/>
              </w:rPr>
              <w:t>%</w:t>
            </w:r>
          </w:p>
        </w:tc>
        <w:tc>
          <w:tcPr>
            <w:tcW w:w="1561"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22</w:t>
            </w:r>
            <w:r w:rsidR="00A97C01" w:rsidRPr="000A28AD">
              <w:rPr>
                <w:rFonts w:ascii="Calibri" w:eastAsia="Times New Roman" w:hAnsi="Calibri" w:cs="Times New Roman"/>
                <w:color w:val="000000"/>
                <w:sz w:val="18"/>
                <w:szCs w:val="18"/>
              </w:rPr>
              <w:t>%</w:t>
            </w:r>
          </w:p>
        </w:tc>
        <w:tc>
          <w:tcPr>
            <w:tcW w:w="1204"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54</w:t>
            </w:r>
          </w:p>
        </w:tc>
        <w:tc>
          <w:tcPr>
            <w:tcW w:w="1355" w:type="dxa"/>
            <w:noWrap/>
            <w:hideMark/>
          </w:tcPr>
          <w:p w:rsidR="00A97C01" w:rsidRPr="000A28AD" w:rsidRDefault="005B79AC"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66</w:t>
            </w:r>
          </w:p>
        </w:tc>
      </w:tr>
    </w:tbl>
    <w:p w:rsidR="008462FE" w:rsidRDefault="008462FE" w:rsidP="000A28AD">
      <w:pPr>
        <w:spacing w:after="0" w:line="120" w:lineRule="auto"/>
      </w:pPr>
      <w:r>
        <w:br/>
      </w:r>
    </w:p>
    <w:tbl>
      <w:tblPr>
        <w:tblStyle w:val="PlainTable4"/>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Economic Outlook for the next year"/>
        <w:tblDescription w:val="Table showing outlook indivators for next year"/>
      </w:tblPr>
      <w:tblGrid>
        <w:gridCol w:w="2255"/>
        <w:gridCol w:w="1345"/>
        <w:gridCol w:w="1265"/>
        <w:gridCol w:w="1070"/>
        <w:gridCol w:w="1265"/>
        <w:gridCol w:w="2250"/>
        <w:gridCol w:w="995"/>
      </w:tblGrid>
      <w:tr w:rsidR="001C3AD2" w:rsidRPr="00623BC4" w:rsidTr="0099084E">
        <w:trPr>
          <w:cnfStyle w:val="100000000000" w:firstRow="1" w:lastRow="0" w:firstColumn="0" w:lastColumn="0" w:oddVBand="0" w:evenVBand="0" w:oddHBand="0" w:evenHBand="0" w:firstRowFirstColumn="0" w:firstRowLastColumn="0" w:lastRowFirstColumn="0" w:lastRowLastColumn="0"/>
          <w:trHeight w:val="144"/>
          <w:tblHeader/>
          <w:jc w:val="center"/>
        </w:trPr>
        <w:tc>
          <w:tcPr>
            <w:tcW w:w="2255" w:type="dxa"/>
            <w:tcBorders>
              <w:bottom w:val="single" w:sz="4" w:space="0" w:color="auto"/>
              <w:right w:val="nil"/>
            </w:tcBorders>
            <w:shd w:val="clear" w:color="auto" w:fill="BDD6EE" w:themeFill="accent1" w:themeFillTint="66"/>
            <w:noWrap/>
            <w:hideMark/>
          </w:tcPr>
          <w:p w:rsidR="001709C7" w:rsidRPr="000A28AD" w:rsidRDefault="001709C7" w:rsidP="009071B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Effect of U.S. Tariffs and</w:t>
            </w:r>
            <w:r>
              <w:rPr>
                <w:rFonts w:ascii="Calibri" w:eastAsia="Times New Roman" w:hAnsi="Calibri" w:cs="Times New Roman"/>
                <w:color w:val="000000"/>
                <w:sz w:val="18"/>
                <w:szCs w:val="18"/>
              </w:rPr>
              <w:br/>
              <w:t>Foreign Countermeasures</w:t>
            </w:r>
          </w:p>
        </w:tc>
        <w:tc>
          <w:tcPr>
            <w:tcW w:w="1345" w:type="dxa"/>
            <w:tcBorders>
              <w:left w:val="nil"/>
              <w:bottom w:val="single" w:sz="4" w:space="0" w:color="auto"/>
              <w:right w:val="nil"/>
            </w:tcBorders>
            <w:shd w:val="clear" w:color="auto" w:fill="BDD6EE" w:themeFill="accent1" w:themeFillTint="66"/>
            <w:noWrap/>
            <w:hideMark/>
          </w:tcPr>
          <w:p w:rsidR="001709C7" w:rsidRPr="000A28AD" w:rsidRDefault="001709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br/>
              <w:t>Negative</w:t>
            </w:r>
          </w:p>
        </w:tc>
        <w:tc>
          <w:tcPr>
            <w:tcW w:w="1265" w:type="dxa"/>
            <w:tcBorders>
              <w:left w:val="nil"/>
              <w:bottom w:val="single" w:sz="4" w:space="0" w:color="auto"/>
              <w:right w:val="nil"/>
            </w:tcBorders>
            <w:shd w:val="clear" w:color="auto" w:fill="BDD6EE" w:themeFill="accent1" w:themeFillTint="66"/>
          </w:tcPr>
          <w:p w:rsidR="001709C7" w:rsidRPr="000A28AD" w:rsidRDefault="001709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U.S. Tariffs</w:t>
            </w:r>
            <w:r>
              <w:rPr>
                <w:rFonts w:ascii="Calibri" w:eastAsia="Times New Roman" w:hAnsi="Calibri" w:cs="Times New Roman"/>
                <w:color w:val="000000"/>
                <w:sz w:val="18"/>
                <w:szCs w:val="18"/>
              </w:rPr>
              <w:br/>
              <w:t>No Effect</w:t>
            </w:r>
          </w:p>
        </w:tc>
        <w:tc>
          <w:tcPr>
            <w:tcW w:w="1070" w:type="dxa"/>
            <w:tcBorders>
              <w:top w:val="single" w:sz="4" w:space="0" w:color="auto"/>
              <w:left w:val="nil"/>
              <w:bottom w:val="single" w:sz="4" w:space="0" w:color="auto"/>
              <w:right w:val="nil"/>
            </w:tcBorders>
            <w:shd w:val="clear" w:color="auto" w:fill="BDD6EE" w:themeFill="accent1" w:themeFillTint="66"/>
            <w:noWrap/>
            <w:hideMark/>
          </w:tcPr>
          <w:p w:rsidR="001709C7" w:rsidRPr="000A28AD" w:rsidRDefault="001709C7" w:rsidP="001709C7">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br/>
              <w:t>Positive</w:t>
            </w:r>
          </w:p>
        </w:tc>
        <w:tc>
          <w:tcPr>
            <w:tcW w:w="1265" w:type="dxa"/>
            <w:tcBorders>
              <w:top w:val="single" w:sz="4" w:space="0" w:color="auto"/>
              <w:left w:val="nil"/>
              <w:bottom w:val="single" w:sz="4" w:space="0" w:color="auto"/>
              <w:right w:val="nil"/>
            </w:tcBorders>
            <w:shd w:val="clear" w:color="auto" w:fill="BDD6EE" w:themeFill="accent1" w:themeFillTint="66"/>
            <w:noWrap/>
          </w:tcPr>
          <w:p w:rsidR="001709C7" w:rsidRPr="000A28AD" w:rsidRDefault="001709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br/>
              <w:t>Negative</w:t>
            </w:r>
          </w:p>
        </w:tc>
        <w:tc>
          <w:tcPr>
            <w:tcW w:w="2250" w:type="dxa"/>
            <w:tcBorders>
              <w:top w:val="single" w:sz="4" w:space="0" w:color="auto"/>
              <w:left w:val="nil"/>
              <w:bottom w:val="single" w:sz="4" w:space="0" w:color="auto"/>
              <w:right w:val="nil"/>
            </w:tcBorders>
            <w:shd w:val="clear" w:color="auto" w:fill="BDD6EE" w:themeFill="accent1" w:themeFillTint="66"/>
            <w:noWrap/>
          </w:tcPr>
          <w:p w:rsidR="001709C7" w:rsidRPr="000A28AD" w:rsidRDefault="001709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Foreign Countermeasures</w:t>
            </w:r>
            <w:r>
              <w:rPr>
                <w:rFonts w:ascii="Calibri" w:eastAsia="Times New Roman" w:hAnsi="Calibri" w:cs="Times New Roman"/>
                <w:color w:val="000000"/>
                <w:sz w:val="18"/>
                <w:szCs w:val="18"/>
              </w:rPr>
              <w:br/>
              <w:t>No Effect</w:t>
            </w:r>
          </w:p>
        </w:tc>
        <w:tc>
          <w:tcPr>
            <w:tcW w:w="995" w:type="dxa"/>
            <w:tcBorders>
              <w:left w:val="nil"/>
              <w:bottom w:val="single" w:sz="4" w:space="0" w:color="auto"/>
            </w:tcBorders>
            <w:shd w:val="clear" w:color="auto" w:fill="BDD6EE" w:themeFill="accent1" w:themeFillTint="66"/>
            <w:noWrap/>
          </w:tcPr>
          <w:p w:rsidR="001709C7" w:rsidRPr="000A28AD" w:rsidRDefault="001709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br/>
              <w:t>Positive</w:t>
            </w:r>
          </w:p>
        </w:tc>
      </w:tr>
      <w:tr w:rsidR="00546E1F" w:rsidRPr="00623BC4" w:rsidTr="0099084E">
        <w:trPr>
          <w:trHeight w:val="144"/>
          <w:jc w:val="center"/>
        </w:trPr>
        <w:tc>
          <w:tcPr>
            <w:tcW w:w="2255" w:type="dxa"/>
            <w:tcBorders>
              <w:top w:val="single" w:sz="4" w:space="0" w:color="auto"/>
              <w:left w:val="single" w:sz="4" w:space="0" w:color="auto"/>
              <w:bottom w:val="nil"/>
              <w:right w:val="nil"/>
            </w:tcBorders>
            <w:noWrap/>
            <w:hideMark/>
          </w:tcPr>
          <w:p w:rsidR="001709C7" w:rsidRPr="000A28AD" w:rsidRDefault="00BE3943" w:rsidP="009071B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Employment</w:t>
            </w:r>
          </w:p>
        </w:tc>
        <w:tc>
          <w:tcPr>
            <w:tcW w:w="1345" w:type="dxa"/>
            <w:tcBorders>
              <w:top w:val="single" w:sz="4" w:space="0" w:color="auto"/>
              <w:left w:val="nil"/>
              <w:bottom w:val="nil"/>
              <w:right w:val="nil"/>
            </w:tcBorders>
            <w:noWrap/>
            <w:hideMark/>
          </w:tcPr>
          <w:p w:rsidR="001709C7" w:rsidRPr="000A28AD" w:rsidRDefault="00612DF1"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1709C7" w:rsidRPr="000A28AD">
              <w:rPr>
                <w:rFonts w:ascii="Calibri" w:eastAsia="Times New Roman" w:hAnsi="Calibri" w:cs="Times New Roman"/>
                <w:color w:val="000000"/>
                <w:sz w:val="18"/>
                <w:szCs w:val="18"/>
              </w:rPr>
              <w:t>%</w:t>
            </w:r>
          </w:p>
        </w:tc>
        <w:tc>
          <w:tcPr>
            <w:tcW w:w="1265" w:type="dxa"/>
            <w:tcBorders>
              <w:top w:val="single" w:sz="4" w:space="0" w:color="auto"/>
              <w:left w:val="nil"/>
              <w:bottom w:val="nil"/>
              <w:right w:val="nil"/>
            </w:tcBorders>
          </w:tcPr>
          <w:p w:rsidR="001709C7" w:rsidRDefault="00612DF1"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86%</w:t>
            </w:r>
          </w:p>
        </w:tc>
        <w:tc>
          <w:tcPr>
            <w:tcW w:w="1070" w:type="dxa"/>
            <w:tcBorders>
              <w:top w:val="single" w:sz="4" w:space="0" w:color="auto"/>
              <w:left w:val="nil"/>
              <w:bottom w:val="nil"/>
              <w:right w:val="nil"/>
            </w:tcBorders>
            <w:noWrap/>
            <w:hideMark/>
          </w:tcPr>
          <w:p w:rsidR="001709C7" w:rsidRPr="000A28AD" w:rsidRDefault="00612DF1"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1709C7" w:rsidRPr="000A28AD">
              <w:rPr>
                <w:rFonts w:ascii="Calibri" w:eastAsia="Times New Roman" w:hAnsi="Calibri" w:cs="Times New Roman"/>
                <w:color w:val="000000"/>
                <w:sz w:val="18"/>
                <w:szCs w:val="18"/>
              </w:rPr>
              <w:t>%</w:t>
            </w:r>
          </w:p>
        </w:tc>
        <w:tc>
          <w:tcPr>
            <w:tcW w:w="1265" w:type="dxa"/>
            <w:tcBorders>
              <w:top w:val="single" w:sz="4" w:space="0" w:color="auto"/>
              <w:left w:val="nil"/>
              <w:bottom w:val="nil"/>
              <w:right w:val="nil"/>
            </w:tcBorders>
            <w:noWrap/>
            <w:hideMark/>
          </w:tcPr>
          <w:p w:rsidR="001709C7" w:rsidRPr="000A28AD" w:rsidRDefault="006664C9"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1709C7" w:rsidRPr="000A28AD">
              <w:rPr>
                <w:rFonts w:ascii="Calibri" w:eastAsia="Times New Roman" w:hAnsi="Calibri" w:cs="Times New Roman"/>
                <w:color w:val="000000"/>
                <w:sz w:val="18"/>
                <w:szCs w:val="18"/>
              </w:rPr>
              <w:t>%</w:t>
            </w:r>
          </w:p>
        </w:tc>
        <w:tc>
          <w:tcPr>
            <w:tcW w:w="2250" w:type="dxa"/>
            <w:tcBorders>
              <w:top w:val="single" w:sz="4" w:space="0" w:color="auto"/>
              <w:left w:val="nil"/>
              <w:bottom w:val="nil"/>
              <w:right w:val="nil"/>
            </w:tcBorders>
            <w:noWrap/>
            <w:hideMark/>
          </w:tcPr>
          <w:p w:rsidR="001709C7" w:rsidRPr="000A28AD" w:rsidRDefault="006664C9"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89%</w:t>
            </w:r>
          </w:p>
        </w:tc>
        <w:tc>
          <w:tcPr>
            <w:tcW w:w="995" w:type="dxa"/>
            <w:tcBorders>
              <w:top w:val="single" w:sz="4" w:space="0" w:color="auto"/>
              <w:left w:val="nil"/>
              <w:bottom w:val="nil"/>
              <w:right w:val="single" w:sz="4" w:space="0" w:color="auto"/>
            </w:tcBorders>
            <w:noWrap/>
            <w:hideMark/>
          </w:tcPr>
          <w:p w:rsidR="001709C7" w:rsidRPr="000A28AD" w:rsidRDefault="006664C9"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99084E" w:rsidRPr="00623BC4" w:rsidTr="0099084E">
        <w:trPr>
          <w:trHeight w:val="144"/>
          <w:jc w:val="center"/>
        </w:trPr>
        <w:tc>
          <w:tcPr>
            <w:tcW w:w="2255" w:type="dxa"/>
            <w:tcBorders>
              <w:top w:val="nil"/>
              <w:left w:val="single" w:sz="4" w:space="0" w:color="auto"/>
              <w:bottom w:val="nil"/>
              <w:right w:val="nil"/>
            </w:tcBorders>
            <w:noWrap/>
            <w:hideMark/>
          </w:tcPr>
          <w:p w:rsidR="001709C7" w:rsidRPr="000A28AD" w:rsidRDefault="00BE3943" w:rsidP="009071B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Capital Expenditure</w:t>
            </w:r>
          </w:p>
        </w:tc>
        <w:tc>
          <w:tcPr>
            <w:tcW w:w="1345" w:type="dxa"/>
            <w:tcBorders>
              <w:top w:val="nil"/>
              <w:left w:val="nil"/>
              <w:bottom w:val="nil"/>
              <w:right w:val="nil"/>
            </w:tcBorders>
            <w:noWrap/>
            <w:hideMark/>
          </w:tcPr>
          <w:p w:rsidR="001709C7" w:rsidRPr="000A28AD" w:rsidRDefault="006664C9"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21</w:t>
            </w:r>
            <w:r w:rsidR="001709C7" w:rsidRPr="000A28AD">
              <w:rPr>
                <w:rFonts w:ascii="Calibri" w:eastAsia="Times New Roman" w:hAnsi="Calibri" w:cs="Times New Roman"/>
                <w:color w:val="000000"/>
                <w:sz w:val="18"/>
                <w:szCs w:val="18"/>
              </w:rPr>
              <w:t>%</w:t>
            </w:r>
          </w:p>
        </w:tc>
        <w:tc>
          <w:tcPr>
            <w:tcW w:w="1265" w:type="dxa"/>
            <w:tcBorders>
              <w:top w:val="nil"/>
              <w:left w:val="nil"/>
              <w:bottom w:val="nil"/>
              <w:right w:val="nil"/>
            </w:tcBorders>
          </w:tcPr>
          <w:p w:rsidR="001709C7" w:rsidRDefault="006664C9"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77%</w:t>
            </w:r>
          </w:p>
        </w:tc>
        <w:tc>
          <w:tcPr>
            <w:tcW w:w="1070" w:type="dxa"/>
            <w:tcBorders>
              <w:top w:val="nil"/>
              <w:left w:val="nil"/>
              <w:bottom w:val="nil"/>
              <w:right w:val="nil"/>
            </w:tcBorders>
            <w:noWrap/>
            <w:hideMark/>
          </w:tcPr>
          <w:p w:rsidR="001709C7" w:rsidRPr="000A28AD" w:rsidRDefault="006664C9"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1709C7" w:rsidRPr="000A28AD">
              <w:rPr>
                <w:rFonts w:ascii="Calibri" w:eastAsia="Times New Roman" w:hAnsi="Calibri" w:cs="Times New Roman"/>
                <w:color w:val="000000"/>
                <w:sz w:val="18"/>
                <w:szCs w:val="18"/>
              </w:rPr>
              <w:t>%</w:t>
            </w:r>
          </w:p>
        </w:tc>
        <w:tc>
          <w:tcPr>
            <w:tcW w:w="1265"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1709C7" w:rsidRPr="000A28AD">
              <w:rPr>
                <w:rFonts w:ascii="Calibri" w:eastAsia="Times New Roman" w:hAnsi="Calibri" w:cs="Times New Roman"/>
                <w:color w:val="000000"/>
                <w:sz w:val="18"/>
                <w:szCs w:val="18"/>
              </w:rPr>
              <w:t>%</w:t>
            </w:r>
          </w:p>
        </w:tc>
        <w:tc>
          <w:tcPr>
            <w:tcW w:w="2250"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85%</w:t>
            </w:r>
          </w:p>
        </w:tc>
        <w:tc>
          <w:tcPr>
            <w:tcW w:w="995" w:type="dxa"/>
            <w:tcBorders>
              <w:top w:val="nil"/>
              <w:left w:val="nil"/>
              <w:bottom w:val="nil"/>
              <w:right w:val="single" w:sz="4" w:space="0" w:color="auto"/>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99084E" w:rsidRPr="00623BC4" w:rsidTr="0099084E">
        <w:trPr>
          <w:trHeight w:val="144"/>
          <w:jc w:val="center"/>
        </w:trPr>
        <w:tc>
          <w:tcPr>
            <w:tcW w:w="2255" w:type="dxa"/>
            <w:tcBorders>
              <w:top w:val="nil"/>
              <w:left w:val="single" w:sz="4" w:space="0" w:color="auto"/>
              <w:bottom w:val="nil"/>
              <w:right w:val="nil"/>
            </w:tcBorders>
            <w:noWrap/>
            <w:hideMark/>
          </w:tcPr>
          <w:p w:rsidR="001709C7" w:rsidRPr="000A28AD" w:rsidRDefault="00BE3943" w:rsidP="009071B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Investment</w:t>
            </w:r>
          </w:p>
        </w:tc>
        <w:tc>
          <w:tcPr>
            <w:tcW w:w="1345"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r w:rsidR="001709C7" w:rsidRPr="000A28AD">
              <w:rPr>
                <w:rFonts w:ascii="Calibri" w:eastAsia="Times New Roman" w:hAnsi="Calibri" w:cs="Times New Roman"/>
                <w:color w:val="000000"/>
                <w:sz w:val="18"/>
                <w:szCs w:val="18"/>
              </w:rPr>
              <w:t>%</w:t>
            </w:r>
          </w:p>
        </w:tc>
        <w:tc>
          <w:tcPr>
            <w:tcW w:w="1265" w:type="dxa"/>
            <w:tcBorders>
              <w:top w:val="nil"/>
              <w:left w:val="nil"/>
              <w:bottom w:val="nil"/>
              <w:right w:val="nil"/>
            </w:tcBorders>
          </w:tcPr>
          <w:p w:rsidR="001709C7"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80%</w:t>
            </w:r>
          </w:p>
        </w:tc>
        <w:tc>
          <w:tcPr>
            <w:tcW w:w="1070" w:type="dxa"/>
            <w:tcBorders>
              <w:top w:val="nil"/>
              <w:left w:val="nil"/>
              <w:bottom w:val="nil"/>
              <w:right w:val="nil"/>
            </w:tcBorders>
            <w:noWrap/>
            <w:hideMark/>
          </w:tcPr>
          <w:p w:rsidR="001709C7" w:rsidRPr="000A28AD" w:rsidRDefault="009F32C7" w:rsidP="009F32C7">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1709C7" w:rsidRPr="000A28AD">
              <w:rPr>
                <w:rFonts w:ascii="Calibri" w:eastAsia="Times New Roman" w:hAnsi="Calibri" w:cs="Times New Roman"/>
                <w:color w:val="000000"/>
                <w:sz w:val="18"/>
                <w:szCs w:val="18"/>
              </w:rPr>
              <w:t>%</w:t>
            </w:r>
          </w:p>
        </w:tc>
        <w:tc>
          <w:tcPr>
            <w:tcW w:w="1265"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1709C7" w:rsidRPr="000A28AD">
              <w:rPr>
                <w:rFonts w:ascii="Calibri" w:eastAsia="Times New Roman" w:hAnsi="Calibri" w:cs="Times New Roman"/>
                <w:color w:val="000000"/>
                <w:sz w:val="18"/>
                <w:szCs w:val="18"/>
              </w:rPr>
              <w:t>%</w:t>
            </w:r>
          </w:p>
        </w:tc>
        <w:tc>
          <w:tcPr>
            <w:tcW w:w="2250"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86%</w:t>
            </w:r>
          </w:p>
        </w:tc>
        <w:tc>
          <w:tcPr>
            <w:tcW w:w="995" w:type="dxa"/>
            <w:tcBorders>
              <w:top w:val="nil"/>
              <w:left w:val="nil"/>
              <w:bottom w:val="nil"/>
              <w:right w:val="single" w:sz="4" w:space="0" w:color="auto"/>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99084E" w:rsidRPr="00623BC4" w:rsidTr="0099084E">
        <w:trPr>
          <w:trHeight w:val="144"/>
          <w:jc w:val="center"/>
        </w:trPr>
        <w:tc>
          <w:tcPr>
            <w:tcW w:w="2255" w:type="dxa"/>
            <w:tcBorders>
              <w:top w:val="nil"/>
              <w:left w:val="single" w:sz="4" w:space="0" w:color="auto"/>
              <w:bottom w:val="nil"/>
              <w:right w:val="nil"/>
            </w:tcBorders>
            <w:noWrap/>
            <w:hideMark/>
          </w:tcPr>
          <w:p w:rsidR="001709C7" w:rsidRPr="000A28AD" w:rsidRDefault="00BE3943" w:rsidP="009071B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Input Cost</w:t>
            </w:r>
          </w:p>
        </w:tc>
        <w:tc>
          <w:tcPr>
            <w:tcW w:w="1345"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55</w:t>
            </w:r>
            <w:r w:rsidR="001709C7" w:rsidRPr="000A28AD">
              <w:rPr>
                <w:rFonts w:ascii="Calibri" w:eastAsia="Times New Roman" w:hAnsi="Calibri" w:cs="Times New Roman"/>
                <w:color w:val="000000"/>
                <w:sz w:val="18"/>
                <w:szCs w:val="18"/>
              </w:rPr>
              <w:t>%</w:t>
            </w:r>
          </w:p>
        </w:tc>
        <w:tc>
          <w:tcPr>
            <w:tcW w:w="1265" w:type="dxa"/>
            <w:tcBorders>
              <w:top w:val="nil"/>
              <w:left w:val="nil"/>
              <w:bottom w:val="nil"/>
              <w:right w:val="nil"/>
            </w:tcBorders>
          </w:tcPr>
          <w:p w:rsidR="001709C7"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44%</w:t>
            </w:r>
          </w:p>
        </w:tc>
        <w:tc>
          <w:tcPr>
            <w:tcW w:w="1070"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1709C7" w:rsidRPr="000A28AD">
              <w:rPr>
                <w:rFonts w:ascii="Calibri" w:eastAsia="Times New Roman" w:hAnsi="Calibri" w:cs="Times New Roman"/>
                <w:color w:val="000000"/>
                <w:sz w:val="18"/>
                <w:szCs w:val="18"/>
              </w:rPr>
              <w:t>%</w:t>
            </w:r>
          </w:p>
        </w:tc>
        <w:tc>
          <w:tcPr>
            <w:tcW w:w="1265"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34</w:t>
            </w:r>
            <w:r w:rsidR="001709C7" w:rsidRPr="000A28AD">
              <w:rPr>
                <w:rFonts w:ascii="Calibri" w:eastAsia="Times New Roman" w:hAnsi="Calibri" w:cs="Times New Roman"/>
                <w:color w:val="000000"/>
                <w:sz w:val="18"/>
                <w:szCs w:val="18"/>
              </w:rPr>
              <w:t>%</w:t>
            </w:r>
          </w:p>
        </w:tc>
        <w:tc>
          <w:tcPr>
            <w:tcW w:w="2250"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64%</w:t>
            </w:r>
          </w:p>
        </w:tc>
        <w:tc>
          <w:tcPr>
            <w:tcW w:w="995" w:type="dxa"/>
            <w:tcBorders>
              <w:top w:val="nil"/>
              <w:left w:val="nil"/>
              <w:bottom w:val="nil"/>
              <w:right w:val="single" w:sz="4" w:space="0" w:color="auto"/>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99084E" w:rsidRPr="00623BC4" w:rsidTr="0099084E">
        <w:trPr>
          <w:trHeight w:val="144"/>
          <w:jc w:val="center"/>
        </w:trPr>
        <w:tc>
          <w:tcPr>
            <w:tcW w:w="2255" w:type="dxa"/>
            <w:tcBorders>
              <w:top w:val="nil"/>
              <w:left w:val="single" w:sz="4" w:space="0" w:color="auto"/>
              <w:bottom w:val="nil"/>
              <w:right w:val="nil"/>
            </w:tcBorders>
            <w:noWrap/>
            <w:hideMark/>
          </w:tcPr>
          <w:p w:rsidR="001709C7" w:rsidRPr="000A28AD" w:rsidRDefault="00BE3943" w:rsidP="009071B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Input Availability</w:t>
            </w:r>
          </w:p>
        </w:tc>
        <w:tc>
          <w:tcPr>
            <w:tcW w:w="1345"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32</w:t>
            </w:r>
            <w:r w:rsidR="001709C7" w:rsidRPr="000A28AD">
              <w:rPr>
                <w:rFonts w:ascii="Calibri" w:eastAsia="Times New Roman" w:hAnsi="Calibri" w:cs="Times New Roman"/>
                <w:color w:val="000000"/>
                <w:sz w:val="18"/>
                <w:szCs w:val="18"/>
              </w:rPr>
              <w:t>%</w:t>
            </w:r>
          </w:p>
        </w:tc>
        <w:tc>
          <w:tcPr>
            <w:tcW w:w="1265" w:type="dxa"/>
            <w:tcBorders>
              <w:top w:val="nil"/>
              <w:left w:val="nil"/>
              <w:bottom w:val="nil"/>
              <w:right w:val="nil"/>
            </w:tcBorders>
          </w:tcPr>
          <w:p w:rsidR="001709C7"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67%</w:t>
            </w:r>
          </w:p>
        </w:tc>
        <w:tc>
          <w:tcPr>
            <w:tcW w:w="1070"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1709C7" w:rsidRPr="000A28AD">
              <w:rPr>
                <w:rFonts w:ascii="Calibri" w:eastAsia="Times New Roman" w:hAnsi="Calibri" w:cs="Times New Roman"/>
                <w:color w:val="000000"/>
                <w:sz w:val="18"/>
                <w:szCs w:val="18"/>
              </w:rPr>
              <w:t>%</w:t>
            </w:r>
          </w:p>
        </w:tc>
        <w:tc>
          <w:tcPr>
            <w:tcW w:w="1265"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16</w:t>
            </w:r>
            <w:r w:rsidR="001709C7" w:rsidRPr="000A28AD">
              <w:rPr>
                <w:rFonts w:ascii="Calibri" w:eastAsia="Times New Roman" w:hAnsi="Calibri" w:cs="Times New Roman"/>
                <w:color w:val="000000"/>
                <w:sz w:val="18"/>
                <w:szCs w:val="18"/>
              </w:rPr>
              <w:t>%</w:t>
            </w:r>
          </w:p>
        </w:tc>
        <w:tc>
          <w:tcPr>
            <w:tcW w:w="2250" w:type="dxa"/>
            <w:tcBorders>
              <w:top w:val="nil"/>
              <w:left w:val="nil"/>
              <w:bottom w:val="nil"/>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82%</w:t>
            </w:r>
          </w:p>
        </w:tc>
        <w:tc>
          <w:tcPr>
            <w:tcW w:w="995" w:type="dxa"/>
            <w:tcBorders>
              <w:top w:val="nil"/>
              <w:left w:val="nil"/>
              <w:bottom w:val="nil"/>
              <w:right w:val="single" w:sz="4" w:space="0" w:color="auto"/>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r>
      <w:tr w:rsidR="00BE3943" w:rsidRPr="00623BC4" w:rsidTr="0099084E">
        <w:trPr>
          <w:trHeight w:val="144"/>
          <w:jc w:val="center"/>
        </w:trPr>
        <w:tc>
          <w:tcPr>
            <w:tcW w:w="2255" w:type="dxa"/>
            <w:tcBorders>
              <w:top w:val="nil"/>
              <w:left w:val="single" w:sz="4" w:space="0" w:color="auto"/>
              <w:bottom w:val="nil"/>
              <w:right w:val="nil"/>
            </w:tcBorders>
            <w:noWrap/>
          </w:tcPr>
          <w:p w:rsidR="00BE3943" w:rsidRDefault="00BE3943" w:rsidP="009071B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Revenue</w:t>
            </w:r>
          </w:p>
        </w:tc>
        <w:tc>
          <w:tcPr>
            <w:tcW w:w="1345" w:type="dxa"/>
            <w:tcBorders>
              <w:top w:val="nil"/>
              <w:left w:val="nil"/>
              <w:bottom w:val="nil"/>
              <w:right w:val="nil"/>
            </w:tcBorders>
            <w:noWrap/>
          </w:tcPr>
          <w:p w:rsidR="00BE3943"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37%</w:t>
            </w:r>
          </w:p>
        </w:tc>
        <w:tc>
          <w:tcPr>
            <w:tcW w:w="1265" w:type="dxa"/>
            <w:tcBorders>
              <w:top w:val="nil"/>
              <w:left w:val="nil"/>
              <w:bottom w:val="nil"/>
              <w:right w:val="nil"/>
            </w:tcBorders>
          </w:tcPr>
          <w:p w:rsidR="00BE3943"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58%</w:t>
            </w:r>
          </w:p>
        </w:tc>
        <w:tc>
          <w:tcPr>
            <w:tcW w:w="1070" w:type="dxa"/>
            <w:tcBorders>
              <w:top w:val="nil"/>
              <w:left w:val="nil"/>
              <w:bottom w:val="nil"/>
              <w:right w:val="nil"/>
            </w:tcBorders>
            <w:noWrap/>
          </w:tcPr>
          <w:p w:rsidR="00BE3943"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1265" w:type="dxa"/>
            <w:tcBorders>
              <w:top w:val="nil"/>
              <w:left w:val="nil"/>
              <w:bottom w:val="nil"/>
              <w:right w:val="nil"/>
            </w:tcBorders>
            <w:noWrap/>
          </w:tcPr>
          <w:p w:rsidR="00BE3943"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23%</w:t>
            </w:r>
          </w:p>
        </w:tc>
        <w:tc>
          <w:tcPr>
            <w:tcW w:w="2250" w:type="dxa"/>
            <w:tcBorders>
              <w:top w:val="nil"/>
              <w:left w:val="nil"/>
              <w:bottom w:val="nil"/>
              <w:right w:val="nil"/>
            </w:tcBorders>
            <w:noWrap/>
          </w:tcPr>
          <w:p w:rsidR="00BE3943"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72%</w:t>
            </w:r>
          </w:p>
        </w:tc>
        <w:tc>
          <w:tcPr>
            <w:tcW w:w="995" w:type="dxa"/>
            <w:tcBorders>
              <w:top w:val="nil"/>
              <w:left w:val="nil"/>
              <w:bottom w:val="nil"/>
              <w:right w:val="single" w:sz="4" w:space="0" w:color="auto"/>
            </w:tcBorders>
            <w:noWrap/>
          </w:tcPr>
          <w:p w:rsidR="00BE3943"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r>
      <w:tr w:rsidR="00546E1F" w:rsidRPr="00623BC4" w:rsidTr="0099084E">
        <w:trPr>
          <w:trHeight w:val="144"/>
          <w:jc w:val="center"/>
        </w:trPr>
        <w:tc>
          <w:tcPr>
            <w:tcW w:w="2255" w:type="dxa"/>
            <w:tcBorders>
              <w:top w:val="nil"/>
              <w:left w:val="single" w:sz="4" w:space="0" w:color="auto"/>
              <w:bottom w:val="single" w:sz="4" w:space="0" w:color="auto"/>
              <w:right w:val="nil"/>
            </w:tcBorders>
            <w:noWrap/>
            <w:hideMark/>
          </w:tcPr>
          <w:p w:rsidR="001709C7" w:rsidRPr="000A28AD" w:rsidRDefault="00BE3943" w:rsidP="009071B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Cost to Consumers</w:t>
            </w:r>
          </w:p>
        </w:tc>
        <w:tc>
          <w:tcPr>
            <w:tcW w:w="1345" w:type="dxa"/>
            <w:tcBorders>
              <w:top w:val="nil"/>
              <w:left w:val="nil"/>
              <w:bottom w:val="single" w:sz="4" w:space="0" w:color="auto"/>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55</w:t>
            </w:r>
            <w:r w:rsidR="001709C7" w:rsidRPr="000A28AD">
              <w:rPr>
                <w:rFonts w:ascii="Calibri" w:eastAsia="Times New Roman" w:hAnsi="Calibri" w:cs="Times New Roman"/>
                <w:color w:val="000000"/>
                <w:sz w:val="18"/>
                <w:szCs w:val="18"/>
              </w:rPr>
              <w:t>%</w:t>
            </w:r>
          </w:p>
        </w:tc>
        <w:tc>
          <w:tcPr>
            <w:tcW w:w="1265" w:type="dxa"/>
            <w:tcBorders>
              <w:top w:val="nil"/>
              <w:left w:val="nil"/>
              <w:bottom w:val="single" w:sz="4" w:space="0" w:color="auto"/>
              <w:right w:val="nil"/>
            </w:tcBorders>
          </w:tcPr>
          <w:p w:rsidR="001709C7"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44%</w:t>
            </w:r>
          </w:p>
        </w:tc>
        <w:tc>
          <w:tcPr>
            <w:tcW w:w="1070" w:type="dxa"/>
            <w:tcBorders>
              <w:top w:val="nil"/>
              <w:left w:val="nil"/>
              <w:bottom w:val="single" w:sz="4" w:space="0" w:color="auto"/>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1709C7" w:rsidRPr="000A28AD">
              <w:rPr>
                <w:rFonts w:ascii="Calibri" w:eastAsia="Times New Roman" w:hAnsi="Calibri" w:cs="Times New Roman"/>
                <w:color w:val="000000"/>
                <w:sz w:val="18"/>
                <w:szCs w:val="18"/>
              </w:rPr>
              <w:t>%</w:t>
            </w:r>
          </w:p>
        </w:tc>
        <w:tc>
          <w:tcPr>
            <w:tcW w:w="1265" w:type="dxa"/>
            <w:tcBorders>
              <w:top w:val="nil"/>
              <w:left w:val="nil"/>
              <w:bottom w:val="single" w:sz="4" w:space="0" w:color="auto"/>
              <w:right w:val="nil"/>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31</w:t>
            </w:r>
            <w:r w:rsidR="001709C7" w:rsidRPr="000A28AD">
              <w:rPr>
                <w:rFonts w:ascii="Calibri" w:eastAsia="Times New Roman" w:hAnsi="Calibri" w:cs="Times New Roman"/>
                <w:color w:val="000000"/>
                <w:sz w:val="18"/>
                <w:szCs w:val="18"/>
              </w:rPr>
              <w:t>%</w:t>
            </w:r>
          </w:p>
        </w:tc>
        <w:tc>
          <w:tcPr>
            <w:tcW w:w="2250" w:type="dxa"/>
            <w:tcBorders>
              <w:top w:val="nil"/>
              <w:left w:val="nil"/>
              <w:bottom w:val="single" w:sz="4" w:space="0" w:color="auto"/>
              <w:right w:val="nil"/>
            </w:tcBorders>
            <w:noWrap/>
            <w:hideMark/>
          </w:tcPr>
          <w:p w:rsidR="001709C7" w:rsidRPr="000A28AD" w:rsidRDefault="00305FF9"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66</w:t>
            </w:r>
            <w:r w:rsidR="009F32C7">
              <w:rPr>
                <w:rFonts w:ascii="Calibri" w:eastAsia="Times New Roman" w:hAnsi="Calibri" w:cs="Times New Roman"/>
                <w:color w:val="000000"/>
                <w:sz w:val="18"/>
                <w:szCs w:val="18"/>
              </w:rPr>
              <w:t>%</w:t>
            </w:r>
          </w:p>
        </w:tc>
        <w:tc>
          <w:tcPr>
            <w:tcW w:w="995" w:type="dxa"/>
            <w:tcBorders>
              <w:top w:val="nil"/>
              <w:left w:val="nil"/>
              <w:bottom w:val="single" w:sz="4" w:space="0" w:color="auto"/>
              <w:right w:val="single" w:sz="4" w:space="0" w:color="auto"/>
            </w:tcBorders>
            <w:noWrap/>
            <w:hideMark/>
          </w:tcPr>
          <w:p w:rsidR="001709C7" w:rsidRPr="000A28AD" w:rsidRDefault="009F32C7" w:rsidP="009071B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bl>
    <w:p w:rsidR="00A97C01" w:rsidRDefault="00A97C01" w:rsidP="000A28AD">
      <w:pPr>
        <w:spacing w:after="0" w:line="120" w:lineRule="auto"/>
      </w:pPr>
    </w:p>
    <w:p w:rsidR="00CA02CE" w:rsidRDefault="009F32C7" w:rsidP="00C73D16">
      <w:pPr>
        <w:pStyle w:val="ListParagraph"/>
        <w:numPr>
          <w:ilvl w:val="0"/>
          <w:numId w:val="8"/>
        </w:numPr>
        <w:rPr>
          <w:sz w:val="16"/>
          <w:szCs w:val="16"/>
        </w:rPr>
      </w:pPr>
      <w:r>
        <w:rPr>
          <w:sz w:val="16"/>
          <w:szCs w:val="16"/>
        </w:rPr>
        <w:t>Based on responses from 249</w:t>
      </w:r>
      <w:r w:rsidR="00C73D16" w:rsidRPr="00C73D16">
        <w:rPr>
          <w:sz w:val="16"/>
          <w:szCs w:val="16"/>
        </w:rPr>
        <w:t xml:space="preserve"> Minnesota manufacturing busi</w:t>
      </w:r>
      <w:r w:rsidR="00C73D16">
        <w:rPr>
          <w:sz w:val="16"/>
          <w:szCs w:val="16"/>
        </w:rPr>
        <w:t xml:space="preserve">nesses, for a response rate of </w:t>
      </w:r>
      <w:r>
        <w:rPr>
          <w:sz w:val="16"/>
          <w:szCs w:val="16"/>
        </w:rPr>
        <w:t>24.9</w:t>
      </w:r>
      <w:r w:rsidR="00C73D16" w:rsidRPr="00C73D16">
        <w:rPr>
          <w:sz w:val="16"/>
          <w:szCs w:val="16"/>
        </w:rPr>
        <w:t xml:space="preserve"> percent.  The </w:t>
      </w:r>
      <w:r w:rsidR="00C73D16">
        <w:rPr>
          <w:sz w:val="16"/>
          <w:szCs w:val="16"/>
        </w:rPr>
        <w:t>sampling error is plus or minus</w:t>
      </w:r>
      <w:r>
        <w:rPr>
          <w:sz w:val="16"/>
          <w:szCs w:val="16"/>
        </w:rPr>
        <w:t xml:space="preserve"> 6.1</w:t>
      </w:r>
      <w:r w:rsidR="00C73D16" w:rsidRPr="00C73D16">
        <w:rPr>
          <w:sz w:val="16"/>
          <w:szCs w:val="16"/>
        </w:rPr>
        <w:t xml:space="preserve"> percentage points at the 95 percent confidence level.  Percentages may not add to 100 percent due to rounding.</w:t>
      </w:r>
      <w:r w:rsidR="00CA02CE">
        <w:rPr>
          <w:sz w:val="16"/>
          <w:szCs w:val="16"/>
        </w:rPr>
        <w:t xml:space="preserve"> </w:t>
      </w:r>
    </w:p>
    <w:p w:rsidR="007F61A9" w:rsidRPr="00E31A2F" w:rsidRDefault="00C80C65" w:rsidP="00C73D16">
      <w:pPr>
        <w:pStyle w:val="ListParagraph"/>
        <w:numPr>
          <w:ilvl w:val="0"/>
          <w:numId w:val="8"/>
        </w:numPr>
        <w:rPr>
          <w:sz w:val="16"/>
          <w:szCs w:val="16"/>
        </w:rPr>
      </w:pPr>
      <w:r>
        <w:rPr>
          <w:sz w:val="16"/>
          <w:szCs w:val="16"/>
        </w:rPr>
        <w:t>A diffusion index great</w:t>
      </w:r>
      <w:r w:rsidR="000B2C14">
        <w:rPr>
          <w:sz w:val="16"/>
          <w:szCs w:val="16"/>
        </w:rPr>
        <w:t>er</w:t>
      </w:r>
      <w:bookmarkStart w:id="0" w:name="_GoBack"/>
      <w:bookmarkEnd w:id="0"/>
      <w:r>
        <w:rPr>
          <w:sz w:val="16"/>
          <w:szCs w:val="16"/>
        </w:rPr>
        <w:t xml:space="preserve"> than 50 indicates expansion, less than 50 indicates contraction.</w:t>
      </w:r>
      <w:r w:rsidR="00E31A2F">
        <w:rPr>
          <w:sz w:val="16"/>
          <w:szCs w:val="16"/>
        </w:rPr>
        <w:br/>
      </w:r>
      <w:r w:rsidR="00E31A2F" w:rsidRPr="00E31A2F">
        <w:rPr>
          <w:sz w:val="16"/>
          <w:szCs w:val="16"/>
        </w:rPr>
        <w:t>Created by Magda Olson. EAU, Policy Office, MN Dept. of Employment and Econ</w:t>
      </w:r>
      <w:r w:rsidR="009F32C7">
        <w:rPr>
          <w:sz w:val="16"/>
          <w:szCs w:val="16"/>
        </w:rPr>
        <w:t>omic Development. January 2019</w:t>
      </w:r>
      <w:r w:rsidR="00E31A2F">
        <w:rPr>
          <w:sz w:val="16"/>
          <w:szCs w:val="16"/>
        </w:rPr>
        <w:t>.</w:t>
      </w:r>
    </w:p>
    <w:sectPr w:rsidR="007F61A9" w:rsidRPr="00E31A2F" w:rsidSect="009969E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892" w:rsidRDefault="00722892" w:rsidP="00722892">
      <w:pPr>
        <w:spacing w:after="0" w:line="240" w:lineRule="auto"/>
      </w:pPr>
      <w:r>
        <w:separator/>
      </w:r>
    </w:p>
  </w:endnote>
  <w:endnote w:type="continuationSeparator" w:id="0">
    <w:p w:rsidR="00722892" w:rsidRDefault="00722892" w:rsidP="0072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32" w:rsidRDefault="001E5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32" w:rsidRDefault="001E5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32" w:rsidRDefault="001E5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892" w:rsidRDefault="00722892" w:rsidP="00722892">
      <w:pPr>
        <w:spacing w:after="0" w:line="240" w:lineRule="auto"/>
      </w:pPr>
      <w:r>
        <w:separator/>
      </w:r>
    </w:p>
  </w:footnote>
  <w:footnote w:type="continuationSeparator" w:id="0">
    <w:p w:rsidR="00722892" w:rsidRDefault="00722892" w:rsidP="00722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32" w:rsidRDefault="001E5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32" w:rsidRDefault="001E5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32" w:rsidRDefault="001E5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92C"/>
    <w:multiLevelType w:val="hybridMultilevel"/>
    <w:tmpl w:val="4F46C5A4"/>
    <w:lvl w:ilvl="0" w:tplc="7EC49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10DA1"/>
    <w:multiLevelType w:val="hybridMultilevel"/>
    <w:tmpl w:val="B8CE587E"/>
    <w:lvl w:ilvl="0" w:tplc="C196342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2D4075"/>
    <w:multiLevelType w:val="hybridMultilevel"/>
    <w:tmpl w:val="77DE0E20"/>
    <w:lvl w:ilvl="0" w:tplc="FEC443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A73C2"/>
    <w:multiLevelType w:val="hybridMultilevel"/>
    <w:tmpl w:val="C54C98A6"/>
    <w:lvl w:ilvl="0" w:tplc="710E8D2E">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4" w15:restartNumberingAfterBreak="0">
    <w:nsid w:val="3AAD4C75"/>
    <w:multiLevelType w:val="hybridMultilevel"/>
    <w:tmpl w:val="D97AB74E"/>
    <w:lvl w:ilvl="0" w:tplc="593A9BF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229547C"/>
    <w:multiLevelType w:val="hybridMultilevel"/>
    <w:tmpl w:val="63AE7CF0"/>
    <w:lvl w:ilvl="0" w:tplc="16A4D1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C3162D5"/>
    <w:multiLevelType w:val="hybridMultilevel"/>
    <w:tmpl w:val="2B5E2D2E"/>
    <w:lvl w:ilvl="0" w:tplc="18A02B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FFF4843"/>
    <w:multiLevelType w:val="hybridMultilevel"/>
    <w:tmpl w:val="CA0CEBC6"/>
    <w:lvl w:ilvl="0" w:tplc="EC82D616">
      <w:start w:val="1"/>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FA"/>
    <w:rsid w:val="00030E18"/>
    <w:rsid w:val="00044364"/>
    <w:rsid w:val="00066148"/>
    <w:rsid w:val="0006653A"/>
    <w:rsid w:val="0008353C"/>
    <w:rsid w:val="00093CCE"/>
    <w:rsid w:val="000A28AD"/>
    <w:rsid w:val="000B2C14"/>
    <w:rsid w:val="000C1BCF"/>
    <w:rsid w:val="000F45E7"/>
    <w:rsid w:val="000F4BFA"/>
    <w:rsid w:val="00117C62"/>
    <w:rsid w:val="001215A7"/>
    <w:rsid w:val="00164B31"/>
    <w:rsid w:val="001709C7"/>
    <w:rsid w:val="001A1D64"/>
    <w:rsid w:val="001B1620"/>
    <w:rsid w:val="001C3AD2"/>
    <w:rsid w:val="001D0139"/>
    <w:rsid w:val="001E5232"/>
    <w:rsid w:val="002558DB"/>
    <w:rsid w:val="00267011"/>
    <w:rsid w:val="00275F49"/>
    <w:rsid w:val="002934A2"/>
    <w:rsid w:val="00297604"/>
    <w:rsid w:val="002B71A0"/>
    <w:rsid w:val="002D01C9"/>
    <w:rsid w:val="002E06C4"/>
    <w:rsid w:val="002F1C66"/>
    <w:rsid w:val="002F6609"/>
    <w:rsid w:val="00305FF9"/>
    <w:rsid w:val="00337ABD"/>
    <w:rsid w:val="00347627"/>
    <w:rsid w:val="003A5322"/>
    <w:rsid w:val="003C6E5D"/>
    <w:rsid w:val="003D01A4"/>
    <w:rsid w:val="003F494A"/>
    <w:rsid w:val="00412D7B"/>
    <w:rsid w:val="00415F32"/>
    <w:rsid w:val="004B0923"/>
    <w:rsid w:val="004D5B1E"/>
    <w:rsid w:val="004E3C39"/>
    <w:rsid w:val="004F00B0"/>
    <w:rsid w:val="004F7DBA"/>
    <w:rsid w:val="00522333"/>
    <w:rsid w:val="00531B2D"/>
    <w:rsid w:val="00546E1F"/>
    <w:rsid w:val="00592B3B"/>
    <w:rsid w:val="005A24D4"/>
    <w:rsid w:val="005B06CE"/>
    <w:rsid w:val="005B79AC"/>
    <w:rsid w:val="005C0A35"/>
    <w:rsid w:val="005C20B8"/>
    <w:rsid w:val="005E4D14"/>
    <w:rsid w:val="006104D3"/>
    <w:rsid w:val="00612DF1"/>
    <w:rsid w:val="006203DF"/>
    <w:rsid w:val="006309E6"/>
    <w:rsid w:val="0063118D"/>
    <w:rsid w:val="006449F7"/>
    <w:rsid w:val="00651262"/>
    <w:rsid w:val="006664C9"/>
    <w:rsid w:val="006B0F15"/>
    <w:rsid w:val="006B28F7"/>
    <w:rsid w:val="006B3637"/>
    <w:rsid w:val="006B7F7C"/>
    <w:rsid w:val="006D3B3F"/>
    <w:rsid w:val="006E3540"/>
    <w:rsid w:val="006F3D97"/>
    <w:rsid w:val="0070375F"/>
    <w:rsid w:val="007075DF"/>
    <w:rsid w:val="00722892"/>
    <w:rsid w:val="0073379A"/>
    <w:rsid w:val="00740281"/>
    <w:rsid w:val="007739EC"/>
    <w:rsid w:val="00783706"/>
    <w:rsid w:val="00785096"/>
    <w:rsid w:val="00793FB8"/>
    <w:rsid w:val="007A03CB"/>
    <w:rsid w:val="007A0AAC"/>
    <w:rsid w:val="007B16BB"/>
    <w:rsid w:val="007B78D3"/>
    <w:rsid w:val="007C0BF0"/>
    <w:rsid w:val="007C1A84"/>
    <w:rsid w:val="007D7CFA"/>
    <w:rsid w:val="007E11AB"/>
    <w:rsid w:val="007F61A9"/>
    <w:rsid w:val="00810157"/>
    <w:rsid w:val="00811679"/>
    <w:rsid w:val="00814ED5"/>
    <w:rsid w:val="00814F86"/>
    <w:rsid w:val="00817B87"/>
    <w:rsid w:val="00827271"/>
    <w:rsid w:val="0083658D"/>
    <w:rsid w:val="008462FE"/>
    <w:rsid w:val="0084634F"/>
    <w:rsid w:val="00846BD5"/>
    <w:rsid w:val="008546D3"/>
    <w:rsid w:val="00855892"/>
    <w:rsid w:val="00856CA2"/>
    <w:rsid w:val="00865E66"/>
    <w:rsid w:val="00870F46"/>
    <w:rsid w:val="00882718"/>
    <w:rsid w:val="008B388C"/>
    <w:rsid w:val="008B59FF"/>
    <w:rsid w:val="008C41C4"/>
    <w:rsid w:val="008E4E2D"/>
    <w:rsid w:val="008F6864"/>
    <w:rsid w:val="0090239B"/>
    <w:rsid w:val="009322FB"/>
    <w:rsid w:val="00946582"/>
    <w:rsid w:val="00970CB9"/>
    <w:rsid w:val="009713A3"/>
    <w:rsid w:val="00983C03"/>
    <w:rsid w:val="0099084E"/>
    <w:rsid w:val="00995CB9"/>
    <w:rsid w:val="009969EB"/>
    <w:rsid w:val="009B07B0"/>
    <w:rsid w:val="009B7995"/>
    <w:rsid w:val="009D0D0F"/>
    <w:rsid w:val="009E4D2C"/>
    <w:rsid w:val="009F26AA"/>
    <w:rsid w:val="009F32C7"/>
    <w:rsid w:val="009F6947"/>
    <w:rsid w:val="009F7B3B"/>
    <w:rsid w:val="00A067B6"/>
    <w:rsid w:val="00A14734"/>
    <w:rsid w:val="00A43276"/>
    <w:rsid w:val="00A47279"/>
    <w:rsid w:val="00A908BB"/>
    <w:rsid w:val="00A97C01"/>
    <w:rsid w:val="00AB5989"/>
    <w:rsid w:val="00AB6F70"/>
    <w:rsid w:val="00AC7444"/>
    <w:rsid w:val="00AD0157"/>
    <w:rsid w:val="00AD207E"/>
    <w:rsid w:val="00AD78A8"/>
    <w:rsid w:val="00AE0EFF"/>
    <w:rsid w:val="00AE697F"/>
    <w:rsid w:val="00AF0C5D"/>
    <w:rsid w:val="00B4100B"/>
    <w:rsid w:val="00B44D34"/>
    <w:rsid w:val="00B55200"/>
    <w:rsid w:val="00B76A86"/>
    <w:rsid w:val="00B86E7E"/>
    <w:rsid w:val="00BC71FD"/>
    <w:rsid w:val="00BD1167"/>
    <w:rsid w:val="00BD5061"/>
    <w:rsid w:val="00BD6BDF"/>
    <w:rsid w:val="00BE3943"/>
    <w:rsid w:val="00BE474F"/>
    <w:rsid w:val="00C028C0"/>
    <w:rsid w:val="00C310C5"/>
    <w:rsid w:val="00C3708A"/>
    <w:rsid w:val="00C37B1A"/>
    <w:rsid w:val="00C46B75"/>
    <w:rsid w:val="00C60E3F"/>
    <w:rsid w:val="00C6136E"/>
    <w:rsid w:val="00C66275"/>
    <w:rsid w:val="00C73D16"/>
    <w:rsid w:val="00C80C65"/>
    <w:rsid w:val="00CA02CE"/>
    <w:rsid w:val="00CC408A"/>
    <w:rsid w:val="00CE28CD"/>
    <w:rsid w:val="00CE470D"/>
    <w:rsid w:val="00CE70D6"/>
    <w:rsid w:val="00CF0F31"/>
    <w:rsid w:val="00D12433"/>
    <w:rsid w:val="00D12EE2"/>
    <w:rsid w:val="00D33609"/>
    <w:rsid w:val="00D53E18"/>
    <w:rsid w:val="00D65B9A"/>
    <w:rsid w:val="00D82BFD"/>
    <w:rsid w:val="00D83D77"/>
    <w:rsid w:val="00D94F3F"/>
    <w:rsid w:val="00DB4C1E"/>
    <w:rsid w:val="00DD3CF1"/>
    <w:rsid w:val="00DF2DA5"/>
    <w:rsid w:val="00E150B3"/>
    <w:rsid w:val="00E31A2F"/>
    <w:rsid w:val="00E57D3A"/>
    <w:rsid w:val="00E647F4"/>
    <w:rsid w:val="00E7356E"/>
    <w:rsid w:val="00E841AC"/>
    <w:rsid w:val="00EA0B8A"/>
    <w:rsid w:val="00EA355D"/>
    <w:rsid w:val="00EB0458"/>
    <w:rsid w:val="00EB2C00"/>
    <w:rsid w:val="00EB7E38"/>
    <w:rsid w:val="00EC6DAB"/>
    <w:rsid w:val="00EE48A9"/>
    <w:rsid w:val="00F10ED0"/>
    <w:rsid w:val="00F13655"/>
    <w:rsid w:val="00F160D8"/>
    <w:rsid w:val="00F573FD"/>
    <w:rsid w:val="00F75054"/>
    <w:rsid w:val="00FD2ADB"/>
    <w:rsid w:val="00FD7D98"/>
    <w:rsid w:val="00FE0621"/>
    <w:rsid w:val="00FE2083"/>
    <w:rsid w:val="00FE229F"/>
    <w:rsid w:val="00FE36FF"/>
    <w:rsid w:val="00FF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1B52D937-C38F-41B4-9481-0129100F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6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4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F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B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55892"/>
    <w:pPr>
      <w:spacing w:after="0" w:line="240" w:lineRule="auto"/>
    </w:pPr>
  </w:style>
  <w:style w:type="character" w:customStyle="1" w:styleId="Heading3Char">
    <w:name w:val="Heading 3 Char"/>
    <w:basedOn w:val="DefaultParagraphFont"/>
    <w:link w:val="Heading3"/>
    <w:uiPriority w:val="9"/>
    <w:rsid w:val="00814ED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9969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9E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B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61A9"/>
    <w:pPr>
      <w:spacing w:after="200" w:line="240" w:lineRule="auto"/>
    </w:pPr>
    <w:rPr>
      <w:i/>
      <w:iCs/>
      <w:color w:val="44546A" w:themeColor="text2"/>
      <w:sz w:val="18"/>
      <w:szCs w:val="18"/>
    </w:rPr>
  </w:style>
  <w:style w:type="table" w:styleId="PlainTable5">
    <w:name w:val="Plain Table 5"/>
    <w:basedOn w:val="TableNormal"/>
    <w:uiPriority w:val="45"/>
    <w:rsid w:val="00A97C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97C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80C65"/>
    <w:pPr>
      <w:ind w:left="720"/>
      <w:contextualSpacing/>
    </w:pPr>
  </w:style>
  <w:style w:type="paragraph" w:styleId="BalloonText">
    <w:name w:val="Balloon Text"/>
    <w:basedOn w:val="Normal"/>
    <w:link w:val="BalloonTextChar"/>
    <w:uiPriority w:val="99"/>
    <w:semiHidden/>
    <w:unhideWhenUsed/>
    <w:rsid w:val="00722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892"/>
    <w:rPr>
      <w:rFonts w:ascii="Segoe UI" w:hAnsi="Segoe UI" w:cs="Segoe UI"/>
      <w:sz w:val="18"/>
      <w:szCs w:val="18"/>
    </w:rPr>
  </w:style>
  <w:style w:type="paragraph" w:styleId="FootnoteText">
    <w:name w:val="footnote text"/>
    <w:basedOn w:val="Normal"/>
    <w:link w:val="FootnoteTextChar"/>
    <w:uiPriority w:val="99"/>
    <w:semiHidden/>
    <w:unhideWhenUsed/>
    <w:rsid w:val="00722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892"/>
    <w:rPr>
      <w:sz w:val="20"/>
      <w:szCs w:val="20"/>
    </w:rPr>
  </w:style>
  <w:style w:type="character" w:styleId="FootnoteReference">
    <w:name w:val="footnote reference"/>
    <w:basedOn w:val="DefaultParagraphFont"/>
    <w:uiPriority w:val="99"/>
    <w:semiHidden/>
    <w:unhideWhenUsed/>
    <w:rsid w:val="00722892"/>
    <w:rPr>
      <w:vertAlign w:val="superscript"/>
    </w:rPr>
  </w:style>
  <w:style w:type="paragraph" w:styleId="Header">
    <w:name w:val="header"/>
    <w:basedOn w:val="Normal"/>
    <w:link w:val="HeaderChar"/>
    <w:uiPriority w:val="99"/>
    <w:unhideWhenUsed/>
    <w:rsid w:val="001E5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232"/>
  </w:style>
  <w:style w:type="paragraph" w:styleId="Footer">
    <w:name w:val="footer"/>
    <w:basedOn w:val="Normal"/>
    <w:link w:val="FooterChar"/>
    <w:uiPriority w:val="99"/>
    <w:unhideWhenUsed/>
    <w:rsid w:val="001E5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Arial" pitchFamily="34" charset="0"/>
                <a:cs typeface="Arial" pitchFamily="34" charset="0"/>
              </a:defRPr>
            </a:pPr>
            <a:r>
              <a:rPr lang="en-US" sz="800" b="1" i="0" u="none" strike="noStrike" baseline="0">
                <a:effectLst/>
              </a:rPr>
              <a:t>Economic Performance for Minnesota's Manufacturing Industry --</a:t>
            </a:r>
          </a:p>
          <a:p>
            <a:pPr>
              <a:defRPr sz="900">
                <a:latin typeface="Arial" pitchFamily="34" charset="0"/>
                <a:cs typeface="Arial" pitchFamily="34" charset="0"/>
              </a:defRPr>
            </a:pPr>
            <a:r>
              <a:rPr lang="en-US" sz="800" b="1" i="0" u="none" strike="noStrike" baseline="0">
                <a:effectLst/>
              </a:rPr>
              <a:t>2018, Compared to 2017</a:t>
            </a:r>
            <a:endParaRPr lang="en-US" sz="800">
              <a:latin typeface="Arial" pitchFamily="34" charset="0"/>
              <a:cs typeface="Arial" pitchFamily="34" charset="0"/>
            </a:endParaRPr>
          </a:p>
        </c:rich>
      </c:tx>
      <c:layout/>
      <c:overlay val="0"/>
    </c:title>
    <c:autoTitleDeleted val="0"/>
    <c:plotArea>
      <c:layout>
        <c:manualLayout>
          <c:layoutTarget val="inner"/>
          <c:xMode val="edge"/>
          <c:yMode val="edge"/>
          <c:x val="8.7771154091241477E-2"/>
          <c:y val="0.2315086040866052"/>
          <c:w val="0.8701994877758924"/>
          <c:h val="0.63870134720985006"/>
        </c:manualLayout>
      </c:layout>
      <c:barChart>
        <c:barDir val="col"/>
        <c:grouping val="clustered"/>
        <c:varyColors val="0"/>
        <c:ser>
          <c:idx val="0"/>
          <c:order val="0"/>
          <c:tx>
            <c:strRef>
              <c:f>Sheet1!$B$1</c:f>
              <c:strCache>
                <c:ptCount val="1"/>
                <c:pt idx="0">
                  <c:v>Up</c:v>
                </c:pt>
              </c:strCache>
            </c:strRef>
          </c:tx>
          <c:spPr>
            <a:ln>
              <a:solidFill>
                <a:schemeClr val="accent1"/>
              </a:solidFill>
            </a:ln>
          </c:spPr>
          <c:invertIfNegative val="0"/>
          <c:cat>
            <c:strRef>
              <c:f>Sheet1!$A$2:$A$9</c:f>
              <c:strCache>
                <c:ptCount val="8"/>
                <c:pt idx="0">
                  <c:v>Orders</c:v>
                </c:pt>
                <c:pt idx="1">
                  <c:v>Produc- tion</c:v>
                </c:pt>
                <c:pt idx="2">
                  <c:v>Employ- ment</c:v>
                </c:pt>
                <c:pt idx="3">
                  <c:v>Invest- ment</c:v>
                </c:pt>
                <c:pt idx="4">
                  <c:v>Prices</c:v>
                </c:pt>
                <c:pt idx="5">
                  <c:v>Profits</c:v>
                </c:pt>
                <c:pt idx="6">
                  <c:v>Produc- tivity</c:v>
                </c:pt>
                <c:pt idx="7">
                  <c:v>Exports</c:v>
                </c:pt>
              </c:strCache>
            </c:strRef>
          </c:cat>
          <c:val>
            <c:numRef>
              <c:f>Sheet1!$B$2:$B$9</c:f>
              <c:numCache>
                <c:formatCode>0%</c:formatCode>
                <c:ptCount val="8"/>
                <c:pt idx="0">
                  <c:v>0.55000000000000004</c:v>
                </c:pt>
                <c:pt idx="1">
                  <c:v>0.55000000000000004</c:v>
                </c:pt>
                <c:pt idx="2">
                  <c:v>0.41</c:v>
                </c:pt>
                <c:pt idx="3">
                  <c:v>0.46</c:v>
                </c:pt>
                <c:pt idx="4">
                  <c:v>0.56999999999999995</c:v>
                </c:pt>
                <c:pt idx="5">
                  <c:v>0.34</c:v>
                </c:pt>
                <c:pt idx="6">
                  <c:v>0.38</c:v>
                </c:pt>
                <c:pt idx="7">
                  <c:v>0.33</c:v>
                </c:pt>
              </c:numCache>
            </c:numRef>
          </c:val>
        </c:ser>
        <c:ser>
          <c:idx val="1"/>
          <c:order val="1"/>
          <c:tx>
            <c:strRef>
              <c:f>Sheet1!$C$1</c:f>
              <c:strCache>
                <c:ptCount val="1"/>
                <c:pt idx="0">
                  <c:v>Same</c:v>
                </c:pt>
              </c:strCache>
            </c:strRef>
          </c:tx>
          <c:spPr>
            <a:solidFill>
              <a:srgbClr val="92D050"/>
            </a:solidFill>
            <a:ln>
              <a:solidFill>
                <a:schemeClr val="accent1"/>
              </a:solidFill>
            </a:ln>
          </c:spPr>
          <c:invertIfNegative val="0"/>
          <c:cat>
            <c:strRef>
              <c:f>Sheet1!$A$2:$A$9</c:f>
              <c:strCache>
                <c:ptCount val="8"/>
                <c:pt idx="0">
                  <c:v>Orders</c:v>
                </c:pt>
                <c:pt idx="1">
                  <c:v>Produc- tion</c:v>
                </c:pt>
                <c:pt idx="2">
                  <c:v>Employ- ment</c:v>
                </c:pt>
                <c:pt idx="3">
                  <c:v>Invest- ment</c:v>
                </c:pt>
                <c:pt idx="4">
                  <c:v>Prices</c:v>
                </c:pt>
                <c:pt idx="5">
                  <c:v>Profits</c:v>
                </c:pt>
                <c:pt idx="6">
                  <c:v>Produc- tivity</c:v>
                </c:pt>
                <c:pt idx="7">
                  <c:v>Exports</c:v>
                </c:pt>
              </c:strCache>
            </c:strRef>
          </c:cat>
          <c:val>
            <c:numRef>
              <c:f>Sheet1!$C$2:$C$9</c:f>
              <c:numCache>
                <c:formatCode>0%</c:formatCode>
                <c:ptCount val="8"/>
                <c:pt idx="0">
                  <c:v>0.27</c:v>
                </c:pt>
                <c:pt idx="1">
                  <c:v>0.31</c:v>
                </c:pt>
                <c:pt idx="2">
                  <c:v>0.45</c:v>
                </c:pt>
                <c:pt idx="3">
                  <c:v>0.42</c:v>
                </c:pt>
                <c:pt idx="4">
                  <c:v>0.36</c:v>
                </c:pt>
                <c:pt idx="5">
                  <c:v>0.32</c:v>
                </c:pt>
                <c:pt idx="6">
                  <c:v>0.49</c:v>
                </c:pt>
                <c:pt idx="7">
                  <c:v>0.49</c:v>
                </c:pt>
              </c:numCache>
            </c:numRef>
          </c:val>
        </c:ser>
        <c:ser>
          <c:idx val="2"/>
          <c:order val="2"/>
          <c:tx>
            <c:strRef>
              <c:f>Sheet1!$D$1</c:f>
              <c:strCache>
                <c:ptCount val="1"/>
                <c:pt idx="0">
                  <c:v>Down</c:v>
                </c:pt>
              </c:strCache>
            </c:strRef>
          </c:tx>
          <c:spPr>
            <a:solidFill>
              <a:srgbClr val="FFFF99"/>
            </a:solidFill>
            <a:ln>
              <a:solidFill>
                <a:schemeClr val="accent1"/>
              </a:solidFill>
            </a:ln>
          </c:spPr>
          <c:invertIfNegative val="0"/>
          <c:cat>
            <c:strRef>
              <c:f>Sheet1!$A$2:$A$9</c:f>
              <c:strCache>
                <c:ptCount val="8"/>
                <c:pt idx="0">
                  <c:v>Orders</c:v>
                </c:pt>
                <c:pt idx="1">
                  <c:v>Produc- tion</c:v>
                </c:pt>
                <c:pt idx="2">
                  <c:v>Employ- ment</c:v>
                </c:pt>
                <c:pt idx="3">
                  <c:v>Invest- ment</c:v>
                </c:pt>
                <c:pt idx="4">
                  <c:v>Prices</c:v>
                </c:pt>
                <c:pt idx="5">
                  <c:v>Profits</c:v>
                </c:pt>
                <c:pt idx="6">
                  <c:v>Produc- tivity</c:v>
                </c:pt>
                <c:pt idx="7">
                  <c:v>Exports</c:v>
                </c:pt>
              </c:strCache>
            </c:strRef>
          </c:cat>
          <c:val>
            <c:numRef>
              <c:f>Sheet1!$D$2:$D$9</c:f>
              <c:numCache>
                <c:formatCode>0%</c:formatCode>
                <c:ptCount val="8"/>
                <c:pt idx="0">
                  <c:v>0.18</c:v>
                </c:pt>
                <c:pt idx="1">
                  <c:v>0.15</c:v>
                </c:pt>
                <c:pt idx="2">
                  <c:v>0.15</c:v>
                </c:pt>
                <c:pt idx="3">
                  <c:v>0.13</c:v>
                </c:pt>
                <c:pt idx="4">
                  <c:v>7.0000000000000007E-2</c:v>
                </c:pt>
                <c:pt idx="5">
                  <c:v>0.34</c:v>
                </c:pt>
                <c:pt idx="6">
                  <c:v>0.13</c:v>
                </c:pt>
                <c:pt idx="7">
                  <c:v>0.17</c:v>
                </c:pt>
              </c:numCache>
            </c:numRef>
          </c:val>
        </c:ser>
        <c:dLbls>
          <c:showLegendKey val="0"/>
          <c:showVal val="0"/>
          <c:showCatName val="0"/>
          <c:showSerName val="0"/>
          <c:showPercent val="0"/>
          <c:showBubbleSize val="0"/>
        </c:dLbls>
        <c:gapWidth val="100"/>
        <c:axId val="132988096"/>
        <c:axId val="132992576"/>
      </c:barChart>
      <c:catAx>
        <c:axId val="132988096"/>
        <c:scaling>
          <c:orientation val="minMax"/>
        </c:scaling>
        <c:delete val="0"/>
        <c:axPos val="b"/>
        <c:numFmt formatCode="General" sourceLinked="0"/>
        <c:majorTickMark val="out"/>
        <c:minorTickMark val="none"/>
        <c:tickLblPos val="nextTo"/>
        <c:txPr>
          <a:bodyPr rot="0" vert="horz"/>
          <a:lstStyle/>
          <a:p>
            <a:pPr>
              <a:defRPr sz="700">
                <a:latin typeface="Arial" pitchFamily="34" charset="0"/>
                <a:cs typeface="Arial" pitchFamily="34" charset="0"/>
              </a:defRPr>
            </a:pPr>
            <a:endParaRPr lang="en-US"/>
          </a:p>
        </c:txPr>
        <c:crossAx val="132992576"/>
        <c:crosses val="autoZero"/>
        <c:auto val="1"/>
        <c:lblAlgn val="ctr"/>
        <c:lblOffset val="100"/>
        <c:noMultiLvlLbl val="0"/>
      </c:catAx>
      <c:valAx>
        <c:axId val="132992576"/>
        <c:scaling>
          <c:orientation val="minMax"/>
          <c:max val="0.70000000000000007"/>
        </c:scaling>
        <c:delete val="0"/>
        <c:axPos val="l"/>
        <c:majorGridlines/>
        <c:numFmt formatCode="0%" sourceLinked="1"/>
        <c:majorTickMark val="out"/>
        <c:minorTickMark val="none"/>
        <c:tickLblPos val="nextTo"/>
        <c:txPr>
          <a:bodyPr/>
          <a:lstStyle/>
          <a:p>
            <a:pPr>
              <a:defRPr sz="800"/>
            </a:pPr>
            <a:endParaRPr lang="en-US"/>
          </a:p>
        </c:txPr>
        <c:crossAx val="132988096"/>
        <c:crosses val="autoZero"/>
        <c:crossBetween val="between"/>
      </c:valAx>
    </c:plotArea>
    <c:legend>
      <c:legendPos val="t"/>
      <c:layout>
        <c:manualLayout>
          <c:xMode val="edge"/>
          <c:yMode val="edge"/>
          <c:x val="0.58131211599253563"/>
          <c:y val="0.25758512267877776"/>
          <c:w val="0.312383635419754"/>
          <c:h val="7.3936167508604378E-2"/>
        </c:manualLayout>
      </c:layout>
      <c:overlay val="0"/>
      <c:spPr>
        <a:ln>
          <a:solidFill>
            <a:schemeClr val="accent1"/>
          </a:solidFill>
        </a:ln>
      </c:spPr>
      <c:txPr>
        <a:bodyPr/>
        <a:lstStyle/>
        <a:p>
          <a:pPr>
            <a:defRPr sz="7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Arial" pitchFamily="34" charset="0"/>
                <a:cs typeface="Arial" pitchFamily="34" charset="0"/>
              </a:defRPr>
            </a:pPr>
            <a:r>
              <a:rPr lang="en-US" sz="800" b="1" i="0" u="none" strike="noStrike" baseline="0">
                <a:effectLst/>
              </a:rPr>
              <a:t>Outlook on Economic Performance for Minnesota's Manufacturing Industry --</a:t>
            </a:r>
          </a:p>
          <a:p>
            <a:pPr>
              <a:defRPr sz="900">
                <a:latin typeface="Arial" pitchFamily="34" charset="0"/>
                <a:cs typeface="Arial" pitchFamily="34" charset="0"/>
              </a:defRPr>
            </a:pPr>
            <a:r>
              <a:rPr lang="en-US" sz="800" b="1" i="0" u="none" strike="noStrike" baseline="0">
                <a:effectLst/>
              </a:rPr>
              <a:t>2019, Compared to 2018</a:t>
            </a:r>
            <a:endParaRPr lang="en-US" sz="800">
              <a:latin typeface="Arial" pitchFamily="34" charset="0"/>
              <a:cs typeface="Arial" pitchFamily="34" charset="0"/>
            </a:endParaRPr>
          </a:p>
        </c:rich>
      </c:tx>
      <c:layout/>
      <c:overlay val="0"/>
    </c:title>
    <c:autoTitleDeleted val="0"/>
    <c:plotArea>
      <c:layout>
        <c:manualLayout>
          <c:layoutTarget val="inner"/>
          <c:xMode val="edge"/>
          <c:yMode val="edge"/>
          <c:x val="8.7771154091241477E-2"/>
          <c:y val="0.2315086040866052"/>
          <c:w val="0.84062156768714325"/>
          <c:h val="0.63870134720985006"/>
        </c:manualLayout>
      </c:layout>
      <c:barChart>
        <c:barDir val="col"/>
        <c:grouping val="clustered"/>
        <c:varyColors val="0"/>
        <c:ser>
          <c:idx val="0"/>
          <c:order val="0"/>
          <c:tx>
            <c:strRef>
              <c:f>Sheet1!$B$1</c:f>
              <c:strCache>
                <c:ptCount val="1"/>
                <c:pt idx="0">
                  <c:v>Up</c:v>
                </c:pt>
              </c:strCache>
            </c:strRef>
          </c:tx>
          <c:spPr>
            <a:ln>
              <a:solidFill>
                <a:schemeClr val="accent1"/>
              </a:solidFill>
            </a:ln>
          </c:spPr>
          <c:invertIfNegative val="0"/>
          <c:cat>
            <c:strRef>
              <c:f>Sheet1!$A$2:$A$9</c:f>
              <c:strCache>
                <c:ptCount val="8"/>
                <c:pt idx="0">
                  <c:v>Orders</c:v>
                </c:pt>
                <c:pt idx="1">
                  <c:v>Produc- tion</c:v>
                </c:pt>
                <c:pt idx="2">
                  <c:v>Employ- ment</c:v>
                </c:pt>
                <c:pt idx="3">
                  <c:v>Invest- ment</c:v>
                </c:pt>
                <c:pt idx="4">
                  <c:v>Prices</c:v>
                </c:pt>
                <c:pt idx="5">
                  <c:v>Profits</c:v>
                </c:pt>
                <c:pt idx="6">
                  <c:v>Produc- tivity</c:v>
                </c:pt>
                <c:pt idx="7">
                  <c:v>Exports</c:v>
                </c:pt>
              </c:strCache>
            </c:strRef>
          </c:cat>
          <c:val>
            <c:numRef>
              <c:f>Sheet1!$B$2:$B$9</c:f>
              <c:numCache>
                <c:formatCode>0%</c:formatCode>
                <c:ptCount val="8"/>
                <c:pt idx="0">
                  <c:v>0.47</c:v>
                </c:pt>
                <c:pt idx="1">
                  <c:v>0.47</c:v>
                </c:pt>
                <c:pt idx="2">
                  <c:v>0.33</c:v>
                </c:pt>
                <c:pt idx="3">
                  <c:v>0.36</c:v>
                </c:pt>
                <c:pt idx="4">
                  <c:v>0.53</c:v>
                </c:pt>
                <c:pt idx="5">
                  <c:v>0.42</c:v>
                </c:pt>
                <c:pt idx="6">
                  <c:v>0.51</c:v>
                </c:pt>
                <c:pt idx="7">
                  <c:v>0.33</c:v>
                </c:pt>
              </c:numCache>
            </c:numRef>
          </c:val>
        </c:ser>
        <c:ser>
          <c:idx val="1"/>
          <c:order val="1"/>
          <c:tx>
            <c:strRef>
              <c:f>Sheet1!$C$1</c:f>
              <c:strCache>
                <c:ptCount val="1"/>
                <c:pt idx="0">
                  <c:v>Same</c:v>
                </c:pt>
              </c:strCache>
            </c:strRef>
          </c:tx>
          <c:spPr>
            <a:solidFill>
              <a:srgbClr val="92D050"/>
            </a:solidFill>
            <a:ln>
              <a:solidFill>
                <a:schemeClr val="accent1"/>
              </a:solidFill>
            </a:ln>
          </c:spPr>
          <c:invertIfNegative val="0"/>
          <c:cat>
            <c:strRef>
              <c:f>Sheet1!$A$2:$A$9</c:f>
              <c:strCache>
                <c:ptCount val="8"/>
                <c:pt idx="0">
                  <c:v>Orders</c:v>
                </c:pt>
                <c:pt idx="1">
                  <c:v>Produc- tion</c:v>
                </c:pt>
                <c:pt idx="2">
                  <c:v>Employ- ment</c:v>
                </c:pt>
                <c:pt idx="3">
                  <c:v>Invest- ment</c:v>
                </c:pt>
                <c:pt idx="4">
                  <c:v>Prices</c:v>
                </c:pt>
                <c:pt idx="5">
                  <c:v>Profits</c:v>
                </c:pt>
                <c:pt idx="6">
                  <c:v>Produc- tivity</c:v>
                </c:pt>
                <c:pt idx="7">
                  <c:v>Exports</c:v>
                </c:pt>
              </c:strCache>
            </c:strRef>
          </c:cat>
          <c:val>
            <c:numRef>
              <c:f>Sheet1!$C$2:$C$9</c:f>
              <c:numCache>
                <c:formatCode>0%</c:formatCode>
                <c:ptCount val="8"/>
                <c:pt idx="0">
                  <c:v>0.43</c:v>
                </c:pt>
                <c:pt idx="1">
                  <c:v>0.47</c:v>
                </c:pt>
                <c:pt idx="2">
                  <c:v>0.61</c:v>
                </c:pt>
                <c:pt idx="3">
                  <c:v>0.51</c:v>
                </c:pt>
                <c:pt idx="4">
                  <c:v>0.42</c:v>
                </c:pt>
                <c:pt idx="5">
                  <c:v>0.41</c:v>
                </c:pt>
                <c:pt idx="6">
                  <c:v>0.42</c:v>
                </c:pt>
                <c:pt idx="7">
                  <c:v>0.53</c:v>
                </c:pt>
              </c:numCache>
            </c:numRef>
          </c:val>
        </c:ser>
        <c:ser>
          <c:idx val="2"/>
          <c:order val="2"/>
          <c:tx>
            <c:strRef>
              <c:f>Sheet1!$D$1</c:f>
              <c:strCache>
                <c:ptCount val="1"/>
                <c:pt idx="0">
                  <c:v>Down</c:v>
                </c:pt>
              </c:strCache>
            </c:strRef>
          </c:tx>
          <c:spPr>
            <a:solidFill>
              <a:srgbClr val="FFFF99"/>
            </a:solidFill>
            <a:ln>
              <a:solidFill>
                <a:schemeClr val="accent1"/>
              </a:solidFill>
            </a:ln>
          </c:spPr>
          <c:invertIfNegative val="0"/>
          <c:cat>
            <c:strRef>
              <c:f>Sheet1!$A$2:$A$9</c:f>
              <c:strCache>
                <c:ptCount val="8"/>
                <c:pt idx="0">
                  <c:v>Orders</c:v>
                </c:pt>
                <c:pt idx="1">
                  <c:v>Produc- tion</c:v>
                </c:pt>
                <c:pt idx="2">
                  <c:v>Employ- ment</c:v>
                </c:pt>
                <c:pt idx="3">
                  <c:v>Invest- ment</c:v>
                </c:pt>
                <c:pt idx="4">
                  <c:v>Prices</c:v>
                </c:pt>
                <c:pt idx="5">
                  <c:v>Profits</c:v>
                </c:pt>
                <c:pt idx="6">
                  <c:v>Produc- tivity</c:v>
                </c:pt>
                <c:pt idx="7">
                  <c:v>Exports</c:v>
                </c:pt>
              </c:strCache>
            </c:strRef>
          </c:cat>
          <c:val>
            <c:numRef>
              <c:f>Sheet1!$D$2:$D$9</c:f>
              <c:numCache>
                <c:formatCode>0%</c:formatCode>
                <c:ptCount val="8"/>
                <c:pt idx="0">
                  <c:v>0.1</c:v>
                </c:pt>
                <c:pt idx="1">
                  <c:v>0.06</c:v>
                </c:pt>
                <c:pt idx="2">
                  <c:v>0.06</c:v>
                </c:pt>
                <c:pt idx="3">
                  <c:v>0.13</c:v>
                </c:pt>
                <c:pt idx="4">
                  <c:v>0.05</c:v>
                </c:pt>
                <c:pt idx="5">
                  <c:v>0.17</c:v>
                </c:pt>
                <c:pt idx="6">
                  <c:v>7.0000000000000007E-2</c:v>
                </c:pt>
                <c:pt idx="7">
                  <c:v>0.14000000000000001</c:v>
                </c:pt>
              </c:numCache>
            </c:numRef>
          </c:val>
        </c:ser>
        <c:dLbls>
          <c:showLegendKey val="0"/>
          <c:showVal val="0"/>
          <c:showCatName val="0"/>
          <c:showSerName val="0"/>
          <c:showPercent val="0"/>
          <c:showBubbleSize val="0"/>
        </c:dLbls>
        <c:gapWidth val="100"/>
        <c:axId val="131897280"/>
        <c:axId val="131897672"/>
      </c:barChart>
      <c:catAx>
        <c:axId val="131897280"/>
        <c:scaling>
          <c:orientation val="minMax"/>
        </c:scaling>
        <c:delete val="0"/>
        <c:axPos val="b"/>
        <c:numFmt formatCode="General" sourceLinked="0"/>
        <c:majorTickMark val="out"/>
        <c:minorTickMark val="none"/>
        <c:tickLblPos val="nextTo"/>
        <c:txPr>
          <a:bodyPr rot="0" vert="horz"/>
          <a:lstStyle/>
          <a:p>
            <a:pPr>
              <a:defRPr sz="700">
                <a:latin typeface="Arial" pitchFamily="34" charset="0"/>
                <a:cs typeface="Arial" pitchFamily="34" charset="0"/>
              </a:defRPr>
            </a:pPr>
            <a:endParaRPr lang="en-US"/>
          </a:p>
        </c:txPr>
        <c:crossAx val="131897672"/>
        <c:crosses val="autoZero"/>
        <c:auto val="1"/>
        <c:lblAlgn val="ctr"/>
        <c:lblOffset val="100"/>
        <c:noMultiLvlLbl val="0"/>
      </c:catAx>
      <c:valAx>
        <c:axId val="131897672"/>
        <c:scaling>
          <c:orientation val="minMax"/>
        </c:scaling>
        <c:delete val="0"/>
        <c:axPos val="l"/>
        <c:majorGridlines/>
        <c:numFmt formatCode="0%" sourceLinked="1"/>
        <c:majorTickMark val="out"/>
        <c:minorTickMark val="none"/>
        <c:tickLblPos val="nextTo"/>
        <c:txPr>
          <a:bodyPr/>
          <a:lstStyle/>
          <a:p>
            <a:pPr>
              <a:defRPr sz="800"/>
            </a:pPr>
            <a:endParaRPr lang="en-US"/>
          </a:p>
        </c:txPr>
        <c:crossAx val="131897280"/>
        <c:crosses val="autoZero"/>
        <c:crossBetween val="between"/>
      </c:valAx>
    </c:plotArea>
    <c:legend>
      <c:legendPos val="t"/>
      <c:layout>
        <c:manualLayout>
          <c:xMode val="edge"/>
          <c:yMode val="edge"/>
          <c:x val="0.10359847053667232"/>
          <c:y val="0.24176218479019237"/>
          <c:w val="0.312383635419754"/>
          <c:h val="7.3936167508604378E-2"/>
        </c:manualLayout>
      </c:layout>
      <c:overlay val="0"/>
      <c:spPr>
        <a:ln>
          <a:solidFill>
            <a:schemeClr val="accent1"/>
          </a:solidFill>
        </a:ln>
      </c:spPr>
      <c:txPr>
        <a:bodyPr/>
        <a:lstStyle/>
        <a:p>
          <a:pPr>
            <a:defRPr sz="7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43D9F-AFED-4EAA-9AFD-985267DC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Olson</dc:creator>
  <cp:keywords/>
  <dc:description/>
  <cp:lastModifiedBy>Magda Olson</cp:lastModifiedBy>
  <cp:revision>2</cp:revision>
  <cp:lastPrinted>2019-01-07T19:50:00Z</cp:lastPrinted>
  <dcterms:created xsi:type="dcterms:W3CDTF">2019-01-08T15:04:00Z</dcterms:created>
  <dcterms:modified xsi:type="dcterms:W3CDTF">2019-01-08T15:04:00Z</dcterms:modified>
</cp:coreProperties>
</file>