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9C3" w:rsidRDefault="00D52CFB" w:rsidP="00AB6F70">
      <w:bookmarkStart w:id="0" w:name="_GoBack"/>
      <w:bookmarkEnd w:id="0"/>
      <w:r>
        <w:br/>
      </w:r>
      <w:r w:rsidR="000055EB">
        <w:rPr>
          <w:noProof/>
        </w:rPr>
        <w:drawing>
          <wp:inline distT="0" distB="0" distL="0" distR="0" wp14:anchorId="1F423EC3" wp14:editId="4B6E740A">
            <wp:extent cx="6858000" cy="1292860"/>
            <wp:effectExtent l="0" t="0" r="0" b="2540"/>
            <wp:docPr id="3" name="Picture 3" descr="Banner with Minnesota Department of Employment and Economic Development logo  and title &quot;Survey of Minnesota Business Services Firms&quot;" title="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siness Services New Header.png"/>
                    <pic:cNvPicPr/>
                  </pic:nvPicPr>
                  <pic:blipFill>
                    <a:blip r:embed="rId8">
                      <a:extLst>
                        <a:ext uri="{28A0092B-C50C-407E-A947-70E740481C1C}">
                          <a14:useLocalDpi xmlns:a14="http://schemas.microsoft.com/office/drawing/2010/main" val="0"/>
                        </a:ext>
                      </a:extLst>
                    </a:blip>
                    <a:stretch>
                      <a:fillRect/>
                    </a:stretch>
                  </pic:blipFill>
                  <pic:spPr>
                    <a:xfrm>
                      <a:off x="0" y="0"/>
                      <a:ext cx="6858000" cy="1292860"/>
                    </a:xfrm>
                    <a:prstGeom prst="rect">
                      <a:avLst/>
                    </a:prstGeom>
                  </pic:spPr>
                </pic:pic>
              </a:graphicData>
            </a:graphic>
          </wp:inline>
        </w:drawing>
      </w:r>
    </w:p>
    <w:p w:rsidR="00AB6F70" w:rsidRPr="004262DB" w:rsidRDefault="00AB6F70" w:rsidP="00AB6F70">
      <w:pPr>
        <w:pStyle w:val="Heading1"/>
        <w:jc w:val="center"/>
        <w:rPr>
          <w:sz w:val="28"/>
          <w:szCs w:val="28"/>
        </w:rPr>
      </w:pPr>
      <w:r w:rsidRPr="004262DB">
        <w:rPr>
          <w:sz w:val="28"/>
          <w:szCs w:val="28"/>
        </w:rPr>
        <w:t>Minnesot</w:t>
      </w:r>
      <w:r w:rsidR="004A770C" w:rsidRPr="004262DB">
        <w:rPr>
          <w:sz w:val="28"/>
          <w:szCs w:val="28"/>
        </w:rPr>
        <w:t>a Business Services Firms</w:t>
      </w:r>
      <w:r w:rsidR="00C74737" w:rsidRPr="004262DB">
        <w:rPr>
          <w:sz w:val="28"/>
          <w:szCs w:val="28"/>
        </w:rPr>
        <w:t xml:space="preserve"> Expect Unchanged Conditions</w:t>
      </w:r>
      <w:r w:rsidR="00B86E7E" w:rsidRPr="004262DB">
        <w:rPr>
          <w:sz w:val="28"/>
          <w:szCs w:val="28"/>
        </w:rPr>
        <w:t xml:space="preserve"> </w:t>
      </w:r>
      <w:r w:rsidR="004262DB" w:rsidRPr="004262DB">
        <w:rPr>
          <w:sz w:val="28"/>
          <w:szCs w:val="28"/>
        </w:rPr>
        <w:t>For the Coming Year</w:t>
      </w:r>
    </w:p>
    <w:p w:rsidR="008B388C" w:rsidRDefault="008B388C" w:rsidP="00AB6F70">
      <w:pPr>
        <w:sectPr w:rsidR="008B388C" w:rsidSect="0070375F">
          <w:pgSz w:w="12240" w:h="15840"/>
          <w:pgMar w:top="720" w:right="720" w:bottom="720" w:left="720" w:header="720" w:footer="720" w:gutter="0"/>
          <w:cols w:space="720"/>
          <w:docGrid w:linePitch="360"/>
        </w:sectPr>
      </w:pPr>
    </w:p>
    <w:p w:rsidR="00855892" w:rsidRDefault="00855892" w:rsidP="00855892">
      <w:pPr>
        <w:spacing w:after="0" w:line="240" w:lineRule="auto"/>
      </w:pPr>
    </w:p>
    <w:p w:rsidR="00855892" w:rsidRDefault="00855892" w:rsidP="00855892">
      <w:pPr>
        <w:spacing w:after="0" w:line="240" w:lineRule="auto"/>
      </w:pPr>
    </w:p>
    <w:p w:rsidR="00C067E2" w:rsidRPr="000D53DE" w:rsidRDefault="004A770C" w:rsidP="00C067E2">
      <w:pPr>
        <w:spacing w:after="0" w:line="240" w:lineRule="auto"/>
      </w:pPr>
      <w:r w:rsidRPr="000D53DE">
        <w:t xml:space="preserve">Minnesota business service firms </w:t>
      </w:r>
      <w:r w:rsidR="00BC5DD8" w:rsidRPr="000D53DE">
        <w:t>(</w:t>
      </w:r>
      <w:r w:rsidRPr="000D53DE">
        <w:t>such as engineers, accountants a</w:t>
      </w:r>
      <w:r w:rsidR="00093843" w:rsidRPr="000D53DE">
        <w:t xml:space="preserve">nd architects) expect mostly </w:t>
      </w:r>
      <w:r w:rsidR="00C74737" w:rsidRPr="000D53DE">
        <w:t>unchanged</w:t>
      </w:r>
      <w:r w:rsidR="00093843" w:rsidRPr="000D53DE">
        <w:t xml:space="preserve"> leve</w:t>
      </w:r>
      <w:r w:rsidR="003549BF" w:rsidRPr="000D53DE">
        <w:t>ls fo</w:t>
      </w:r>
      <w:r w:rsidR="00565C48" w:rsidRPr="000D53DE">
        <w:t>r</w:t>
      </w:r>
      <w:r w:rsidR="003809EF" w:rsidRPr="000D53DE">
        <w:t xml:space="preserve"> productivity, employment, labor availability and selling prices</w:t>
      </w:r>
      <w:r w:rsidR="00093843" w:rsidRPr="000D53DE">
        <w:t xml:space="preserve">. </w:t>
      </w:r>
    </w:p>
    <w:p w:rsidR="00D53E18" w:rsidRPr="000D53DE" w:rsidRDefault="00C067E2" w:rsidP="00D53E18">
      <w:pPr>
        <w:spacing w:after="0" w:line="240" w:lineRule="auto"/>
      </w:pPr>
      <w:r w:rsidRPr="000D53DE">
        <w:br/>
      </w:r>
      <w:r w:rsidR="00BC5DD8" w:rsidRPr="000D53DE">
        <w:t xml:space="preserve">These results come from a random sample of Minnesota businesses service firms conducted in May and June by the Minnesota Department of Employment and Economic </w:t>
      </w:r>
      <w:r w:rsidR="009B07B0" w:rsidRPr="000D53DE">
        <w:t>Development and the Federal Reserve Ban</w:t>
      </w:r>
      <w:r w:rsidR="006309E6" w:rsidRPr="000D53DE">
        <w:t>k in Minne</w:t>
      </w:r>
      <w:r w:rsidR="00D53E18" w:rsidRPr="000D53DE">
        <w:t>apolis</w:t>
      </w:r>
      <w:r w:rsidR="00CA4F8E" w:rsidRPr="000D53DE">
        <w:t>.</w:t>
      </w:r>
      <w:r w:rsidR="00CA4F8E" w:rsidRPr="000D53DE">
        <w:br/>
      </w:r>
      <w:r w:rsidR="00CA4F8E" w:rsidRPr="000D53DE">
        <w:br/>
      </w:r>
    </w:p>
    <w:p w:rsidR="001215A7" w:rsidRDefault="00C067E2" w:rsidP="001215A7">
      <w:pPr>
        <w:pStyle w:val="Heading2"/>
      </w:pPr>
      <w:r>
        <w:t>Business Services Firms</w:t>
      </w:r>
      <w:r w:rsidR="003368D3">
        <w:t>-Previous Four Quarters</w:t>
      </w:r>
      <w:r w:rsidR="00855892">
        <w:br/>
      </w:r>
    </w:p>
    <w:p w:rsidR="00AB6F70" w:rsidRDefault="001215A7" w:rsidP="001215A7">
      <w:r w:rsidRPr="000D53DE">
        <w:t>Mi</w:t>
      </w:r>
      <w:r w:rsidR="00C067E2" w:rsidRPr="000D53DE">
        <w:t>nnesota business services firms</w:t>
      </w:r>
      <w:r w:rsidR="000715D1" w:rsidRPr="000D53DE">
        <w:t xml:space="preserve"> described</w:t>
      </w:r>
      <w:r w:rsidR="006A387C" w:rsidRPr="000D53DE">
        <w:t xml:space="preserve"> mostly </w:t>
      </w:r>
      <w:r w:rsidRPr="000D53DE">
        <w:t>unch</w:t>
      </w:r>
      <w:r w:rsidR="008E015A" w:rsidRPr="000D53DE">
        <w:t>anged</w:t>
      </w:r>
      <w:r w:rsidR="006A387C" w:rsidRPr="000D53DE">
        <w:t xml:space="preserve"> </w:t>
      </w:r>
      <w:r w:rsidR="004E12F2" w:rsidRPr="000D53DE">
        <w:t>conditions</w:t>
      </w:r>
      <w:r w:rsidR="006449F7" w:rsidRPr="000D53DE">
        <w:t xml:space="preserve">. </w:t>
      </w:r>
      <w:r w:rsidR="000715D1" w:rsidRPr="000D53DE">
        <w:t>Eig</w:t>
      </w:r>
      <w:r w:rsidR="00D40EDB">
        <w:t>ht-six percent reported unchanged</w:t>
      </w:r>
      <w:r w:rsidR="000715D1" w:rsidRPr="000D53DE">
        <w:t xml:space="preserve"> space occupied </w:t>
      </w:r>
      <w:r w:rsidR="00BC0C4D">
        <w:t xml:space="preserve">(square footage) </w:t>
      </w:r>
      <w:r w:rsidR="000715D1" w:rsidRPr="000D53DE">
        <w:t>and n</w:t>
      </w:r>
      <w:r w:rsidR="00E2110F" w:rsidRPr="000D53DE">
        <w:t xml:space="preserve">early 70 percent </w:t>
      </w:r>
      <w:r w:rsidR="000715D1" w:rsidRPr="000D53DE">
        <w:t>experienced</w:t>
      </w:r>
      <w:r w:rsidR="00D40EDB">
        <w:t xml:space="preserve"> stable</w:t>
      </w:r>
      <w:r w:rsidR="000715D1" w:rsidRPr="000D53DE">
        <w:t xml:space="preserve"> labor availability</w:t>
      </w:r>
      <w:r w:rsidRPr="000D53DE">
        <w:t xml:space="preserve">. </w:t>
      </w:r>
      <w:r w:rsidR="006A387C" w:rsidRPr="000D53DE">
        <w:t xml:space="preserve">Additionally, </w:t>
      </w:r>
      <w:r w:rsidR="000715D1" w:rsidRPr="000D53DE">
        <w:t>58</w:t>
      </w:r>
      <w:r w:rsidR="00C067E2" w:rsidRPr="000D53DE">
        <w:t xml:space="preserve"> percent indic</w:t>
      </w:r>
      <w:r w:rsidR="008E015A" w:rsidRPr="000D53DE">
        <w:t xml:space="preserve">ated </w:t>
      </w:r>
      <w:r w:rsidR="000715D1" w:rsidRPr="000D53DE">
        <w:t>no changes in employment levels</w:t>
      </w:r>
      <w:r w:rsidR="006A387C" w:rsidRPr="000D53DE">
        <w:t xml:space="preserve">. Sales revenue had the best performance </w:t>
      </w:r>
      <w:r w:rsidR="00B22064" w:rsidRPr="000D53DE">
        <w:t xml:space="preserve">among indicators </w:t>
      </w:r>
      <w:r w:rsidR="006A387C" w:rsidRPr="000D53DE">
        <w:t xml:space="preserve">with </w:t>
      </w:r>
      <w:r w:rsidR="00B22064" w:rsidRPr="000D53DE">
        <w:t>4</w:t>
      </w:r>
      <w:r w:rsidR="000715D1" w:rsidRPr="000D53DE">
        <w:t>7</w:t>
      </w:r>
      <w:r w:rsidRPr="000D53DE">
        <w:t xml:space="preserve"> perc</w:t>
      </w:r>
      <w:r w:rsidR="00B22064" w:rsidRPr="000D53DE">
        <w:t>ent of firms reporting</w:t>
      </w:r>
      <w:r w:rsidR="00C067E2" w:rsidRPr="000D53DE">
        <w:t xml:space="preserve"> </w:t>
      </w:r>
      <w:r w:rsidR="00B22064" w:rsidRPr="000D53DE">
        <w:t>growth</w:t>
      </w:r>
      <w:r w:rsidRPr="000D53DE">
        <w:t>.</w:t>
      </w:r>
      <w:r w:rsidR="00810157" w:rsidRPr="000D53DE">
        <w:t xml:space="preserve"> </w:t>
      </w:r>
      <w:r w:rsidR="00AD5C32" w:rsidRPr="000D53DE">
        <w:t xml:space="preserve">Unchanged conditions were confirmed by </w:t>
      </w:r>
      <w:r w:rsidR="004E12F2" w:rsidRPr="000D53DE">
        <w:t>diffusion indices</w:t>
      </w:r>
      <w:r w:rsidR="00BE7561" w:rsidRPr="000D53DE">
        <w:t>,</w:t>
      </w:r>
      <w:r w:rsidR="00AD5C32" w:rsidRPr="000D53DE">
        <w:t xml:space="preserve"> most of which</w:t>
      </w:r>
      <w:r w:rsidR="004E12F2" w:rsidRPr="000D53DE">
        <w:t xml:space="preserve"> were </w:t>
      </w:r>
      <w:r w:rsidR="00BC0C4D">
        <w:t>comparable</w:t>
      </w:r>
      <w:r w:rsidR="004E12F2" w:rsidRPr="000D53DE">
        <w:t xml:space="preserve"> to </w:t>
      </w:r>
      <w:r w:rsidR="00A257DB" w:rsidRPr="000D53DE">
        <w:t xml:space="preserve">those from </w:t>
      </w:r>
      <w:r w:rsidR="004E12F2" w:rsidRPr="000D53DE">
        <w:t>the prev</w:t>
      </w:r>
      <w:r w:rsidR="00AD5C32" w:rsidRPr="000D53DE">
        <w:t>ious year.</w:t>
      </w:r>
      <w:r w:rsidR="00814F86">
        <w:rPr>
          <w:noProof/>
          <w:color w:val="C00000"/>
        </w:rPr>
        <w:drawing>
          <wp:inline distT="0" distB="0" distL="0" distR="0" wp14:anchorId="67667C1F" wp14:editId="61B49EF4">
            <wp:extent cx="3390900" cy="2352675"/>
            <wp:effectExtent l="0" t="0" r="0" b="0"/>
            <wp:docPr id="1" name="Chart 1" descr="Bart chart showing mostly stable conditions for productivity (524), employment level (58, labor availability (69, selling prices (57, space occupied (86) and exports (92). Most diffusion index values are comparable to indices from the previous year." title="Business Services Firms - Previous Four Quarters"/>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t xml:space="preserve"> </w:t>
      </w:r>
    </w:p>
    <w:p w:rsidR="00D21E21" w:rsidRPr="000D53DE" w:rsidRDefault="00810157" w:rsidP="00A66699">
      <w:r>
        <w:br/>
      </w:r>
      <w:r w:rsidR="003368D3">
        <w:rPr>
          <w:rStyle w:val="Heading2Char"/>
        </w:rPr>
        <w:t>Business Services Firms-The Coming Year</w:t>
      </w:r>
      <w:r w:rsidR="003368D3">
        <w:rPr>
          <w:rStyle w:val="Heading2Char"/>
        </w:rPr>
        <w:br/>
      </w:r>
      <w:r w:rsidR="003368D3" w:rsidRPr="000D53DE">
        <w:t>Minnesota business ser</w:t>
      </w:r>
      <w:r w:rsidR="00C633BF" w:rsidRPr="000D53DE">
        <w:t>vices firms expect mostly unchanged</w:t>
      </w:r>
      <w:r w:rsidR="003368D3" w:rsidRPr="000D53DE">
        <w:t xml:space="preserve"> </w:t>
      </w:r>
      <w:r w:rsidR="00D21E21" w:rsidRPr="000D53DE">
        <w:t xml:space="preserve">or improved conditions </w:t>
      </w:r>
      <w:r w:rsidR="003368D3" w:rsidRPr="000D53DE">
        <w:t>for the coming year</w:t>
      </w:r>
      <w:r w:rsidR="00093843" w:rsidRPr="000D53DE">
        <w:t xml:space="preserve">. </w:t>
      </w:r>
      <w:r w:rsidR="000102FA" w:rsidRPr="000D53DE">
        <w:t>Eighty-five</w:t>
      </w:r>
      <w:r w:rsidR="005D05C5" w:rsidRPr="000D53DE">
        <w:t xml:space="preserve"> percent an</w:t>
      </w:r>
      <w:r w:rsidR="00C633BF" w:rsidRPr="000D53DE">
        <w:t xml:space="preserve">ticipate </w:t>
      </w:r>
      <w:r w:rsidR="000102FA" w:rsidRPr="000D53DE">
        <w:t>unchanged</w:t>
      </w:r>
      <w:r w:rsidR="005D05C5" w:rsidRPr="000D53DE">
        <w:t xml:space="preserve"> </w:t>
      </w:r>
      <w:r w:rsidR="00BC0C4D">
        <w:t>space occupied</w:t>
      </w:r>
      <w:r w:rsidR="000102FA" w:rsidRPr="000D53DE">
        <w:t xml:space="preserve"> </w:t>
      </w:r>
      <w:r w:rsidR="005D05C5" w:rsidRPr="000D53DE">
        <w:t xml:space="preserve">and </w:t>
      </w:r>
      <w:r w:rsidR="000102FA" w:rsidRPr="000D53DE">
        <w:t xml:space="preserve">79 expect constant labor availability (up from </w:t>
      </w:r>
      <w:r w:rsidR="005D05C5" w:rsidRPr="000D53DE">
        <w:t xml:space="preserve">68 </w:t>
      </w:r>
      <w:r w:rsidR="000102FA" w:rsidRPr="000D53DE">
        <w:t>percent the previous year)</w:t>
      </w:r>
    </w:p>
    <w:p w:rsidR="003368D3" w:rsidRPr="000D53DE" w:rsidRDefault="00D21E21" w:rsidP="00A66699">
      <w:pPr>
        <w:rPr>
          <w:rStyle w:val="Heading2Char"/>
          <w:color w:val="auto"/>
        </w:rPr>
      </w:pPr>
      <w:r w:rsidRPr="000D53DE">
        <w:t>Respondents are optimistic about s</w:t>
      </w:r>
      <w:r w:rsidR="000102FA" w:rsidRPr="000D53DE">
        <w:t>ales revenue with 46 percent of</w:t>
      </w:r>
      <w:r w:rsidRPr="000D53DE">
        <w:t xml:space="preserve"> respondents </w:t>
      </w:r>
      <w:r w:rsidR="005D05C5" w:rsidRPr="000D53DE">
        <w:t>expect</w:t>
      </w:r>
      <w:r w:rsidRPr="000D53DE">
        <w:t>ing an increase</w:t>
      </w:r>
      <w:r w:rsidR="000102FA" w:rsidRPr="000D53DE">
        <w:t>. Respondents were almost equally split about profits</w:t>
      </w:r>
      <w:r w:rsidR="00972D5C">
        <w:t xml:space="preserve"> with</w:t>
      </w:r>
      <w:r w:rsidR="003844D4" w:rsidRPr="000D53DE">
        <w:t xml:space="preserve"> </w:t>
      </w:r>
      <w:r w:rsidR="00BC0C4D">
        <w:t>42 percent anticipating growth</w:t>
      </w:r>
      <w:r w:rsidR="005D05C5" w:rsidRPr="000D53DE">
        <w:t xml:space="preserve"> </w:t>
      </w:r>
      <w:r w:rsidR="000102FA" w:rsidRPr="000D53DE">
        <w:t xml:space="preserve">and </w:t>
      </w:r>
      <w:r w:rsidR="00BC0C4D">
        <w:t xml:space="preserve">40 percent expecting </w:t>
      </w:r>
      <w:r w:rsidR="000102FA" w:rsidRPr="000D53DE">
        <w:t>u</w:t>
      </w:r>
      <w:r w:rsidR="00BC0C4D">
        <w:t>nchanged conditions</w:t>
      </w:r>
      <w:r w:rsidR="000102FA" w:rsidRPr="000D53DE">
        <w:t xml:space="preserve">. </w:t>
      </w:r>
      <w:r w:rsidR="003549BF" w:rsidRPr="000D53DE">
        <w:t xml:space="preserve"> </w:t>
      </w:r>
      <w:r w:rsidR="00A41AC1" w:rsidRPr="000D53DE">
        <w:t>Table 1</w:t>
      </w:r>
      <w:r w:rsidR="003549BF" w:rsidRPr="000D53DE">
        <w:t xml:space="preserve"> shows results for all indicators</w:t>
      </w:r>
      <w:r w:rsidR="00A41AC1" w:rsidRPr="000D53DE">
        <w:t>.</w:t>
      </w:r>
    </w:p>
    <w:p w:rsidR="00E7356E" w:rsidRPr="000D53DE" w:rsidRDefault="00A66699" w:rsidP="00E7356E">
      <w:pPr>
        <w:rPr>
          <w:rFonts w:asciiTheme="majorHAnsi" w:eastAsiaTheme="majorEastAsia" w:hAnsiTheme="majorHAnsi" w:cstheme="majorBidi"/>
          <w:sz w:val="26"/>
          <w:szCs w:val="26"/>
        </w:rPr>
      </w:pPr>
      <w:r>
        <w:rPr>
          <w:rStyle w:val="Heading2Char"/>
        </w:rPr>
        <w:t>Outlook on the State Economy</w:t>
      </w:r>
      <w:r w:rsidR="00E7356E" w:rsidRPr="00E7356E">
        <w:rPr>
          <w:rStyle w:val="Heading2Char"/>
        </w:rPr>
        <w:br/>
      </w:r>
      <w:r w:rsidR="00E7356E">
        <w:br/>
      </w:r>
      <w:r w:rsidRPr="000D53DE">
        <w:t>Mi</w:t>
      </w:r>
      <w:r w:rsidR="006A387C" w:rsidRPr="000D53DE">
        <w:t>nnesota business services firms</w:t>
      </w:r>
      <w:r w:rsidR="00D12E13" w:rsidRPr="000D53DE">
        <w:t xml:space="preserve"> expect mostly stable </w:t>
      </w:r>
      <w:r w:rsidR="00AD5C32" w:rsidRPr="000D53DE">
        <w:t>co</w:t>
      </w:r>
      <w:r w:rsidR="00C707A3" w:rsidRPr="000D53DE">
        <w:t>nditions. Fifty-seven</w:t>
      </w:r>
      <w:r w:rsidR="0065167F" w:rsidRPr="000D53DE">
        <w:t xml:space="preserve"> percent expect no chang</w:t>
      </w:r>
      <w:r w:rsidR="00C707A3" w:rsidRPr="000D53DE">
        <w:t>es in employment levels while 60</w:t>
      </w:r>
      <w:r w:rsidR="0065167F" w:rsidRPr="000D53DE">
        <w:t xml:space="preserve"> percent anticipate</w:t>
      </w:r>
      <w:r w:rsidR="00427A28" w:rsidRPr="000D53DE">
        <w:t xml:space="preserve"> unchanged conditions for mergers and acquisitions</w:t>
      </w:r>
      <w:r w:rsidR="00C707A3" w:rsidRPr="000D53DE">
        <w:t xml:space="preserve">. </w:t>
      </w:r>
      <w:r w:rsidR="000530CD" w:rsidRPr="000D53DE">
        <w:t>Additionally, 50</w:t>
      </w:r>
      <w:r w:rsidR="00B22FAE" w:rsidRPr="000D53DE">
        <w:t xml:space="preserve"> percent</w:t>
      </w:r>
      <w:r w:rsidR="00D21E21" w:rsidRPr="000D53DE">
        <w:t xml:space="preserve"> anticipate </w:t>
      </w:r>
      <w:r w:rsidR="00C707A3" w:rsidRPr="000D53DE">
        <w:t>stable consumer spending</w:t>
      </w:r>
      <w:r w:rsidR="00F82F8E" w:rsidRPr="000D53DE">
        <w:t>.  Diffusion indexes for all indicators were higher than 50 indicating expansion but were lower than indexes from the previous year</w:t>
      </w:r>
      <w:r w:rsidR="003058BA" w:rsidRPr="000D53DE">
        <w:t xml:space="preserve"> suggestion slower growth.</w:t>
      </w:r>
    </w:p>
    <w:p w:rsidR="00100C21" w:rsidRDefault="00F10ED0" w:rsidP="00814ED5">
      <w:r>
        <w:rPr>
          <w:noProof/>
          <w:color w:val="C00000"/>
        </w:rPr>
        <w:drawing>
          <wp:inline distT="0" distB="0" distL="0" distR="0" wp14:anchorId="6942F3D8" wp14:editId="48919350">
            <wp:extent cx="3063240" cy="2369820"/>
            <wp:effectExtent l="0" t="0" r="3810" b="0"/>
            <wp:docPr id="5" name="Chart 5" descr="Bart chart showing large percentages for &quot;same&quot; conditions for employment (57%), consumer spending (50%),and mergers and acquisitions (60%). Corportare profits show a precentage of growth of 38%." title="Outlook on Economic Performace for The coming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E28CD" w:rsidRDefault="004C508D" w:rsidP="00814ED5">
      <w:pPr>
        <w:rPr>
          <w:rFonts w:asciiTheme="majorHAnsi" w:eastAsiaTheme="majorEastAsia" w:hAnsiTheme="majorHAnsi" w:cstheme="majorBidi"/>
          <w:color w:val="1F4D78" w:themeColor="accent1" w:themeShade="7F"/>
          <w:sz w:val="24"/>
          <w:szCs w:val="24"/>
        </w:rPr>
        <w:sectPr w:rsidR="00CE28CD" w:rsidSect="009B07B0">
          <w:type w:val="continuous"/>
          <w:pgSz w:w="12240" w:h="15840"/>
          <w:pgMar w:top="720" w:right="720" w:bottom="720" w:left="720" w:header="720" w:footer="720" w:gutter="0"/>
          <w:cols w:num="2" w:space="720"/>
          <w:docGrid w:linePitch="360"/>
        </w:sectPr>
      </w:pPr>
      <w:r>
        <w:lastRenderedPageBreak/>
        <w:t>A new question asked</w:t>
      </w:r>
      <w:r w:rsidR="00567732">
        <w:t xml:space="preserve"> about</w:t>
      </w:r>
      <w:r w:rsidR="00E66A72">
        <w:t xml:space="preserve"> employee retirement and replacement for the next two years</w:t>
      </w:r>
      <w:r w:rsidR="0094164D">
        <w:t xml:space="preserve">. </w:t>
      </w:r>
      <w:r w:rsidR="000530CD">
        <w:t xml:space="preserve"> The large majority of respondents</w:t>
      </w:r>
      <w:r w:rsidR="007171B2">
        <w:t xml:space="preserve"> (45</w:t>
      </w:r>
      <w:r w:rsidR="00E66A72">
        <w:t xml:space="preserve"> percent) indicated </w:t>
      </w:r>
      <w:r w:rsidR="008A3B5D">
        <w:t>they plan to</w:t>
      </w:r>
      <w:r w:rsidR="003942C0">
        <w:t xml:space="preserve"> replace retired employees one-for-one.  Replacement </w:t>
      </w:r>
      <w:r w:rsidR="003942C0">
        <w:t>less than one-for-</w:t>
      </w:r>
      <w:r w:rsidR="00E66A72">
        <w:t>one th</w:t>
      </w:r>
      <w:r w:rsidR="009F13ED">
        <w:t xml:space="preserve">rough </w:t>
      </w:r>
      <w:r w:rsidR="007171B2">
        <w:t>higher technology (13</w:t>
      </w:r>
      <w:r w:rsidR="00E66A72">
        <w:t xml:space="preserve"> percent</w:t>
      </w:r>
      <w:r w:rsidR="008A3B5D">
        <w:t xml:space="preserve">) and higher skilled workers </w:t>
      </w:r>
      <w:r w:rsidR="00752148">
        <w:t>(six</w:t>
      </w:r>
      <w:r w:rsidR="00243472">
        <w:t xml:space="preserve"> percent) </w:t>
      </w:r>
      <w:r w:rsidR="000530CD">
        <w:t>were less favored</w:t>
      </w:r>
      <w:r w:rsidR="008A3B5D">
        <w:t xml:space="preserve"> alternatives</w:t>
      </w:r>
      <w:r w:rsidR="003C059D">
        <w:t>.</w:t>
      </w:r>
    </w:p>
    <w:p w:rsidR="009969EB" w:rsidRDefault="009969EB" w:rsidP="009B3DF5">
      <w:pPr>
        <w:spacing w:line="240" w:lineRule="auto"/>
        <w:rPr>
          <w:rFonts w:asciiTheme="majorHAnsi" w:eastAsiaTheme="majorEastAsia" w:hAnsiTheme="majorHAnsi" w:cstheme="majorBidi"/>
          <w:color w:val="1F4D78" w:themeColor="accent1" w:themeShade="7F"/>
          <w:sz w:val="24"/>
          <w:szCs w:val="24"/>
        </w:rPr>
        <w:sectPr w:rsidR="009969EB" w:rsidSect="009B07B0">
          <w:type w:val="continuous"/>
          <w:pgSz w:w="12240" w:h="15840"/>
          <w:pgMar w:top="720" w:right="720" w:bottom="720" w:left="720" w:header="720" w:footer="720" w:gutter="0"/>
          <w:cols w:num="2" w:space="720"/>
          <w:docGrid w:linePitch="360"/>
        </w:sectPr>
      </w:pPr>
    </w:p>
    <w:p w:rsidR="007F61A9" w:rsidRPr="00C46B75" w:rsidRDefault="00825F3C" w:rsidP="006B0B3E">
      <w:pPr>
        <w:pStyle w:val="Title"/>
        <w:jc w:val="center"/>
        <w:rPr>
          <w:color w:val="2E74B5" w:themeColor="accent1" w:themeShade="BF"/>
          <w:sz w:val="28"/>
          <w:szCs w:val="28"/>
        </w:rPr>
      </w:pPr>
      <w:r>
        <w:rPr>
          <w:color w:val="2E74B5" w:themeColor="accent1" w:themeShade="BF"/>
          <w:sz w:val="28"/>
          <w:szCs w:val="28"/>
        </w:rPr>
        <w:t xml:space="preserve">Table 1. </w:t>
      </w:r>
      <w:r w:rsidR="00367060">
        <w:rPr>
          <w:color w:val="2E74B5" w:themeColor="accent1" w:themeShade="BF"/>
          <w:sz w:val="28"/>
          <w:szCs w:val="28"/>
        </w:rPr>
        <w:t>Minnesota 2019</w:t>
      </w:r>
      <w:r w:rsidR="009969EB" w:rsidRPr="009969EB">
        <w:rPr>
          <w:color w:val="2E74B5" w:themeColor="accent1" w:themeShade="BF"/>
          <w:sz w:val="28"/>
          <w:szCs w:val="28"/>
        </w:rPr>
        <w:t xml:space="preserve"> Manufacturing Business Condition Survey</w:t>
      </w:r>
      <w:r w:rsidR="009969EB">
        <w:rPr>
          <w:color w:val="2E74B5" w:themeColor="accent1" w:themeShade="BF"/>
          <w:sz w:val="28"/>
          <w:szCs w:val="28"/>
        </w:rPr>
        <w:t xml:space="preserve"> Results</w:t>
      </w:r>
      <w:r w:rsidR="009713A3" w:rsidRPr="009713A3">
        <w:rPr>
          <w:color w:val="2E74B5" w:themeColor="accent1" w:themeShade="BF"/>
          <w:sz w:val="28"/>
          <w:szCs w:val="28"/>
          <w:vertAlign w:val="superscript"/>
        </w:rPr>
        <w:t>1</w:t>
      </w:r>
    </w:p>
    <w:tbl>
      <w:tblPr>
        <w:tblStyle w:val="PlainTable5"/>
        <w:tblW w:w="10525" w:type="dxa"/>
        <w:jc w:val="center"/>
        <w:tblBorders>
          <w:top w:val="single" w:sz="4" w:space="0" w:color="auto"/>
          <w:left w:val="single" w:sz="4" w:space="0" w:color="auto"/>
          <w:bottom w:val="single" w:sz="4" w:space="0" w:color="auto"/>
          <w:right w:val="single" w:sz="4" w:space="0" w:color="auto"/>
        </w:tblBorders>
        <w:tblLook w:val="0620" w:firstRow="1" w:lastRow="0" w:firstColumn="0" w:lastColumn="0" w:noHBand="1" w:noVBand="1"/>
        <w:tblCaption w:val="Business Comparison Indicators: 2019"/>
        <w:tblDescription w:val="Table showing that business services providers experienced mostly unchanged conditions for productivity (54%), employment level (58%), labor availability (69%), selling prices (57%), space occupied (86%) and exports (92%). Forty-seven percent of respondents experienced improved sales revenue."/>
      </w:tblPr>
      <w:tblGrid>
        <w:gridCol w:w="3897"/>
        <w:gridCol w:w="1338"/>
        <w:gridCol w:w="1338"/>
        <w:gridCol w:w="1338"/>
        <w:gridCol w:w="1338"/>
        <w:gridCol w:w="1276"/>
      </w:tblGrid>
      <w:tr w:rsidR="001D0139" w:rsidRPr="00623BC4"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top w:val="single" w:sz="4" w:space="0" w:color="auto"/>
              <w:bottom w:val="single" w:sz="4" w:space="0" w:color="auto"/>
              <w:right w:val="nil"/>
            </w:tcBorders>
            <w:shd w:val="clear" w:color="auto" w:fill="BDD6EE" w:themeFill="accent1" w:themeFillTint="66"/>
            <w:noWrap/>
            <w:hideMark/>
          </w:tcPr>
          <w:p w:rsidR="00A97C01" w:rsidRPr="000A28AD" w:rsidRDefault="00722892" w:rsidP="00541E4C">
            <w:pPr>
              <w:rPr>
                <w:rFonts w:asciiTheme="minorHAnsi" w:eastAsia="Times New Roman" w:hAnsiTheme="minorHAnsi" w:cs="Times New Roman"/>
                <w:b/>
                <w:bCs/>
                <w:i w:val="0"/>
                <w:color w:val="000000"/>
                <w:sz w:val="18"/>
                <w:szCs w:val="18"/>
              </w:rPr>
            </w:pPr>
            <w:r w:rsidRPr="000A28AD">
              <w:rPr>
                <w:rFonts w:asciiTheme="minorHAnsi" w:eastAsia="Times New Roman" w:hAnsiTheme="minorHAnsi" w:cs="Times New Roman"/>
                <w:b/>
                <w:bCs/>
                <w:i w:val="0"/>
                <w:color w:val="000000"/>
                <w:sz w:val="18"/>
                <w:szCs w:val="18"/>
              </w:rPr>
              <w:t>Business i</w:t>
            </w:r>
            <w:r w:rsidR="0043194C">
              <w:rPr>
                <w:rFonts w:asciiTheme="minorHAnsi" w:eastAsia="Times New Roman" w:hAnsiTheme="minorHAnsi" w:cs="Times New Roman"/>
                <w:b/>
                <w:bCs/>
                <w:i w:val="0"/>
                <w:color w:val="000000"/>
                <w:sz w:val="18"/>
                <w:szCs w:val="18"/>
              </w:rPr>
              <w:t>ndicators in the last 4 quarters</w:t>
            </w:r>
            <w:r w:rsidR="007B16BB" w:rsidRPr="000A28AD">
              <w:rPr>
                <w:rFonts w:asciiTheme="minorHAnsi" w:eastAsia="Times New Roman" w:hAnsiTheme="minorHAnsi" w:cs="Times New Roman"/>
                <w:b/>
                <w:bCs/>
                <w:i w:val="0"/>
                <w:color w:val="000000"/>
                <w:sz w:val="18"/>
                <w:szCs w:val="18"/>
              </w:rPr>
              <w:t>:</w:t>
            </w:r>
          </w:p>
        </w:tc>
        <w:tc>
          <w:tcPr>
            <w:tcW w:w="1338" w:type="dxa"/>
            <w:tcBorders>
              <w:top w:val="single" w:sz="4" w:space="0" w:color="auto"/>
              <w:left w:val="nil"/>
              <w:bottom w:val="single" w:sz="4" w:space="0" w:color="auto"/>
            </w:tcBorders>
            <w:shd w:val="clear" w:color="auto" w:fill="BDD6EE" w:themeFill="accent1" w:themeFillTint="66"/>
            <w:noWrap/>
            <w:hideMark/>
          </w:tcPr>
          <w:p w:rsidR="00A97C01" w:rsidRPr="000A28AD" w:rsidRDefault="00A97C01" w:rsidP="00541E4C">
            <w:pPr>
              <w:jc w:val="center"/>
              <w:rPr>
                <w:rFonts w:asciiTheme="minorHAnsi" w:eastAsia="Times New Roman" w:hAnsiTheme="minorHAnsi" w:cs="Times New Roman"/>
                <w:b/>
                <w:bCs/>
                <w:i w:val="0"/>
                <w:color w:val="000000"/>
                <w:sz w:val="18"/>
                <w:szCs w:val="18"/>
              </w:rPr>
            </w:pPr>
            <w:r w:rsidRPr="000A28AD">
              <w:rPr>
                <w:rFonts w:asciiTheme="minorHAnsi" w:eastAsia="Times New Roman" w:hAnsiTheme="minorHAnsi" w:cs="Times New Roman"/>
                <w:b/>
                <w:bCs/>
                <w:i w:val="0"/>
                <w:color w:val="000000"/>
                <w:sz w:val="18"/>
                <w:szCs w:val="18"/>
              </w:rPr>
              <w:t>Up</w:t>
            </w:r>
          </w:p>
        </w:tc>
        <w:tc>
          <w:tcPr>
            <w:tcW w:w="1338"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rPr>
                <w:rFonts w:asciiTheme="minorHAnsi" w:eastAsia="Times New Roman" w:hAnsiTheme="minorHAnsi" w:cs="Times New Roman"/>
                <w:b/>
                <w:bCs/>
                <w:i w:val="0"/>
                <w:color w:val="000000"/>
                <w:sz w:val="18"/>
                <w:szCs w:val="18"/>
              </w:rPr>
            </w:pPr>
            <w:r w:rsidRPr="000A28AD">
              <w:rPr>
                <w:rFonts w:asciiTheme="minorHAnsi" w:eastAsia="Times New Roman" w:hAnsiTheme="minorHAnsi" w:cs="Times New Roman"/>
                <w:b/>
                <w:bCs/>
                <w:i w:val="0"/>
                <w:color w:val="000000"/>
                <w:sz w:val="18"/>
                <w:szCs w:val="18"/>
              </w:rPr>
              <w:t>Same</w:t>
            </w:r>
          </w:p>
        </w:tc>
        <w:tc>
          <w:tcPr>
            <w:tcW w:w="1338"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rPr>
                <w:rFonts w:asciiTheme="minorHAnsi" w:eastAsia="Times New Roman" w:hAnsiTheme="minorHAnsi" w:cs="Times New Roman"/>
                <w:b/>
                <w:bCs/>
                <w:i w:val="0"/>
                <w:color w:val="000000"/>
                <w:sz w:val="18"/>
                <w:szCs w:val="18"/>
              </w:rPr>
            </w:pPr>
            <w:r w:rsidRPr="000A28AD">
              <w:rPr>
                <w:rFonts w:asciiTheme="minorHAnsi" w:eastAsia="Times New Roman" w:hAnsiTheme="minorHAnsi" w:cs="Times New Roman"/>
                <w:b/>
                <w:bCs/>
                <w:i w:val="0"/>
                <w:color w:val="000000"/>
                <w:sz w:val="18"/>
                <w:szCs w:val="18"/>
              </w:rPr>
              <w:t>Down</w:t>
            </w:r>
          </w:p>
        </w:tc>
        <w:tc>
          <w:tcPr>
            <w:tcW w:w="1338" w:type="dxa"/>
            <w:tcBorders>
              <w:top w:val="single" w:sz="4" w:space="0" w:color="auto"/>
              <w:bottom w:val="single" w:sz="4" w:space="0" w:color="auto"/>
            </w:tcBorders>
            <w:shd w:val="clear" w:color="auto" w:fill="BDD6EE" w:themeFill="accent1" w:themeFillTint="66"/>
            <w:noWrap/>
            <w:hideMark/>
          </w:tcPr>
          <w:p w:rsidR="00A97C01" w:rsidRPr="000A28AD" w:rsidRDefault="00A97C01" w:rsidP="00367060">
            <w:pPr>
              <w:jc w:val="center"/>
              <w:rPr>
                <w:rFonts w:asciiTheme="minorHAnsi" w:eastAsia="Times New Roman" w:hAnsiTheme="minorHAnsi" w:cs="Times New Roman"/>
                <w:b/>
                <w:bCs/>
                <w:i w:val="0"/>
                <w:color w:val="000000"/>
                <w:sz w:val="18"/>
                <w:szCs w:val="18"/>
              </w:rPr>
            </w:pPr>
            <w:r w:rsidRPr="000A28AD">
              <w:rPr>
                <w:rFonts w:asciiTheme="minorHAnsi" w:eastAsia="Times New Roman" w:hAnsiTheme="minorHAnsi" w:cs="Times New Roman"/>
                <w:b/>
                <w:bCs/>
                <w:i w:val="0"/>
                <w:color w:val="000000"/>
                <w:sz w:val="18"/>
                <w:szCs w:val="18"/>
              </w:rPr>
              <w:t>Diffusion Index</w:t>
            </w:r>
            <w:r w:rsidR="008E7E58">
              <w:rPr>
                <w:rFonts w:asciiTheme="minorHAnsi" w:eastAsia="Times New Roman" w:hAnsiTheme="minorHAnsi" w:cs="Times New Roman"/>
                <w:b/>
                <w:bCs/>
                <w:i w:val="0"/>
                <w:color w:val="000000"/>
                <w:sz w:val="18"/>
                <w:szCs w:val="18"/>
              </w:rPr>
              <w:t xml:space="preserve"> 2019</w:t>
            </w:r>
            <w:r w:rsidR="008E7E58" w:rsidRPr="008D6DDD">
              <w:rPr>
                <w:rFonts w:asciiTheme="minorHAnsi" w:eastAsia="Times New Roman" w:hAnsiTheme="minorHAnsi" w:cs="Times New Roman"/>
                <w:b/>
                <w:bCs/>
                <w:i w:val="0"/>
                <w:color w:val="000000"/>
                <w:sz w:val="18"/>
                <w:szCs w:val="18"/>
                <w:vertAlign w:val="superscript"/>
              </w:rPr>
              <w:t>(</w:t>
            </w:r>
            <w:r w:rsidR="00C80C65" w:rsidRPr="000A28AD">
              <w:rPr>
                <w:rFonts w:asciiTheme="minorHAnsi" w:eastAsia="Times New Roman" w:hAnsiTheme="minorHAnsi" w:cs="Times New Roman"/>
                <w:b/>
                <w:bCs/>
                <w:i w:val="0"/>
                <w:color w:val="000000"/>
                <w:sz w:val="18"/>
                <w:szCs w:val="18"/>
                <w:vertAlign w:val="superscript"/>
              </w:rPr>
              <w:t>2)</w:t>
            </w:r>
          </w:p>
        </w:tc>
        <w:tc>
          <w:tcPr>
            <w:tcW w:w="1276" w:type="dxa"/>
            <w:tcBorders>
              <w:top w:val="single" w:sz="4" w:space="0" w:color="auto"/>
              <w:bottom w:val="single" w:sz="4" w:space="0" w:color="auto"/>
            </w:tcBorders>
            <w:shd w:val="clear" w:color="auto" w:fill="BDD6EE" w:themeFill="accent1" w:themeFillTint="66"/>
            <w:noWrap/>
            <w:hideMark/>
          </w:tcPr>
          <w:p w:rsidR="00A97C01" w:rsidRPr="000A28AD" w:rsidRDefault="0089194E" w:rsidP="00541E4C">
            <w:pPr>
              <w:jc w:val="center"/>
              <w:rPr>
                <w:rFonts w:asciiTheme="minorHAnsi" w:eastAsia="Times New Roman" w:hAnsiTheme="minorHAnsi" w:cs="Times New Roman"/>
                <w:b/>
                <w:bCs/>
                <w:i w:val="0"/>
                <w:color w:val="000000"/>
                <w:sz w:val="18"/>
                <w:szCs w:val="18"/>
              </w:rPr>
            </w:pPr>
            <w:r>
              <w:rPr>
                <w:rFonts w:asciiTheme="minorHAnsi" w:eastAsia="Times New Roman" w:hAnsiTheme="minorHAnsi" w:cs="Times New Roman"/>
                <w:b/>
                <w:bCs/>
                <w:i w:val="0"/>
                <w:color w:val="000000"/>
                <w:sz w:val="18"/>
                <w:szCs w:val="18"/>
              </w:rPr>
              <w:t>D</w:t>
            </w:r>
            <w:r w:rsidR="00367060">
              <w:rPr>
                <w:rFonts w:asciiTheme="minorHAnsi" w:eastAsia="Times New Roman" w:hAnsiTheme="minorHAnsi" w:cs="Times New Roman"/>
                <w:b/>
                <w:bCs/>
                <w:i w:val="0"/>
                <w:color w:val="000000"/>
                <w:sz w:val="18"/>
                <w:szCs w:val="18"/>
              </w:rPr>
              <w:t>iffusion Index 2018</w:t>
            </w:r>
            <w:r>
              <w:rPr>
                <w:rFonts w:asciiTheme="minorHAnsi" w:eastAsia="Times New Roman" w:hAnsiTheme="minorHAnsi" w:cs="Times New Roman"/>
                <w:b/>
                <w:bCs/>
                <w:i w:val="0"/>
                <w:color w:val="000000"/>
                <w:sz w:val="18"/>
                <w:szCs w:val="18"/>
                <w:vertAlign w:val="superscript"/>
              </w:rPr>
              <w:t>(</w:t>
            </w:r>
            <w:r w:rsidR="00C80C65" w:rsidRPr="000A28AD">
              <w:rPr>
                <w:rFonts w:asciiTheme="minorHAnsi" w:eastAsia="Times New Roman" w:hAnsiTheme="minorHAnsi" w:cs="Times New Roman"/>
                <w:b/>
                <w:bCs/>
                <w:i w:val="0"/>
                <w:color w:val="000000"/>
                <w:sz w:val="18"/>
                <w:szCs w:val="18"/>
                <w:vertAlign w:val="superscript"/>
              </w:rPr>
              <w:t>2)</w:t>
            </w:r>
          </w:p>
        </w:tc>
      </w:tr>
      <w:tr w:rsidR="001D0139" w:rsidRPr="00C2294E"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top w:val="single" w:sz="4" w:space="0" w:color="auto"/>
              <w:bottom w:val="none" w:sz="0" w:space="0" w:color="auto"/>
              <w:right w:val="nil"/>
            </w:tcBorders>
            <w:noWrap/>
            <w:hideMark/>
          </w:tcPr>
          <w:p w:rsidR="00A97C01" w:rsidRPr="000A28AD" w:rsidRDefault="0043194C" w:rsidP="00541E4C">
            <w:pP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Sales revenue</w:t>
            </w:r>
          </w:p>
        </w:tc>
        <w:tc>
          <w:tcPr>
            <w:tcW w:w="1338" w:type="dxa"/>
            <w:tcBorders>
              <w:top w:val="single" w:sz="4" w:space="0" w:color="auto"/>
              <w:left w:val="nil"/>
              <w:bottom w:val="none" w:sz="0" w:space="0" w:color="auto"/>
            </w:tcBorders>
            <w:noWrap/>
            <w:hideMark/>
          </w:tcPr>
          <w:p w:rsidR="00A97C01" w:rsidRPr="000A28AD" w:rsidRDefault="00367060"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47</w:t>
            </w:r>
            <w:r w:rsidR="00A97C01" w:rsidRPr="000A28AD">
              <w:rPr>
                <w:rFonts w:asciiTheme="minorHAnsi" w:eastAsia="Times New Roman" w:hAnsiTheme="minorHAnsi" w:cs="Times New Roman"/>
                <w:i w:val="0"/>
                <w:color w:val="000000"/>
                <w:sz w:val="18"/>
                <w:szCs w:val="18"/>
              </w:rPr>
              <w:t>%</w:t>
            </w:r>
          </w:p>
        </w:tc>
        <w:tc>
          <w:tcPr>
            <w:tcW w:w="1338" w:type="dxa"/>
            <w:tcBorders>
              <w:top w:val="single" w:sz="4" w:space="0" w:color="auto"/>
              <w:bottom w:val="none" w:sz="0" w:space="0" w:color="auto"/>
            </w:tcBorders>
            <w:noWrap/>
            <w:hideMark/>
          </w:tcPr>
          <w:p w:rsidR="00A97C01" w:rsidRPr="000A28AD" w:rsidRDefault="00367060"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30</w:t>
            </w:r>
            <w:r w:rsidR="00A97C01" w:rsidRPr="000A28AD">
              <w:rPr>
                <w:rFonts w:asciiTheme="minorHAnsi" w:eastAsia="Times New Roman" w:hAnsiTheme="minorHAnsi" w:cs="Times New Roman"/>
                <w:i w:val="0"/>
                <w:color w:val="000000"/>
                <w:sz w:val="18"/>
                <w:szCs w:val="18"/>
              </w:rPr>
              <w:t>%</w:t>
            </w:r>
          </w:p>
        </w:tc>
        <w:tc>
          <w:tcPr>
            <w:tcW w:w="1338" w:type="dxa"/>
            <w:tcBorders>
              <w:top w:val="single" w:sz="4" w:space="0" w:color="auto"/>
              <w:bottom w:val="none" w:sz="0" w:space="0" w:color="auto"/>
            </w:tcBorders>
            <w:noWrap/>
            <w:hideMark/>
          </w:tcPr>
          <w:p w:rsidR="00A97C01" w:rsidRPr="000A28AD" w:rsidRDefault="00367060"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23</w:t>
            </w:r>
            <w:r w:rsidR="00A97C01" w:rsidRPr="000A28AD">
              <w:rPr>
                <w:rFonts w:asciiTheme="minorHAnsi" w:eastAsia="Times New Roman" w:hAnsiTheme="minorHAnsi" w:cs="Times New Roman"/>
                <w:i w:val="0"/>
                <w:color w:val="000000"/>
                <w:sz w:val="18"/>
                <w:szCs w:val="18"/>
              </w:rPr>
              <w:t>%</w:t>
            </w:r>
          </w:p>
        </w:tc>
        <w:tc>
          <w:tcPr>
            <w:tcW w:w="1338" w:type="dxa"/>
            <w:tcBorders>
              <w:top w:val="single" w:sz="4" w:space="0" w:color="auto"/>
              <w:bottom w:val="none" w:sz="0" w:space="0" w:color="auto"/>
            </w:tcBorders>
            <w:noWrap/>
            <w:hideMark/>
          </w:tcPr>
          <w:p w:rsidR="00A97C01" w:rsidRPr="000A28AD" w:rsidRDefault="00367060"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62</w:t>
            </w:r>
          </w:p>
        </w:tc>
        <w:tc>
          <w:tcPr>
            <w:tcW w:w="1276" w:type="dxa"/>
            <w:tcBorders>
              <w:top w:val="single" w:sz="4" w:space="0" w:color="auto"/>
              <w:bottom w:val="none" w:sz="0" w:space="0" w:color="auto"/>
            </w:tcBorders>
            <w:noWrap/>
            <w:hideMark/>
          </w:tcPr>
          <w:p w:rsidR="00A97C01" w:rsidRPr="000A28AD" w:rsidRDefault="00367060"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64</w:t>
            </w:r>
          </w:p>
        </w:tc>
      </w:tr>
      <w:tr w:rsidR="001D0139" w:rsidRPr="00C2294E"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bottom w:val="none" w:sz="0" w:space="0" w:color="auto"/>
              <w:right w:val="nil"/>
            </w:tcBorders>
            <w:noWrap/>
            <w:hideMark/>
          </w:tcPr>
          <w:p w:rsidR="00A97C01" w:rsidRPr="000A28AD" w:rsidRDefault="0043194C" w:rsidP="00541E4C">
            <w:pP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Profits</w:t>
            </w:r>
          </w:p>
        </w:tc>
        <w:tc>
          <w:tcPr>
            <w:tcW w:w="1338" w:type="dxa"/>
            <w:tcBorders>
              <w:left w:val="nil"/>
              <w:bottom w:val="none" w:sz="0" w:space="0" w:color="auto"/>
            </w:tcBorders>
            <w:noWrap/>
            <w:hideMark/>
          </w:tcPr>
          <w:p w:rsidR="00A97C01" w:rsidRPr="000A28AD" w:rsidRDefault="00367060"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41</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584451"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30</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367060"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28</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367060"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57</w:t>
            </w:r>
          </w:p>
        </w:tc>
        <w:tc>
          <w:tcPr>
            <w:tcW w:w="1276" w:type="dxa"/>
            <w:tcBorders>
              <w:bottom w:val="none" w:sz="0" w:space="0" w:color="auto"/>
            </w:tcBorders>
            <w:noWrap/>
            <w:hideMark/>
          </w:tcPr>
          <w:p w:rsidR="00A97C01" w:rsidRPr="000A28AD" w:rsidRDefault="00367060"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60</w:t>
            </w:r>
          </w:p>
        </w:tc>
      </w:tr>
      <w:tr w:rsidR="001D0139" w:rsidRPr="00C2294E"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bottom w:val="none" w:sz="0" w:space="0" w:color="auto"/>
              <w:right w:val="nil"/>
            </w:tcBorders>
            <w:noWrap/>
            <w:hideMark/>
          </w:tcPr>
          <w:p w:rsidR="00A97C01" w:rsidRPr="000A28AD" w:rsidRDefault="009A1D8F" w:rsidP="00541E4C">
            <w:pP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Productivity</w:t>
            </w:r>
          </w:p>
        </w:tc>
        <w:tc>
          <w:tcPr>
            <w:tcW w:w="1338" w:type="dxa"/>
            <w:tcBorders>
              <w:left w:val="nil"/>
              <w:bottom w:val="none" w:sz="0" w:space="0" w:color="auto"/>
            </w:tcBorders>
            <w:noWrap/>
            <w:hideMark/>
          </w:tcPr>
          <w:p w:rsidR="00A97C01" w:rsidRPr="000A28AD" w:rsidRDefault="00A448E3"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34</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367060"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54</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367060"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11</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367060"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62</w:t>
            </w:r>
          </w:p>
        </w:tc>
        <w:tc>
          <w:tcPr>
            <w:tcW w:w="1276" w:type="dxa"/>
            <w:tcBorders>
              <w:bottom w:val="none" w:sz="0" w:space="0" w:color="auto"/>
            </w:tcBorders>
            <w:noWrap/>
            <w:hideMark/>
          </w:tcPr>
          <w:p w:rsidR="00A97C01" w:rsidRPr="000A28AD" w:rsidRDefault="00367060"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60</w:t>
            </w:r>
          </w:p>
        </w:tc>
      </w:tr>
      <w:tr w:rsidR="001D0139" w:rsidRPr="00C2294E"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bottom w:val="none" w:sz="0" w:space="0" w:color="auto"/>
              <w:right w:val="nil"/>
            </w:tcBorders>
            <w:noWrap/>
            <w:hideMark/>
          </w:tcPr>
          <w:p w:rsidR="00A97C01" w:rsidRPr="000A28AD" w:rsidRDefault="009A1D8F" w:rsidP="00541E4C">
            <w:pP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Employment level</w:t>
            </w:r>
          </w:p>
        </w:tc>
        <w:tc>
          <w:tcPr>
            <w:tcW w:w="1338" w:type="dxa"/>
            <w:tcBorders>
              <w:left w:val="nil"/>
              <w:bottom w:val="none" w:sz="0" w:space="0" w:color="auto"/>
            </w:tcBorders>
            <w:noWrap/>
            <w:hideMark/>
          </w:tcPr>
          <w:p w:rsidR="00A97C01" w:rsidRPr="000A28AD" w:rsidRDefault="00367060"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26</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367060" w:rsidP="00367060">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58</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9A1D8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1</w:t>
            </w:r>
            <w:r w:rsidR="00367060">
              <w:rPr>
                <w:rFonts w:asciiTheme="minorHAnsi" w:eastAsia="Times New Roman" w:hAnsiTheme="minorHAnsi" w:cs="Times New Roman"/>
                <w:i w:val="0"/>
                <w:color w:val="000000"/>
                <w:sz w:val="18"/>
                <w:szCs w:val="18"/>
              </w:rPr>
              <w:t>6</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367060"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55</w:t>
            </w:r>
          </w:p>
        </w:tc>
        <w:tc>
          <w:tcPr>
            <w:tcW w:w="1276" w:type="dxa"/>
            <w:tcBorders>
              <w:bottom w:val="none" w:sz="0" w:space="0" w:color="auto"/>
            </w:tcBorders>
            <w:noWrap/>
            <w:hideMark/>
          </w:tcPr>
          <w:p w:rsidR="00A97C01" w:rsidRPr="000A28AD" w:rsidRDefault="00367060"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54</w:t>
            </w:r>
          </w:p>
        </w:tc>
      </w:tr>
      <w:tr w:rsidR="001D0139" w:rsidRPr="00C2294E"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bottom w:val="none" w:sz="0" w:space="0" w:color="auto"/>
              <w:right w:val="nil"/>
            </w:tcBorders>
            <w:noWrap/>
            <w:hideMark/>
          </w:tcPr>
          <w:p w:rsidR="00A97C01" w:rsidRPr="000A28AD" w:rsidRDefault="009A1D8F" w:rsidP="00541E4C">
            <w:pP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Labor availability</w:t>
            </w:r>
          </w:p>
        </w:tc>
        <w:tc>
          <w:tcPr>
            <w:tcW w:w="1338" w:type="dxa"/>
            <w:tcBorders>
              <w:left w:val="nil"/>
              <w:bottom w:val="none" w:sz="0" w:space="0" w:color="auto"/>
            </w:tcBorders>
            <w:noWrap/>
            <w:hideMark/>
          </w:tcPr>
          <w:p w:rsidR="00A97C01" w:rsidRPr="000A28AD" w:rsidRDefault="00367060"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7</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367060"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69</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367060"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25</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9A1D8F"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41</w:t>
            </w:r>
          </w:p>
        </w:tc>
        <w:tc>
          <w:tcPr>
            <w:tcW w:w="1276" w:type="dxa"/>
            <w:tcBorders>
              <w:bottom w:val="none" w:sz="0" w:space="0" w:color="auto"/>
            </w:tcBorders>
            <w:noWrap/>
            <w:hideMark/>
          </w:tcPr>
          <w:p w:rsidR="00A97C01" w:rsidRPr="000A28AD" w:rsidRDefault="00726C57"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41</w:t>
            </w:r>
          </w:p>
        </w:tc>
      </w:tr>
      <w:tr w:rsidR="001D0139" w:rsidRPr="00C2294E"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bottom w:val="none" w:sz="0" w:space="0" w:color="auto"/>
              <w:right w:val="nil"/>
            </w:tcBorders>
            <w:noWrap/>
            <w:hideMark/>
          </w:tcPr>
          <w:p w:rsidR="00A97C01" w:rsidRPr="000A28AD" w:rsidRDefault="009A1D8F" w:rsidP="00541E4C">
            <w:pP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Selling Prices</w:t>
            </w:r>
          </w:p>
        </w:tc>
        <w:tc>
          <w:tcPr>
            <w:tcW w:w="1338" w:type="dxa"/>
            <w:tcBorders>
              <w:left w:val="nil"/>
              <w:bottom w:val="none" w:sz="0" w:space="0" w:color="auto"/>
            </w:tcBorders>
            <w:noWrap/>
            <w:hideMark/>
          </w:tcPr>
          <w:p w:rsidR="00A97C01" w:rsidRPr="000A28AD" w:rsidRDefault="00367060"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35</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367060"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57</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367060"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8</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367060"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63</w:t>
            </w:r>
          </w:p>
        </w:tc>
        <w:tc>
          <w:tcPr>
            <w:tcW w:w="1276" w:type="dxa"/>
            <w:tcBorders>
              <w:bottom w:val="none" w:sz="0" w:space="0" w:color="auto"/>
            </w:tcBorders>
            <w:noWrap/>
            <w:hideMark/>
          </w:tcPr>
          <w:p w:rsidR="00A97C01" w:rsidRPr="000A28AD" w:rsidRDefault="00367060"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62</w:t>
            </w:r>
          </w:p>
        </w:tc>
      </w:tr>
      <w:tr w:rsidR="001D0139" w:rsidRPr="00C2294E"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97" w:type="dxa"/>
            <w:tcBorders>
              <w:bottom w:val="none" w:sz="0" w:space="0" w:color="auto"/>
              <w:right w:val="nil"/>
            </w:tcBorders>
            <w:noWrap/>
            <w:hideMark/>
          </w:tcPr>
          <w:p w:rsidR="00A97C01" w:rsidRPr="000A28AD" w:rsidRDefault="009A1D8F" w:rsidP="00541E4C">
            <w:pP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Input Costs</w:t>
            </w:r>
          </w:p>
        </w:tc>
        <w:tc>
          <w:tcPr>
            <w:tcW w:w="1338" w:type="dxa"/>
            <w:tcBorders>
              <w:left w:val="nil"/>
              <w:bottom w:val="none" w:sz="0" w:space="0" w:color="auto"/>
            </w:tcBorders>
            <w:noWrap/>
            <w:hideMark/>
          </w:tcPr>
          <w:p w:rsidR="00A97C01" w:rsidRPr="000A28AD" w:rsidRDefault="00A448E3"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52</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367060"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42</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367060"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5</w:t>
            </w:r>
            <w:r w:rsidR="00A97C01" w:rsidRPr="000A28AD">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DD0D08"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74</w:t>
            </w:r>
          </w:p>
        </w:tc>
        <w:tc>
          <w:tcPr>
            <w:tcW w:w="1276" w:type="dxa"/>
            <w:tcBorders>
              <w:bottom w:val="none" w:sz="0" w:space="0" w:color="auto"/>
            </w:tcBorders>
            <w:noWrap/>
            <w:hideMark/>
          </w:tcPr>
          <w:p w:rsidR="00A97C01" w:rsidRPr="000A28AD" w:rsidRDefault="00DD0D08"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75</w:t>
            </w:r>
          </w:p>
        </w:tc>
      </w:tr>
      <w:tr w:rsidR="001D0139" w:rsidRPr="00C2294E" w:rsidTr="009A1D8F">
        <w:trPr>
          <w:cnfStyle w:val="100000000000" w:firstRow="1" w:lastRow="0" w:firstColumn="0" w:lastColumn="0" w:oddVBand="0" w:evenVBand="0" w:oddHBand="0" w:evenHBand="0" w:firstRowFirstColumn="0" w:firstRowLastColumn="0" w:lastRowFirstColumn="0" w:lastRowLastColumn="0"/>
          <w:trHeight w:val="477"/>
          <w:tblHeader/>
          <w:jc w:val="center"/>
        </w:trPr>
        <w:tc>
          <w:tcPr>
            <w:tcW w:w="3897" w:type="dxa"/>
            <w:tcBorders>
              <w:bottom w:val="single" w:sz="4" w:space="0" w:color="auto"/>
              <w:right w:val="nil"/>
            </w:tcBorders>
            <w:noWrap/>
            <w:hideMark/>
          </w:tcPr>
          <w:p w:rsidR="00A97C01" w:rsidRPr="000A28AD" w:rsidRDefault="00174C4B" w:rsidP="00541E4C">
            <w:pPr>
              <w:rPr>
                <w:rFonts w:asciiTheme="minorHAnsi" w:eastAsia="Times New Roman" w:hAnsiTheme="minorHAnsi" w:cs="Times New Roman"/>
                <w:i w:val="0"/>
                <w:color w:val="000000"/>
                <w:sz w:val="18"/>
                <w:szCs w:val="18"/>
              </w:rPr>
            </w:pPr>
            <w:r w:rsidRPr="00174C4B">
              <w:rPr>
                <w:rFonts w:ascii="Calibri" w:eastAsia="Times New Roman" w:hAnsi="Calibri" w:cs="Times New Roman"/>
                <w:i w:val="0"/>
                <w:color w:val="000000"/>
                <w:sz w:val="18"/>
                <w:szCs w:val="18"/>
              </w:rPr>
              <w:t>Space occupied (Square footage)</w:t>
            </w:r>
            <w:r w:rsidR="009A1D8F">
              <w:rPr>
                <w:rFonts w:asciiTheme="minorHAnsi" w:eastAsia="Times New Roman" w:hAnsiTheme="minorHAnsi" w:cs="Times New Roman"/>
                <w:i w:val="0"/>
                <w:color w:val="000000"/>
                <w:sz w:val="18"/>
                <w:szCs w:val="18"/>
              </w:rPr>
              <w:br/>
              <w:t>Exports (sales for foreign clients)</w:t>
            </w:r>
          </w:p>
        </w:tc>
        <w:tc>
          <w:tcPr>
            <w:tcW w:w="1338" w:type="dxa"/>
            <w:tcBorders>
              <w:left w:val="nil"/>
              <w:bottom w:val="none" w:sz="0" w:space="0" w:color="auto"/>
            </w:tcBorders>
            <w:noWrap/>
            <w:hideMark/>
          </w:tcPr>
          <w:p w:rsidR="00A97C01" w:rsidRPr="000A28AD" w:rsidRDefault="00A448E3"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8</w:t>
            </w:r>
            <w:r w:rsidR="00A97C01" w:rsidRPr="000A28AD">
              <w:rPr>
                <w:rFonts w:asciiTheme="minorHAnsi" w:eastAsia="Times New Roman" w:hAnsiTheme="minorHAnsi" w:cs="Times New Roman"/>
                <w:i w:val="0"/>
                <w:color w:val="000000"/>
                <w:sz w:val="18"/>
                <w:szCs w:val="18"/>
              </w:rPr>
              <w:t>%</w:t>
            </w:r>
            <w:r w:rsidR="00DD0D08">
              <w:rPr>
                <w:rFonts w:asciiTheme="minorHAnsi" w:eastAsia="Times New Roman" w:hAnsiTheme="minorHAnsi" w:cs="Times New Roman"/>
                <w:i w:val="0"/>
                <w:color w:val="000000"/>
                <w:sz w:val="18"/>
                <w:szCs w:val="18"/>
              </w:rPr>
              <w:br/>
              <w:t>4</w:t>
            </w:r>
            <w:r w:rsidR="009A1D8F">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DD0D08"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86</w:t>
            </w:r>
            <w:r w:rsidR="00A97C01" w:rsidRPr="000A28AD">
              <w:rPr>
                <w:rFonts w:asciiTheme="minorHAnsi" w:eastAsia="Times New Roman" w:hAnsiTheme="minorHAnsi" w:cs="Times New Roman"/>
                <w:i w:val="0"/>
                <w:color w:val="000000"/>
                <w:sz w:val="18"/>
                <w:szCs w:val="18"/>
              </w:rPr>
              <w:t>%</w:t>
            </w:r>
            <w:r>
              <w:rPr>
                <w:rFonts w:asciiTheme="minorHAnsi" w:eastAsia="Times New Roman" w:hAnsiTheme="minorHAnsi" w:cs="Times New Roman"/>
                <w:i w:val="0"/>
                <w:color w:val="000000"/>
                <w:sz w:val="18"/>
                <w:szCs w:val="18"/>
              </w:rPr>
              <w:br/>
              <w:t>92</w:t>
            </w:r>
            <w:r w:rsidR="009A1D8F">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DD0D08"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6</w:t>
            </w:r>
            <w:r w:rsidR="00A97C01" w:rsidRPr="000A28AD">
              <w:rPr>
                <w:rFonts w:asciiTheme="minorHAnsi" w:eastAsia="Times New Roman" w:hAnsiTheme="minorHAnsi" w:cs="Times New Roman"/>
                <w:i w:val="0"/>
                <w:color w:val="000000"/>
                <w:sz w:val="18"/>
                <w:szCs w:val="18"/>
              </w:rPr>
              <w:t>%</w:t>
            </w:r>
            <w:r>
              <w:rPr>
                <w:rFonts w:asciiTheme="minorHAnsi" w:eastAsia="Times New Roman" w:hAnsiTheme="minorHAnsi" w:cs="Times New Roman"/>
                <w:i w:val="0"/>
                <w:color w:val="000000"/>
                <w:sz w:val="18"/>
                <w:szCs w:val="18"/>
              </w:rPr>
              <w:br/>
              <w:t>4</w:t>
            </w:r>
            <w:r w:rsidR="009A1D8F">
              <w:rPr>
                <w:rFonts w:asciiTheme="minorHAnsi" w:eastAsia="Times New Roman" w:hAnsiTheme="minorHAnsi" w:cs="Times New Roman"/>
                <w:i w:val="0"/>
                <w:color w:val="000000"/>
                <w:sz w:val="18"/>
                <w:szCs w:val="18"/>
              </w:rPr>
              <w:t>%</w:t>
            </w:r>
          </w:p>
        </w:tc>
        <w:tc>
          <w:tcPr>
            <w:tcW w:w="1338" w:type="dxa"/>
            <w:tcBorders>
              <w:bottom w:val="none" w:sz="0" w:space="0" w:color="auto"/>
            </w:tcBorders>
            <w:noWrap/>
            <w:hideMark/>
          </w:tcPr>
          <w:p w:rsidR="00A97C01" w:rsidRPr="000A28AD" w:rsidRDefault="00A448E3"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51</w:t>
            </w:r>
            <w:r>
              <w:rPr>
                <w:rFonts w:asciiTheme="minorHAnsi" w:eastAsia="Times New Roman" w:hAnsiTheme="minorHAnsi" w:cs="Times New Roman"/>
                <w:i w:val="0"/>
                <w:color w:val="000000"/>
                <w:sz w:val="18"/>
                <w:szCs w:val="18"/>
              </w:rPr>
              <w:br/>
              <w:t>50</w:t>
            </w:r>
          </w:p>
        </w:tc>
        <w:tc>
          <w:tcPr>
            <w:tcW w:w="1276" w:type="dxa"/>
            <w:tcBorders>
              <w:bottom w:val="none" w:sz="0" w:space="0" w:color="auto"/>
            </w:tcBorders>
            <w:noWrap/>
            <w:hideMark/>
          </w:tcPr>
          <w:p w:rsidR="00A97C01" w:rsidRPr="000A28AD" w:rsidRDefault="00DD0D08" w:rsidP="00E647F4">
            <w:pPr>
              <w:jc w:val="center"/>
              <w:rPr>
                <w:rFonts w:asciiTheme="minorHAnsi" w:eastAsia="Times New Roman" w:hAnsiTheme="minorHAnsi" w:cs="Times New Roman"/>
                <w:i w:val="0"/>
                <w:color w:val="000000"/>
                <w:sz w:val="18"/>
                <w:szCs w:val="18"/>
              </w:rPr>
            </w:pPr>
            <w:r>
              <w:rPr>
                <w:rFonts w:asciiTheme="minorHAnsi" w:eastAsia="Times New Roman" w:hAnsiTheme="minorHAnsi" w:cs="Times New Roman"/>
                <w:i w:val="0"/>
                <w:color w:val="000000"/>
                <w:sz w:val="18"/>
                <w:szCs w:val="18"/>
              </w:rPr>
              <w:t>51</w:t>
            </w:r>
            <w:r>
              <w:rPr>
                <w:rFonts w:asciiTheme="minorHAnsi" w:eastAsia="Times New Roman" w:hAnsiTheme="minorHAnsi" w:cs="Times New Roman"/>
                <w:i w:val="0"/>
                <w:color w:val="000000"/>
                <w:sz w:val="18"/>
                <w:szCs w:val="18"/>
              </w:rPr>
              <w:br/>
              <w:t>50</w:t>
            </w:r>
          </w:p>
        </w:tc>
      </w:tr>
    </w:tbl>
    <w:p w:rsidR="00A97C01" w:rsidRDefault="00A97C01" w:rsidP="009B3DF5">
      <w:pPr>
        <w:spacing w:after="0" w:line="72" w:lineRule="auto"/>
        <w:contextualSpacing/>
      </w:pPr>
    </w:p>
    <w:tbl>
      <w:tblPr>
        <w:tblStyle w:val="PlainTable4"/>
        <w:tblW w:w="1052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Comparison Worker's Indicators"/>
        <w:tblDescription w:val="Table showing labor indicators. Forty five percent experienced wages per workers between 3-5 percent. Forty percent pf respondents indicated unchanges benefits per worker."/>
      </w:tblPr>
      <w:tblGrid>
        <w:gridCol w:w="2880"/>
        <w:gridCol w:w="902"/>
        <w:gridCol w:w="1334"/>
        <w:gridCol w:w="1350"/>
        <w:gridCol w:w="1350"/>
        <w:gridCol w:w="1350"/>
        <w:gridCol w:w="1355"/>
      </w:tblGrid>
      <w:tr w:rsidR="00E647F4" w:rsidRPr="000F78D4" w:rsidTr="000A28AD">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bottom w:val="single" w:sz="4" w:space="0" w:color="auto"/>
              <w:right w:val="nil"/>
            </w:tcBorders>
            <w:shd w:val="clear" w:color="auto" w:fill="BDD6EE" w:themeFill="accent1" w:themeFillTint="66"/>
            <w:noWrap/>
            <w:hideMark/>
          </w:tcPr>
          <w:p w:rsidR="00A97C01" w:rsidRPr="000A28AD" w:rsidRDefault="00722892" w:rsidP="00541E4C">
            <w:pP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Labor i</w:t>
            </w:r>
            <w:r w:rsidR="00531B2D" w:rsidRPr="000A28AD">
              <w:rPr>
                <w:rFonts w:ascii="Calibri" w:eastAsia="Times New Roman" w:hAnsi="Calibri" w:cs="Times New Roman"/>
                <w:color w:val="000000"/>
                <w:sz w:val="18"/>
                <w:szCs w:val="18"/>
              </w:rPr>
              <w:t>ndic</w:t>
            </w:r>
            <w:r w:rsidR="0043194C">
              <w:rPr>
                <w:rFonts w:ascii="Calibri" w:eastAsia="Times New Roman" w:hAnsi="Calibri" w:cs="Times New Roman"/>
                <w:color w:val="000000"/>
                <w:sz w:val="18"/>
                <w:szCs w:val="18"/>
              </w:rPr>
              <w:t>ators in the last 4 quarters</w:t>
            </w:r>
          </w:p>
        </w:tc>
        <w:tc>
          <w:tcPr>
            <w:tcW w:w="902" w:type="dxa"/>
            <w:tcBorders>
              <w:top w:val="single" w:sz="4" w:space="0" w:color="auto"/>
              <w:left w:val="nil"/>
              <w:bottom w:val="single" w:sz="4" w:space="0" w:color="auto"/>
            </w:tcBorders>
            <w:shd w:val="clear" w:color="auto" w:fill="BDD6EE" w:themeFill="accent1" w:themeFillTint="66"/>
            <w:noWrap/>
            <w:hideMark/>
          </w:tcPr>
          <w:p w:rsidR="00A97C01" w:rsidRPr="000A28AD" w:rsidRDefault="00A97C01"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Decrease</w:t>
            </w:r>
          </w:p>
        </w:tc>
        <w:tc>
          <w:tcPr>
            <w:tcW w:w="1334"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0</w:t>
            </w:r>
            <w:r w:rsidR="00933559">
              <w:rPr>
                <w:rFonts w:ascii="Calibri" w:eastAsia="Times New Roman" w:hAnsi="Calibri" w:cs="Times New Roman"/>
                <w:color w:val="000000"/>
                <w:sz w:val="18"/>
                <w:szCs w:val="18"/>
              </w:rPr>
              <w:t>%</w:t>
            </w:r>
          </w:p>
        </w:tc>
        <w:tc>
          <w:tcPr>
            <w:tcW w:w="1350"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1-2%</w:t>
            </w:r>
          </w:p>
        </w:tc>
        <w:tc>
          <w:tcPr>
            <w:tcW w:w="1350"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3-5%</w:t>
            </w:r>
          </w:p>
        </w:tc>
        <w:tc>
          <w:tcPr>
            <w:tcW w:w="1350"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6-9%</w:t>
            </w:r>
          </w:p>
        </w:tc>
        <w:tc>
          <w:tcPr>
            <w:tcW w:w="1355"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&gt;10%</w:t>
            </w:r>
          </w:p>
        </w:tc>
      </w:tr>
      <w:tr w:rsidR="001D0139" w:rsidRPr="000F78D4" w:rsidTr="000A28AD">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bottom w:val="nil"/>
              <w:right w:val="nil"/>
            </w:tcBorders>
            <w:noWrap/>
            <w:hideMark/>
          </w:tcPr>
          <w:p w:rsidR="00A97C01" w:rsidRPr="000A28AD" w:rsidRDefault="00A97C01" w:rsidP="00541E4C">
            <w:pPr>
              <w:rPr>
                <w:rFonts w:ascii="Calibri" w:eastAsia="Times New Roman" w:hAnsi="Calibri" w:cs="Times New Roman"/>
                <w:b w:val="0"/>
                <w:color w:val="000000"/>
                <w:sz w:val="18"/>
                <w:szCs w:val="18"/>
              </w:rPr>
            </w:pPr>
            <w:r w:rsidRPr="000A28AD">
              <w:rPr>
                <w:rFonts w:ascii="Calibri" w:eastAsia="Times New Roman" w:hAnsi="Calibri" w:cs="Times New Roman"/>
                <w:b w:val="0"/>
                <w:color w:val="000000"/>
                <w:sz w:val="18"/>
                <w:szCs w:val="18"/>
              </w:rPr>
              <w:t>Wages per worker</w:t>
            </w:r>
          </w:p>
        </w:tc>
        <w:tc>
          <w:tcPr>
            <w:tcW w:w="902" w:type="dxa"/>
            <w:tcBorders>
              <w:top w:val="single" w:sz="4" w:space="0" w:color="auto"/>
              <w:left w:val="nil"/>
            </w:tcBorders>
            <w:noWrap/>
            <w:hideMark/>
          </w:tcPr>
          <w:p w:rsidR="00A97C01" w:rsidRPr="000A28AD" w:rsidRDefault="00DD0D08"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5</w:t>
            </w:r>
            <w:r w:rsidR="00A97C01" w:rsidRPr="000A28AD">
              <w:rPr>
                <w:rFonts w:ascii="Calibri" w:eastAsia="Times New Roman" w:hAnsi="Calibri" w:cs="Times New Roman"/>
                <w:b w:val="0"/>
                <w:color w:val="000000"/>
                <w:sz w:val="18"/>
                <w:szCs w:val="18"/>
              </w:rPr>
              <w:t>%</w:t>
            </w:r>
          </w:p>
        </w:tc>
        <w:tc>
          <w:tcPr>
            <w:tcW w:w="1334" w:type="dxa"/>
            <w:tcBorders>
              <w:top w:val="single" w:sz="4" w:space="0" w:color="auto"/>
            </w:tcBorders>
            <w:noWrap/>
            <w:hideMark/>
          </w:tcPr>
          <w:p w:rsidR="00A97C01" w:rsidRPr="000A28AD" w:rsidRDefault="00DD0D08"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22</w:t>
            </w:r>
            <w:r w:rsidR="00A97C01" w:rsidRPr="000A28AD">
              <w:rPr>
                <w:rFonts w:ascii="Calibri" w:eastAsia="Times New Roman" w:hAnsi="Calibri" w:cs="Times New Roman"/>
                <w:b w:val="0"/>
                <w:color w:val="000000"/>
                <w:sz w:val="18"/>
                <w:szCs w:val="18"/>
              </w:rPr>
              <w:t>%</w:t>
            </w:r>
          </w:p>
        </w:tc>
        <w:tc>
          <w:tcPr>
            <w:tcW w:w="1350" w:type="dxa"/>
            <w:tcBorders>
              <w:top w:val="single" w:sz="4" w:space="0" w:color="auto"/>
            </w:tcBorders>
            <w:noWrap/>
            <w:hideMark/>
          </w:tcPr>
          <w:p w:rsidR="00A97C01" w:rsidRPr="000A28AD" w:rsidRDefault="00DD0D08"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16</w:t>
            </w:r>
            <w:r w:rsidR="00A97C01" w:rsidRPr="000A28AD">
              <w:rPr>
                <w:rFonts w:ascii="Calibri" w:eastAsia="Times New Roman" w:hAnsi="Calibri" w:cs="Times New Roman"/>
                <w:b w:val="0"/>
                <w:color w:val="000000"/>
                <w:sz w:val="18"/>
                <w:szCs w:val="18"/>
              </w:rPr>
              <w:t>%</w:t>
            </w:r>
          </w:p>
        </w:tc>
        <w:tc>
          <w:tcPr>
            <w:tcW w:w="1350" w:type="dxa"/>
            <w:tcBorders>
              <w:top w:val="single" w:sz="4" w:space="0" w:color="auto"/>
            </w:tcBorders>
            <w:noWrap/>
            <w:hideMark/>
          </w:tcPr>
          <w:p w:rsidR="00A97C01" w:rsidRPr="000A28AD" w:rsidRDefault="00DD0D08"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45</w:t>
            </w:r>
            <w:r w:rsidR="00A97C01" w:rsidRPr="000A28AD">
              <w:rPr>
                <w:rFonts w:ascii="Calibri" w:eastAsia="Times New Roman" w:hAnsi="Calibri" w:cs="Times New Roman"/>
                <w:b w:val="0"/>
                <w:color w:val="000000"/>
                <w:sz w:val="18"/>
                <w:szCs w:val="18"/>
              </w:rPr>
              <w:t>%</w:t>
            </w:r>
          </w:p>
        </w:tc>
        <w:tc>
          <w:tcPr>
            <w:tcW w:w="1350" w:type="dxa"/>
            <w:tcBorders>
              <w:top w:val="single" w:sz="4" w:space="0" w:color="auto"/>
            </w:tcBorders>
            <w:noWrap/>
            <w:hideMark/>
          </w:tcPr>
          <w:p w:rsidR="00A97C01" w:rsidRPr="000A28AD" w:rsidRDefault="00DD0D08"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8</w:t>
            </w:r>
            <w:r w:rsidR="00A97C01" w:rsidRPr="000A28AD">
              <w:rPr>
                <w:rFonts w:ascii="Calibri" w:eastAsia="Times New Roman" w:hAnsi="Calibri" w:cs="Times New Roman"/>
                <w:b w:val="0"/>
                <w:color w:val="000000"/>
                <w:sz w:val="18"/>
                <w:szCs w:val="18"/>
              </w:rPr>
              <w:t>%</w:t>
            </w:r>
          </w:p>
        </w:tc>
        <w:tc>
          <w:tcPr>
            <w:tcW w:w="1355" w:type="dxa"/>
            <w:tcBorders>
              <w:top w:val="single" w:sz="4" w:space="0" w:color="auto"/>
            </w:tcBorders>
            <w:noWrap/>
            <w:hideMark/>
          </w:tcPr>
          <w:p w:rsidR="00A97C01" w:rsidRPr="000A28AD" w:rsidRDefault="009A1D8F"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4</w:t>
            </w:r>
            <w:r w:rsidR="00A97C01" w:rsidRPr="000A28AD">
              <w:rPr>
                <w:rFonts w:ascii="Calibri" w:eastAsia="Times New Roman" w:hAnsi="Calibri" w:cs="Times New Roman"/>
                <w:b w:val="0"/>
                <w:color w:val="000000"/>
                <w:sz w:val="18"/>
                <w:szCs w:val="18"/>
              </w:rPr>
              <w:t>%</w:t>
            </w:r>
          </w:p>
        </w:tc>
      </w:tr>
      <w:tr w:rsidR="00E647F4" w:rsidRPr="000F78D4" w:rsidTr="000A28AD">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000" w:firstRow="0" w:lastRow="0" w:firstColumn="1" w:lastColumn="0" w:oddVBand="0" w:evenVBand="0" w:oddHBand="0" w:evenHBand="0" w:firstRowFirstColumn="0" w:firstRowLastColumn="0" w:lastRowFirstColumn="0" w:lastRowLastColumn="0"/>
            <w:tcW w:w="2880" w:type="dxa"/>
            <w:tcBorders>
              <w:top w:val="nil"/>
              <w:bottom w:val="single" w:sz="4" w:space="0" w:color="auto"/>
              <w:right w:val="nil"/>
            </w:tcBorders>
            <w:noWrap/>
            <w:hideMark/>
          </w:tcPr>
          <w:p w:rsidR="00A97C01" w:rsidRPr="000A28AD" w:rsidRDefault="00A97C01" w:rsidP="00541E4C">
            <w:pPr>
              <w:rPr>
                <w:rFonts w:ascii="Calibri" w:eastAsia="Times New Roman" w:hAnsi="Calibri" w:cs="Times New Roman"/>
                <w:b w:val="0"/>
                <w:color w:val="000000"/>
                <w:sz w:val="18"/>
                <w:szCs w:val="18"/>
              </w:rPr>
            </w:pPr>
            <w:r w:rsidRPr="000A28AD">
              <w:rPr>
                <w:rFonts w:ascii="Calibri" w:eastAsia="Times New Roman" w:hAnsi="Calibri" w:cs="Times New Roman"/>
                <w:b w:val="0"/>
                <w:color w:val="000000"/>
                <w:sz w:val="18"/>
                <w:szCs w:val="18"/>
              </w:rPr>
              <w:t>Benefits per worker</w:t>
            </w:r>
          </w:p>
        </w:tc>
        <w:tc>
          <w:tcPr>
            <w:tcW w:w="902" w:type="dxa"/>
            <w:tcBorders>
              <w:left w:val="nil"/>
            </w:tcBorders>
            <w:noWrap/>
            <w:hideMark/>
          </w:tcPr>
          <w:p w:rsidR="00A97C01" w:rsidRPr="000A28AD" w:rsidRDefault="00DD0D08"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5</w:t>
            </w:r>
            <w:r w:rsidR="00A97C01" w:rsidRPr="000A28AD">
              <w:rPr>
                <w:rFonts w:ascii="Calibri" w:eastAsia="Times New Roman" w:hAnsi="Calibri" w:cs="Times New Roman"/>
                <w:b w:val="0"/>
                <w:color w:val="000000"/>
                <w:sz w:val="18"/>
                <w:szCs w:val="18"/>
              </w:rPr>
              <w:t>%</w:t>
            </w:r>
          </w:p>
        </w:tc>
        <w:tc>
          <w:tcPr>
            <w:tcW w:w="1334" w:type="dxa"/>
            <w:noWrap/>
            <w:hideMark/>
          </w:tcPr>
          <w:p w:rsidR="00A97C01" w:rsidRPr="000A28AD" w:rsidRDefault="00DD0D08"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40</w:t>
            </w:r>
            <w:r w:rsidR="00A97C01" w:rsidRPr="000A28AD">
              <w:rPr>
                <w:rFonts w:ascii="Calibri" w:eastAsia="Times New Roman" w:hAnsi="Calibri" w:cs="Times New Roman"/>
                <w:b w:val="0"/>
                <w:color w:val="000000"/>
                <w:sz w:val="18"/>
                <w:szCs w:val="18"/>
              </w:rPr>
              <w:t>%</w:t>
            </w:r>
          </w:p>
        </w:tc>
        <w:tc>
          <w:tcPr>
            <w:tcW w:w="1350" w:type="dxa"/>
            <w:noWrap/>
            <w:hideMark/>
          </w:tcPr>
          <w:p w:rsidR="00A97C01" w:rsidRPr="000A28AD" w:rsidRDefault="00DD0D08"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16</w:t>
            </w:r>
            <w:r w:rsidR="00A97C01" w:rsidRPr="000A28AD">
              <w:rPr>
                <w:rFonts w:ascii="Calibri" w:eastAsia="Times New Roman" w:hAnsi="Calibri" w:cs="Times New Roman"/>
                <w:b w:val="0"/>
                <w:color w:val="000000"/>
                <w:sz w:val="18"/>
                <w:szCs w:val="18"/>
              </w:rPr>
              <w:t>%</w:t>
            </w:r>
          </w:p>
        </w:tc>
        <w:tc>
          <w:tcPr>
            <w:tcW w:w="1350" w:type="dxa"/>
            <w:noWrap/>
            <w:hideMark/>
          </w:tcPr>
          <w:p w:rsidR="00A97C01" w:rsidRPr="000A28AD" w:rsidRDefault="00DD0D08"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22</w:t>
            </w:r>
            <w:r w:rsidR="00A97C01" w:rsidRPr="000A28AD">
              <w:rPr>
                <w:rFonts w:ascii="Calibri" w:eastAsia="Times New Roman" w:hAnsi="Calibri" w:cs="Times New Roman"/>
                <w:b w:val="0"/>
                <w:color w:val="000000"/>
                <w:sz w:val="18"/>
                <w:szCs w:val="18"/>
              </w:rPr>
              <w:t>%</w:t>
            </w:r>
          </w:p>
        </w:tc>
        <w:tc>
          <w:tcPr>
            <w:tcW w:w="1350" w:type="dxa"/>
            <w:noWrap/>
            <w:hideMark/>
          </w:tcPr>
          <w:p w:rsidR="00A97C01" w:rsidRPr="000A28AD" w:rsidRDefault="00DD0D08"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10</w:t>
            </w:r>
            <w:r w:rsidR="00A97C01" w:rsidRPr="000A28AD">
              <w:rPr>
                <w:rFonts w:ascii="Calibri" w:eastAsia="Times New Roman" w:hAnsi="Calibri" w:cs="Times New Roman"/>
                <w:b w:val="0"/>
                <w:color w:val="000000"/>
                <w:sz w:val="18"/>
                <w:szCs w:val="18"/>
              </w:rPr>
              <w:t>%</w:t>
            </w:r>
          </w:p>
        </w:tc>
        <w:tc>
          <w:tcPr>
            <w:tcW w:w="1355" w:type="dxa"/>
            <w:noWrap/>
            <w:hideMark/>
          </w:tcPr>
          <w:p w:rsidR="00A97C01" w:rsidRPr="000A28AD" w:rsidRDefault="00A448E3"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7</w:t>
            </w:r>
            <w:r w:rsidR="00A97C01" w:rsidRPr="000A28AD">
              <w:rPr>
                <w:rFonts w:ascii="Calibri" w:eastAsia="Times New Roman" w:hAnsi="Calibri" w:cs="Times New Roman"/>
                <w:b w:val="0"/>
                <w:color w:val="000000"/>
                <w:sz w:val="18"/>
                <w:szCs w:val="18"/>
              </w:rPr>
              <w:t>%</w:t>
            </w:r>
          </w:p>
        </w:tc>
      </w:tr>
    </w:tbl>
    <w:p w:rsidR="00A97C01" w:rsidRDefault="00A97C01" w:rsidP="009B3DF5">
      <w:pPr>
        <w:spacing w:after="0" w:line="72" w:lineRule="auto"/>
      </w:pPr>
    </w:p>
    <w:tbl>
      <w:tblPr>
        <w:tblStyle w:val="PlainTable4"/>
        <w:tblW w:w="10530" w:type="dxa"/>
        <w:jc w:val="center"/>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Caption w:val="Business Expectations for 2018"/>
        <w:tblDescription w:val="Table showing percentages for respondents expecting mostly unchanged conditions for the next four quarters: productivity (56%), employment level (67%), labor availability (79%), selling prices (70%), space occupied (85%) and exports (94%)."/>
      </w:tblPr>
      <w:tblGrid>
        <w:gridCol w:w="3775"/>
        <w:gridCol w:w="1440"/>
        <w:gridCol w:w="1350"/>
        <w:gridCol w:w="1260"/>
        <w:gridCol w:w="1350"/>
        <w:gridCol w:w="1355"/>
      </w:tblGrid>
      <w:tr w:rsidR="00A97C01" w:rsidRPr="000A28AD" w:rsidTr="00531B2D">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bottom w:val="single" w:sz="4" w:space="0" w:color="auto"/>
            </w:tcBorders>
            <w:shd w:val="clear" w:color="auto" w:fill="BDD6EE" w:themeFill="accent1" w:themeFillTint="66"/>
            <w:noWrap/>
            <w:hideMark/>
          </w:tcPr>
          <w:p w:rsidR="00A97C01" w:rsidRPr="000A28AD" w:rsidRDefault="00722892" w:rsidP="00541E4C">
            <w:pP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Expected business i</w:t>
            </w:r>
            <w:r w:rsidR="00584451">
              <w:rPr>
                <w:rFonts w:ascii="Calibri" w:eastAsia="Times New Roman" w:hAnsi="Calibri" w:cs="Times New Roman"/>
                <w:color w:val="000000"/>
                <w:sz w:val="18"/>
                <w:szCs w:val="18"/>
              </w:rPr>
              <w:t>ndicators during the next four quarters</w:t>
            </w:r>
          </w:p>
        </w:tc>
        <w:tc>
          <w:tcPr>
            <w:tcW w:w="1440"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Up</w:t>
            </w:r>
          </w:p>
        </w:tc>
        <w:tc>
          <w:tcPr>
            <w:tcW w:w="1350"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Same</w:t>
            </w:r>
          </w:p>
        </w:tc>
        <w:tc>
          <w:tcPr>
            <w:tcW w:w="1260"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Down</w:t>
            </w:r>
          </w:p>
        </w:tc>
        <w:tc>
          <w:tcPr>
            <w:tcW w:w="1350" w:type="dxa"/>
            <w:tcBorders>
              <w:top w:val="single" w:sz="4" w:space="0" w:color="auto"/>
              <w:bottom w:val="single" w:sz="4" w:space="0" w:color="auto"/>
            </w:tcBorders>
            <w:shd w:val="clear" w:color="auto" w:fill="BDD6EE" w:themeFill="accent1" w:themeFillTint="66"/>
            <w:noWrap/>
            <w:hideMark/>
          </w:tcPr>
          <w:p w:rsidR="00A97C01" w:rsidRPr="000A28AD" w:rsidRDefault="00DD0D08"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Diffusion Index 2019</w:t>
            </w:r>
            <w:r w:rsidR="00AE0EFF" w:rsidRPr="000A28AD">
              <w:rPr>
                <w:rFonts w:ascii="Calibri" w:eastAsia="Times New Roman" w:hAnsi="Calibri" w:cs="Times New Roman"/>
                <w:color w:val="000000"/>
                <w:sz w:val="18"/>
                <w:szCs w:val="18"/>
                <w:vertAlign w:val="superscript"/>
              </w:rPr>
              <w:t>(2)</w:t>
            </w:r>
          </w:p>
        </w:tc>
        <w:tc>
          <w:tcPr>
            <w:tcW w:w="1355" w:type="dxa"/>
            <w:tcBorders>
              <w:top w:val="single" w:sz="4" w:space="0" w:color="auto"/>
              <w:bottom w:val="single" w:sz="4" w:space="0" w:color="auto"/>
            </w:tcBorders>
            <w:shd w:val="clear" w:color="auto" w:fill="BDD6EE" w:themeFill="accent1" w:themeFillTint="66"/>
            <w:noWrap/>
            <w:hideMark/>
          </w:tcPr>
          <w:p w:rsidR="00A97C01" w:rsidRPr="000A28AD" w:rsidRDefault="00DD0D08" w:rsidP="00541E4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Diffusion Index 2018</w:t>
            </w:r>
            <w:r w:rsidR="00AE0EFF" w:rsidRPr="000A28AD">
              <w:rPr>
                <w:rFonts w:ascii="Calibri" w:eastAsia="Times New Roman" w:hAnsi="Calibri" w:cs="Times New Roman"/>
                <w:color w:val="000000"/>
                <w:sz w:val="18"/>
                <w:szCs w:val="18"/>
                <w:vertAlign w:val="superscript"/>
              </w:rPr>
              <w:t>(2)</w:t>
            </w:r>
          </w:p>
        </w:tc>
      </w:tr>
      <w:tr w:rsidR="00A97C01" w:rsidRPr="000A28AD"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tcBorders>
            <w:noWrap/>
            <w:hideMark/>
          </w:tcPr>
          <w:p w:rsidR="00A97C01" w:rsidRPr="000A28AD" w:rsidRDefault="00174C4B" w:rsidP="00541E4C">
            <w:pPr>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Sales revenue</w:t>
            </w:r>
          </w:p>
        </w:tc>
        <w:tc>
          <w:tcPr>
            <w:tcW w:w="1440" w:type="dxa"/>
            <w:tcBorders>
              <w:top w:val="single" w:sz="4" w:space="0" w:color="auto"/>
            </w:tcBorders>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46</w:t>
            </w:r>
            <w:r w:rsidR="00A97C01" w:rsidRPr="000A28AD">
              <w:rPr>
                <w:rFonts w:ascii="Calibri" w:eastAsia="Times New Roman" w:hAnsi="Calibri" w:cs="Times New Roman"/>
                <w:color w:val="000000"/>
                <w:sz w:val="18"/>
                <w:szCs w:val="18"/>
              </w:rPr>
              <w:t>%</w:t>
            </w:r>
          </w:p>
        </w:tc>
        <w:tc>
          <w:tcPr>
            <w:tcW w:w="1350" w:type="dxa"/>
            <w:tcBorders>
              <w:top w:val="single" w:sz="4" w:space="0" w:color="auto"/>
            </w:tcBorders>
            <w:noWrap/>
            <w:hideMark/>
          </w:tcPr>
          <w:p w:rsidR="00A97C01" w:rsidRPr="000A28AD" w:rsidRDefault="00A448E3"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40</w:t>
            </w:r>
            <w:r w:rsidR="00A97C01" w:rsidRPr="000A28AD">
              <w:rPr>
                <w:rFonts w:ascii="Calibri" w:eastAsia="Times New Roman" w:hAnsi="Calibri" w:cs="Times New Roman"/>
                <w:color w:val="000000"/>
                <w:sz w:val="18"/>
                <w:szCs w:val="18"/>
              </w:rPr>
              <w:t>%</w:t>
            </w:r>
          </w:p>
        </w:tc>
        <w:tc>
          <w:tcPr>
            <w:tcW w:w="1260" w:type="dxa"/>
            <w:tcBorders>
              <w:top w:val="single" w:sz="4" w:space="0" w:color="auto"/>
            </w:tcBorders>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14</w:t>
            </w:r>
            <w:r w:rsidR="00A97C01" w:rsidRPr="000A28AD">
              <w:rPr>
                <w:rFonts w:ascii="Calibri" w:eastAsia="Times New Roman" w:hAnsi="Calibri" w:cs="Times New Roman"/>
                <w:color w:val="000000"/>
                <w:sz w:val="18"/>
                <w:szCs w:val="18"/>
              </w:rPr>
              <w:t>%</w:t>
            </w:r>
          </w:p>
        </w:tc>
        <w:tc>
          <w:tcPr>
            <w:tcW w:w="1350" w:type="dxa"/>
            <w:tcBorders>
              <w:top w:val="single" w:sz="4" w:space="0" w:color="auto"/>
            </w:tcBorders>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66</w:t>
            </w:r>
          </w:p>
        </w:tc>
        <w:tc>
          <w:tcPr>
            <w:tcW w:w="1355" w:type="dxa"/>
            <w:tcBorders>
              <w:top w:val="single" w:sz="4" w:space="0" w:color="auto"/>
            </w:tcBorders>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69</w:t>
            </w:r>
          </w:p>
        </w:tc>
      </w:tr>
      <w:tr w:rsidR="00A97C01" w:rsidRPr="000A28AD"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rsidR="00A97C01" w:rsidRPr="000A28AD" w:rsidRDefault="00174C4B" w:rsidP="00541E4C">
            <w:pPr>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Profits</w:t>
            </w:r>
          </w:p>
        </w:tc>
        <w:tc>
          <w:tcPr>
            <w:tcW w:w="1440"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42</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40</w:t>
            </w:r>
            <w:r w:rsidR="00A97C01" w:rsidRPr="000A28AD">
              <w:rPr>
                <w:rFonts w:ascii="Calibri" w:eastAsia="Times New Roman" w:hAnsi="Calibri" w:cs="Times New Roman"/>
                <w:color w:val="000000"/>
                <w:sz w:val="18"/>
                <w:szCs w:val="18"/>
              </w:rPr>
              <w:t>%</w:t>
            </w:r>
          </w:p>
        </w:tc>
        <w:tc>
          <w:tcPr>
            <w:tcW w:w="1260"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18</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62</w:t>
            </w:r>
          </w:p>
        </w:tc>
        <w:tc>
          <w:tcPr>
            <w:tcW w:w="1355"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66</w:t>
            </w:r>
          </w:p>
        </w:tc>
      </w:tr>
      <w:tr w:rsidR="00A97C01" w:rsidRPr="000A28AD"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rsidR="00A97C01" w:rsidRPr="000A28AD" w:rsidRDefault="00174C4B" w:rsidP="00541E4C">
            <w:pPr>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Productivity</w:t>
            </w:r>
          </w:p>
        </w:tc>
        <w:tc>
          <w:tcPr>
            <w:tcW w:w="1440"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39</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56</w:t>
            </w:r>
            <w:r w:rsidR="00A97C01" w:rsidRPr="000A28AD">
              <w:rPr>
                <w:rFonts w:ascii="Calibri" w:eastAsia="Times New Roman" w:hAnsi="Calibri" w:cs="Times New Roman"/>
                <w:color w:val="000000"/>
                <w:sz w:val="18"/>
                <w:szCs w:val="18"/>
              </w:rPr>
              <w:t>%</w:t>
            </w:r>
          </w:p>
        </w:tc>
        <w:tc>
          <w:tcPr>
            <w:tcW w:w="1260"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67</w:t>
            </w:r>
          </w:p>
        </w:tc>
        <w:tc>
          <w:tcPr>
            <w:tcW w:w="1355" w:type="dxa"/>
            <w:noWrap/>
            <w:hideMark/>
          </w:tcPr>
          <w:p w:rsidR="00A97C01" w:rsidRPr="000A28AD" w:rsidRDefault="0089194E"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64</w:t>
            </w:r>
          </w:p>
        </w:tc>
      </w:tr>
      <w:tr w:rsidR="00A97C01" w:rsidRPr="000A28AD"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rsidR="00A97C01" w:rsidRPr="000A28AD" w:rsidRDefault="00174C4B" w:rsidP="00541E4C">
            <w:pPr>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Employment level</w:t>
            </w:r>
          </w:p>
        </w:tc>
        <w:tc>
          <w:tcPr>
            <w:tcW w:w="1440"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28</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67</w:t>
            </w:r>
            <w:r w:rsidR="00A97C01" w:rsidRPr="000A28AD">
              <w:rPr>
                <w:rFonts w:ascii="Calibri" w:eastAsia="Times New Roman" w:hAnsi="Calibri" w:cs="Times New Roman"/>
                <w:color w:val="000000"/>
                <w:sz w:val="18"/>
                <w:szCs w:val="18"/>
              </w:rPr>
              <w:t>%</w:t>
            </w:r>
          </w:p>
        </w:tc>
        <w:tc>
          <w:tcPr>
            <w:tcW w:w="1260" w:type="dxa"/>
            <w:noWrap/>
            <w:hideMark/>
          </w:tcPr>
          <w:p w:rsidR="00A97C01" w:rsidRPr="000A28AD" w:rsidRDefault="0089194E"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62</w:t>
            </w:r>
          </w:p>
        </w:tc>
        <w:tc>
          <w:tcPr>
            <w:tcW w:w="1355"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58</w:t>
            </w:r>
          </w:p>
        </w:tc>
      </w:tr>
      <w:tr w:rsidR="00A97C01" w:rsidRPr="000A28AD"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rsidR="00A97C01" w:rsidRPr="000A28AD" w:rsidRDefault="00174C4B" w:rsidP="00541E4C">
            <w:pPr>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Labor availability</w:t>
            </w:r>
          </w:p>
        </w:tc>
        <w:tc>
          <w:tcPr>
            <w:tcW w:w="1440"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8</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79</w:t>
            </w:r>
            <w:r w:rsidR="00A97C01" w:rsidRPr="000A28AD">
              <w:rPr>
                <w:rFonts w:ascii="Calibri" w:eastAsia="Times New Roman" w:hAnsi="Calibri" w:cs="Times New Roman"/>
                <w:color w:val="000000"/>
                <w:sz w:val="18"/>
                <w:szCs w:val="18"/>
              </w:rPr>
              <w:t>%</w:t>
            </w:r>
          </w:p>
        </w:tc>
        <w:tc>
          <w:tcPr>
            <w:tcW w:w="1260"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13</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47</w:t>
            </w:r>
          </w:p>
        </w:tc>
        <w:tc>
          <w:tcPr>
            <w:tcW w:w="1355"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41</w:t>
            </w:r>
          </w:p>
        </w:tc>
      </w:tr>
      <w:tr w:rsidR="00A97C01" w:rsidRPr="000A28AD"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rsidR="00A97C01" w:rsidRPr="000A28AD" w:rsidRDefault="00174C4B" w:rsidP="00541E4C">
            <w:pPr>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 xml:space="preserve">Selling </w:t>
            </w:r>
            <w:r w:rsidR="0013508B">
              <w:rPr>
                <w:rFonts w:ascii="Calibri" w:eastAsia="Times New Roman" w:hAnsi="Calibri" w:cs="Times New Roman"/>
                <w:b w:val="0"/>
                <w:color w:val="000000"/>
                <w:sz w:val="18"/>
                <w:szCs w:val="18"/>
              </w:rPr>
              <w:t>p</w:t>
            </w:r>
            <w:r>
              <w:rPr>
                <w:rFonts w:ascii="Calibri" w:eastAsia="Times New Roman" w:hAnsi="Calibri" w:cs="Times New Roman"/>
                <w:b w:val="0"/>
                <w:color w:val="000000"/>
                <w:sz w:val="18"/>
                <w:szCs w:val="18"/>
              </w:rPr>
              <w:t>rices</w:t>
            </w:r>
            <w:r>
              <w:rPr>
                <w:rFonts w:ascii="Calibri" w:eastAsia="Times New Roman" w:hAnsi="Calibri" w:cs="Times New Roman"/>
                <w:b w:val="0"/>
                <w:color w:val="000000"/>
                <w:sz w:val="18"/>
                <w:szCs w:val="18"/>
              </w:rPr>
              <w:br/>
              <w:t>Input Cost</w:t>
            </w:r>
          </w:p>
        </w:tc>
        <w:tc>
          <w:tcPr>
            <w:tcW w:w="1440"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25</w:t>
            </w:r>
            <w:r w:rsidR="00A97C01" w:rsidRPr="000A28AD">
              <w:rPr>
                <w:rFonts w:ascii="Calibri" w:eastAsia="Times New Roman" w:hAnsi="Calibri" w:cs="Times New Roman"/>
                <w:color w:val="000000"/>
                <w:sz w:val="18"/>
                <w:szCs w:val="18"/>
              </w:rPr>
              <w:t>%</w:t>
            </w:r>
            <w:r>
              <w:rPr>
                <w:rFonts w:ascii="Calibri" w:eastAsia="Times New Roman" w:hAnsi="Calibri" w:cs="Times New Roman"/>
                <w:color w:val="000000"/>
                <w:sz w:val="18"/>
                <w:szCs w:val="18"/>
              </w:rPr>
              <w:br/>
              <w:t>39</w:t>
            </w:r>
            <w:r w:rsidR="00174C4B">
              <w:rPr>
                <w:rFonts w:ascii="Calibri" w:eastAsia="Times New Roman" w:hAnsi="Calibri" w:cs="Times New Roman"/>
                <w:color w:val="000000"/>
                <w:sz w:val="18"/>
                <w:szCs w:val="18"/>
              </w:rPr>
              <w:t>%</w:t>
            </w:r>
          </w:p>
        </w:tc>
        <w:tc>
          <w:tcPr>
            <w:tcW w:w="1350"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70</w:t>
            </w:r>
            <w:r w:rsidR="00A97C01" w:rsidRPr="000A28AD">
              <w:rPr>
                <w:rFonts w:ascii="Calibri" w:eastAsia="Times New Roman" w:hAnsi="Calibri" w:cs="Times New Roman"/>
                <w:color w:val="000000"/>
                <w:sz w:val="18"/>
                <w:szCs w:val="18"/>
              </w:rPr>
              <w:t>%</w:t>
            </w:r>
            <w:r>
              <w:rPr>
                <w:rFonts w:ascii="Calibri" w:eastAsia="Times New Roman" w:hAnsi="Calibri" w:cs="Times New Roman"/>
                <w:color w:val="000000"/>
                <w:sz w:val="18"/>
                <w:szCs w:val="18"/>
              </w:rPr>
              <w:br/>
              <w:t>57</w:t>
            </w:r>
            <w:r w:rsidR="00174C4B">
              <w:rPr>
                <w:rFonts w:ascii="Calibri" w:eastAsia="Times New Roman" w:hAnsi="Calibri" w:cs="Times New Roman"/>
                <w:color w:val="000000"/>
                <w:sz w:val="18"/>
                <w:szCs w:val="18"/>
              </w:rPr>
              <w:t>%</w:t>
            </w:r>
          </w:p>
        </w:tc>
        <w:tc>
          <w:tcPr>
            <w:tcW w:w="1260"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r w:rsidR="00A97C01" w:rsidRPr="000A28AD">
              <w:rPr>
                <w:rFonts w:ascii="Calibri" w:eastAsia="Times New Roman" w:hAnsi="Calibri" w:cs="Times New Roman"/>
                <w:color w:val="000000"/>
                <w:sz w:val="18"/>
                <w:szCs w:val="18"/>
              </w:rPr>
              <w:t>%</w:t>
            </w:r>
            <w:r>
              <w:rPr>
                <w:rFonts w:ascii="Calibri" w:eastAsia="Times New Roman" w:hAnsi="Calibri" w:cs="Times New Roman"/>
                <w:color w:val="000000"/>
                <w:sz w:val="18"/>
                <w:szCs w:val="18"/>
              </w:rPr>
              <w:br/>
              <w:t>4</w:t>
            </w:r>
            <w:r w:rsidR="00174C4B">
              <w:rPr>
                <w:rFonts w:ascii="Calibri" w:eastAsia="Times New Roman" w:hAnsi="Calibri" w:cs="Times New Roman"/>
                <w:color w:val="000000"/>
                <w:sz w:val="18"/>
                <w:szCs w:val="18"/>
              </w:rPr>
              <w:t>%</w:t>
            </w:r>
          </w:p>
        </w:tc>
        <w:tc>
          <w:tcPr>
            <w:tcW w:w="1350"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60</w:t>
            </w:r>
            <w:r>
              <w:rPr>
                <w:rFonts w:ascii="Calibri" w:eastAsia="Times New Roman" w:hAnsi="Calibri" w:cs="Times New Roman"/>
                <w:color w:val="000000"/>
                <w:sz w:val="18"/>
                <w:szCs w:val="18"/>
              </w:rPr>
              <w:br/>
              <w:t>67</w:t>
            </w:r>
          </w:p>
        </w:tc>
        <w:tc>
          <w:tcPr>
            <w:tcW w:w="1355"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63</w:t>
            </w:r>
            <w:r w:rsidR="00174C4B">
              <w:rPr>
                <w:rFonts w:ascii="Calibri" w:eastAsia="Times New Roman" w:hAnsi="Calibri" w:cs="Times New Roman"/>
                <w:color w:val="000000"/>
                <w:sz w:val="18"/>
                <w:szCs w:val="18"/>
              </w:rPr>
              <w:br/>
              <w:t>70</w:t>
            </w:r>
          </w:p>
        </w:tc>
      </w:tr>
      <w:tr w:rsidR="00A97C01" w:rsidRPr="000A28AD"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rsidR="00A97C01" w:rsidRPr="000A28AD" w:rsidRDefault="00174C4B" w:rsidP="00541E4C">
            <w:pPr>
              <w:rPr>
                <w:rFonts w:ascii="Calibri" w:eastAsia="Times New Roman" w:hAnsi="Calibri" w:cs="Times New Roman"/>
                <w:b w:val="0"/>
                <w:color w:val="000000"/>
                <w:sz w:val="18"/>
                <w:szCs w:val="18"/>
              </w:rPr>
            </w:pPr>
            <w:r>
              <w:rPr>
                <w:rFonts w:ascii="Calibri" w:eastAsia="Times New Roman" w:hAnsi="Calibri" w:cs="Times New Roman"/>
                <w:b w:val="0"/>
                <w:color w:val="000000"/>
                <w:sz w:val="18"/>
                <w:szCs w:val="18"/>
              </w:rPr>
              <w:t>Space occupied (Square footage)</w:t>
            </w:r>
          </w:p>
        </w:tc>
        <w:tc>
          <w:tcPr>
            <w:tcW w:w="1440"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11</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85</w:t>
            </w:r>
            <w:r w:rsidR="00A97C01" w:rsidRPr="000A28AD">
              <w:rPr>
                <w:rFonts w:ascii="Calibri" w:eastAsia="Times New Roman" w:hAnsi="Calibri" w:cs="Times New Roman"/>
                <w:color w:val="000000"/>
                <w:sz w:val="18"/>
                <w:szCs w:val="18"/>
              </w:rPr>
              <w:t>%</w:t>
            </w:r>
          </w:p>
        </w:tc>
        <w:tc>
          <w:tcPr>
            <w:tcW w:w="1260" w:type="dxa"/>
            <w:noWrap/>
            <w:hideMark/>
          </w:tcPr>
          <w:p w:rsidR="00A97C01" w:rsidRPr="000A28AD" w:rsidRDefault="0089194E"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89194E"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53</w:t>
            </w:r>
          </w:p>
        </w:tc>
        <w:tc>
          <w:tcPr>
            <w:tcW w:w="1355"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53</w:t>
            </w:r>
          </w:p>
        </w:tc>
      </w:tr>
      <w:tr w:rsidR="00A97C01" w:rsidRPr="000A28AD" w:rsidTr="00531B2D">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noWrap/>
            <w:hideMark/>
          </w:tcPr>
          <w:p w:rsidR="00A97C01" w:rsidRPr="00174C4B" w:rsidRDefault="00174C4B" w:rsidP="00541E4C">
            <w:pPr>
              <w:rPr>
                <w:rFonts w:ascii="Calibri" w:eastAsia="Times New Roman" w:hAnsi="Calibri" w:cs="Times New Roman"/>
                <w:b w:val="0"/>
                <w:color w:val="000000"/>
                <w:sz w:val="18"/>
                <w:szCs w:val="18"/>
              </w:rPr>
            </w:pPr>
            <w:r w:rsidRPr="00174C4B">
              <w:rPr>
                <w:rFonts w:eastAsia="Times New Roman" w:cs="Times New Roman"/>
                <w:b w:val="0"/>
                <w:color w:val="000000"/>
                <w:sz w:val="18"/>
                <w:szCs w:val="18"/>
              </w:rPr>
              <w:t>Exports (sales for foreign clients)</w:t>
            </w:r>
          </w:p>
        </w:tc>
        <w:tc>
          <w:tcPr>
            <w:tcW w:w="1440"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89194E"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94</w:t>
            </w:r>
            <w:r w:rsidR="00A97C01" w:rsidRPr="000A28AD">
              <w:rPr>
                <w:rFonts w:ascii="Calibri" w:eastAsia="Times New Roman" w:hAnsi="Calibri" w:cs="Times New Roman"/>
                <w:color w:val="000000"/>
                <w:sz w:val="18"/>
                <w:szCs w:val="18"/>
              </w:rPr>
              <w:t>%</w:t>
            </w:r>
          </w:p>
        </w:tc>
        <w:tc>
          <w:tcPr>
            <w:tcW w:w="1260"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89194E"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50</w:t>
            </w:r>
          </w:p>
        </w:tc>
        <w:tc>
          <w:tcPr>
            <w:tcW w:w="1355" w:type="dxa"/>
            <w:noWrap/>
            <w:hideMark/>
          </w:tcPr>
          <w:p w:rsidR="00A97C01" w:rsidRPr="000A28AD" w:rsidRDefault="00DD0D08" w:rsidP="00E647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50</w:t>
            </w:r>
          </w:p>
        </w:tc>
      </w:tr>
    </w:tbl>
    <w:p w:rsidR="00A97C01" w:rsidRPr="000A28AD" w:rsidRDefault="00A97C01" w:rsidP="009B3DF5">
      <w:pPr>
        <w:spacing w:after="0" w:line="72" w:lineRule="auto"/>
        <w:rPr>
          <w:sz w:val="18"/>
          <w:szCs w:val="18"/>
        </w:rPr>
      </w:pPr>
    </w:p>
    <w:tbl>
      <w:tblPr>
        <w:tblStyle w:val="PlainTable4"/>
        <w:tblW w:w="10526" w:type="dxa"/>
        <w:jc w:val="center"/>
        <w:tblBorders>
          <w:top w:val="single" w:sz="4" w:space="0" w:color="auto"/>
          <w:left w:val="single" w:sz="4" w:space="0" w:color="auto"/>
          <w:bottom w:val="single" w:sz="4" w:space="0" w:color="auto"/>
          <w:right w:val="single" w:sz="4" w:space="0" w:color="auto"/>
        </w:tblBorders>
        <w:tblLook w:val="0620" w:firstRow="1" w:lastRow="0" w:firstColumn="0" w:lastColumn="0" w:noHBand="1" w:noVBand="1"/>
        <w:tblCaption w:val="Indicators for Labor Indicators Expectations Following Year"/>
        <w:tblDescription w:val="Table showing that 40 percent of respondents expect no changes in benefits per worker. Thirty-six percent expect an increase between 3-5 percent  in wages per worker while 28 percent expect  an increased between 1-2 percent in wages per worker."/>
      </w:tblPr>
      <w:tblGrid>
        <w:gridCol w:w="2885"/>
        <w:gridCol w:w="902"/>
        <w:gridCol w:w="1334"/>
        <w:gridCol w:w="1440"/>
        <w:gridCol w:w="1170"/>
        <w:gridCol w:w="1350"/>
        <w:gridCol w:w="1445"/>
      </w:tblGrid>
      <w:tr w:rsidR="00E647F4" w:rsidRPr="00C2294E" w:rsidTr="000A28A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2885" w:type="dxa"/>
            <w:tcBorders>
              <w:top w:val="single" w:sz="4" w:space="0" w:color="auto"/>
              <w:bottom w:val="single" w:sz="4" w:space="0" w:color="auto"/>
            </w:tcBorders>
            <w:shd w:val="clear" w:color="auto" w:fill="BDD6EE" w:themeFill="accent1" w:themeFillTint="66"/>
            <w:noWrap/>
            <w:hideMark/>
          </w:tcPr>
          <w:p w:rsidR="00A97C01" w:rsidRPr="000A28AD" w:rsidRDefault="000A28AD" w:rsidP="000A28A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Expected l</w:t>
            </w:r>
            <w:r w:rsidR="00722892" w:rsidRPr="000A28AD">
              <w:rPr>
                <w:rFonts w:ascii="Calibri" w:eastAsia="Times New Roman" w:hAnsi="Calibri" w:cs="Times New Roman"/>
                <w:color w:val="000000"/>
                <w:sz w:val="18"/>
                <w:szCs w:val="18"/>
              </w:rPr>
              <w:t>abor i</w:t>
            </w:r>
            <w:r w:rsidR="0023223B">
              <w:rPr>
                <w:rFonts w:ascii="Calibri" w:eastAsia="Times New Roman" w:hAnsi="Calibri" w:cs="Times New Roman"/>
                <w:color w:val="000000"/>
                <w:sz w:val="18"/>
                <w:szCs w:val="18"/>
              </w:rPr>
              <w:t>ndicators in 2018, compared to 2017</w:t>
            </w:r>
            <w:r w:rsidR="00531B2D" w:rsidRPr="000A28AD">
              <w:rPr>
                <w:rFonts w:ascii="Calibri" w:eastAsia="Times New Roman" w:hAnsi="Calibri" w:cs="Times New Roman"/>
                <w:color w:val="000000"/>
                <w:sz w:val="18"/>
                <w:szCs w:val="18"/>
              </w:rPr>
              <w:t>:</w:t>
            </w:r>
          </w:p>
        </w:tc>
        <w:tc>
          <w:tcPr>
            <w:tcW w:w="902"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Decrease</w:t>
            </w:r>
          </w:p>
        </w:tc>
        <w:tc>
          <w:tcPr>
            <w:tcW w:w="1334"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0</w:t>
            </w:r>
          </w:p>
        </w:tc>
        <w:tc>
          <w:tcPr>
            <w:tcW w:w="1440"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1-2%</w:t>
            </w:r>
          </w:p>
        </w:tc>
        <w:tc>
          <w:tcPr>
            <w:tcW w:w="1170"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3-5%</w:t>
            </w:r>
          </w:p>
        </w:tc>
        <w:tc>
          <w:tcPr>
            <w:tcW w:w="1350"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6-9%</w:t>
            </w:r>
          </w:p>
        </w:tc>
        <w:tc>
          <w:tcPr>
            <w:tcW w:w="1445"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&gt;10%</w:t>
            </w:r>
          </w:p>
        </w:tc>
      </w:tr>
      <w:tr w:rsidR="00E647F4" w:rsidRPr="00C2294E" w:rsidTr="000A28AD">
        <w:trPr>
          <w:trHeight w:val="144"/>
          <w:jc w:val="center"/>
        </w:trPr>
        <w:tc>
          <w:tcPr>
            <w:tcW w:w="2885" w:type="dxa"/>
            <w:tcBorders>
              <w:top w:val="single" w:sz="4" w:space="0" w:color="auto"/>
            </w:tcBorders>
            <w:noWrap/>
            <w:hideMark/>
          </w:tcPr>
          <w:p w:rsidR="00A97C01" w:rsidRPr="000A28AD" w:rsidRDefault="00A97C01" w:rsidP="00541E4C">
            <w:pP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Wages per worker</w:t>
            </w:r>
          </w:p>
        </w:tc>
        <w:tc>
          <w:tcPr>
            <w:tcW w:w="902" w:type="dxa"/>
            <w:tcBorders>
              <w:top w:val="single" w:sz="4" w:space="0" w:color="auto"/>
            </w:tcBorders>
            <w:noWrap/>
            <w:hideMark/>
          </w:tcPr>
          <w:p w:rsidR="00A97C01" w:rsidRPr="000A28AD" w:rsidRDefault="008C7C93" w:rsidP="00541E4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r w:rsidR="00A97C01" w:rsidRPr="000A28AD">
              <w:rPr>
                <w:rFonts w:ascii="Calibri" w:eastAsia="Times New Roman" w:hAnsi="Calibri" w:cs="Times New Roman"/>
                <w:color w:val="000000"/>
                <w:sz w:val="18"/>
                <w:szCs w:val="18"/>
              </w:rPr>
              <w:t>%</w:t>
            </w:r>
          </w:p>
        </w:tc>
        <w:tc>
          <w:tcPr>
            <w:tcW w:w="1334" w:type="dxa"/>
            <w:tcBorders>
              <w:top w:val="single" w:sz="4" w:space="0" w:color="auto"/>
            </w:tcBorders>
            <w:noWrap/>
            <w:hideMark/>
          </w:tcPr>
          <w:p w:rsidR="00A97C01" w:rsidRPr="000A28AD" w:rsidRDefault="008C7C93" w:rsidP="00541E4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28</w:t>
            </w:r>
            <w:r w:rsidR="00A97C01" w:rsidRPr="000A28AD">
              <w:rPr>
                <w:rFonts w:ascii="Calibri" w:eastAsia="Times New Roman" w:hAnsi="Calibri" w:cs="Times New Roman"/>
                <w:color w:val="000000"/>
                <w:sz w:val="18"/>
                <w:szCs w:val="18"/>
              </w:rPr>
              <w:t>%</w:t>
            </w:r>
          </w:p>
        </w:tc>
        <w:tc>
          <w:tcPr>
            <w:tcW w:w="1440" w:type="dxa"/>
            <w:tcBorders>
              <w:top w:val="single" w:sz="4" w:space="0" w:color="auto"/>
            </w:tcBorders>
            <w:noWrap/>
            <w:hideMark/>
          </w:tcPr>
          <w:p w:rsidR="00A97C01" w:rsidRPr="000A28AD" w:rsidRDefault="008C7C93" w:rsidP="00541E4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24</w:t>
            </w:r>
            <w:r w:rsidR="00A97C01" w:rsidRPr="000A28AD">
              <w:rPr>
                <w:rFonts w:ascii="Calibri" w:eastAsia="Times New Roman" w:hAnsi="Calibri" w:cs="Times New Roman"/>
                <w:color w:val="000000"/>
                <w:sz w:val="18"/>
                <w:szCs w:val="18"/>
              </w:rPr>
              <w:t>%</w:t>
            </w:r>
          </w:p>
        </w:tc>
        <w:tc>
          <w:tcPr>
            <w:tcW w:w="1170" w:type="dxa"/>
            <w:tcBorders>
              <w:top w:val="single" w:sz="4" w:space="0" w:color="auto"/>
            </w:tcBorders>
            <w:noWrap/>
            <w:hideMark/>
          </w:tcPr>
          <w:p w:rsidR="00A97C01" w:rsidRPr="000A28AD" w:rsidRDefault="008C7C93" w:rsidP="00541E4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36</w:t>
            </w:r>
            <w:r w:rsidR="00A97C01" w:rsidRPr="000A28AD">
              <w:rPr>
                <w:rFonts w:ascii="Calibri" w:eastAsia="Times New Roman" w:hAnsi="Calibri" w:cs="Times New Roman"/>
                <w:color w:val="000000"/>
                <w:sz w:val="18"/>
                <w:szCs w:val="18"/>
              </w:rPr>
              <w:t>%</w:t>
            </w:r>
          </w:p>
        </w:tc>
        <w:tc>
          <w:tcPr>
            <w:tcW w:w="1350" w:type="dxa"/>
            <w:tcBorders>
              <w:top w:val="single" w:sz="4" w:space="0" w:color="auto"/>
            </w:tcBorders>
            <w:noWrap/>
            <w:hideMark/>
          </w:tcPr>
          <w:p w:rsidR="00A97C01" w:rsidRPr="000A28AD" w:rsidRDefault="008C7C93" w:rsidP="00541E4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w:t>
            </w:r>
            <w:r w:rsidR="00A97C01" w:rsidRPr="000A28AD">
              <w:rPr>
                <w:rFonts w:ascii="Calibri" w:eastAsia="Times New Roman" w:hAnsi="Calibri" w:cs="Times New Roman"/>
                <w:color w:val="000000"/>
                <w:sz w:val="18"/>
                <w:szCs w:val="18"/>
              </w:rPr>
              <w:t>%</w:t>
            </w:r>
          </w:p>
        </w:tc>
        <w:tc>
          <w:tcPr>
            <w:tcW w:w="1445" w:type="dxa"/>
            <w:tcBorders>
              <w:top w:val="single" w:sz="4" w:space="0" w:color="auto"/>
            </w:tcBorders>
            <w:noWrap/>
            <w:hideMark/>
          </w:tcPr>
          <w:p w:rsidR="00A97C01" w:rsidRPr="000A28AD" w:rsidRDefault="008C7C93" w:rsidP="00541E4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A97C01" w:rsidRPr="000A28AD">
              <w:rPr>
                <w:rFonts w:ascii="Calibri" w:eastAsia="Times New Roman" w:hAnsi="Calibri" w:cs="Times New Roman"/>
                <w:color w:val="000000"/>
                <w:sz w:val="18"/>
                <w:szCs w:val="18"/>
              </w:rPr>
              <w:t>%</w:t>
            </w:r>
          </w:p>
        </w:tc>
      </w:tr>
      <w:tr w:rsidR="00E647F4" w:rsidRPr="00C2294E" w:rsidTr="000A28AD">
        <w:trPr>
          <w:trHeight w:val="144"/>
          <w:jc w:val="center"/>
        </w:trPr>
        <w:tc>
          <w:tcPr>
            <w:tcW w:w="2885" w:type="dxa"/>
            <w:noWrap/>
            <w:hideMark/>
          </w:tcPr>
          <w:p w:rsidR="00A97C01" w:rsidRPr="000A28AD" w:rsidRDefault="00A97C01" w:rsidP="00541E4C">
            <w:pP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Benefits per worker</w:t>
            </w:r>
          </w:p>
        </w:tc>
        <w:tc>
          <w:tcPr>
            <w:tcW w:w="902" w:type="dxa"/>
            <w:noWrap/>
            <w:hideMark/>
          </w:tcPr>
          <w:p w:rsidR="00A97C01" w:rsidRPr="000A28AD" w:rsidRDefault="008C7C93" w:rsidP="00541E4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r w:rsidR="00A97C01" w:rsidRPr="000A28AD">
              <w:rPr>
                <w:rFonts w:ascii="Calibri" w:eastAsia="Times New Roman" w:hAnsi="Calibri" w:cs="Times New Roman"/>
                <w:color w:val="000000"/>
                <w:sz w:val="18"/>
                <w:szCs w:val="18"/>
              </w:rPr>
              <w:t>%</w:t>
            </w:r>
          </w:p>
        </w:tc>
        <w:tc>
          <w:tcPr>
            <w:tcW w:w="1334" w:type="dxa"/>
            <w:noWrap/>
            <w:hideMark/>
          </w:tcPr>
          <w:p w:rsidR="00A97C01" w:rsidRPr="000A28AD" w:rsidRDefault="008C7C93" w:rsidP="00541E4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40</w:t>
            </w:r>
            <w:r w:rsidR="00A97C01" w:rsidRPr="000A28AD">
              <w:rPr>
                <w:rFonts w:ascii="Calibri" w:eastAsia="Times New Roman" w:hAnsi="Calibri" w:cs="Times New Roman"/>
                <w:color w:val="000000"/>
                <w:sz w:val="18"/>
                <w:szCs w:val="18"/>
              </w:rPr>
              <w:t>%</w:t>
            </w:r>
          </w:p>
        </w:tc>
        <w:tc>
          <w:tcPr>
            <w:tcW w:w="1440" w:type="dxa"/>
            <w:noWrap/>
            <w:hideMark/>
          </w:tcPr>
          <w:p w:rsidR="00A97C01" w:rsidRPr="000A28AD" w:rsidRDefault="008C7C93" w:rsidP="00541E4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19</w:t>
            </w:r>
            <w:r w:rsidR="00A97C01" w:rsidRPr="000A28AD">
              <w:rPr>
                <w:rFonts w:ascii="Calibri" w:eastAsia="Times New Roman" w:hAnsi="Calibri" w:cs="Times New Roman"/>
                <w:color w:val="000000"/>
                <w:sz w:val="18"/>
                <w:szCs w:val="18"/>
              </w:rPr>
              <w:t>%</w:t>
            </w:r>
          </w:p>
        </w:tc>
        <w:tc>
          <w:tcPr>
            <w:tcW w:w="1170" w:type="dxa"/>
            <w:noWrap/>
            <w:hideMark/>
          </w:tcPr>
          <w:p w:rsidR="00A97C01" w:rsidRPr="000A28AD" w:rsidRDefault="008C7C93" w:rsidP="00541E4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26</w:t>
            </w:r>
            <w:r w:rsidR="00A97C01" w:rsidRPr="000A28AD">
              <w:rPr>
                <w:rFonts w:ascii="Calibri" w:eastAsia="Times New Roman" w:hAnsi="Calibri" w:cs="Times New Roman"/>
                <w:color w:val="000000"/>
                <w:sz w:val="18"/>
                <w:szCs w:val="18"/>
              </w:rPr>
              <w:t>%</w:t>
            </w:r>
          </w:p>
        </w:tc>
        <w:tc>
          <w:tcPr>
            <w:tcW w:w="1350" w:type="dxa"/>
            <w:noWrap/>
            <w:hideMark/>
          </w:tcPr>
          <w:p w:rsidR="00A97C01" w:rsidRPr="000A28AD" w:rsidRDefault="0089194E" w:rsidP="00541E4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r w:rsidR="00A97C01" w:rsidRPr="000A28AD">
              <w:rPr>
                <w:rFonts w:ascii="Calibri" w:eastAsia="Times New Roman" w:hAnsi="Calibri" w:cs="Times New Roman"/>
                <w:color w:val="000000"/>
                <w:sz w:val="18"/>
                <w:szCs w:val="18"/>
              </w:rPr>
              <w:t>%</w:t>
            </w:r>
          </w:p>
        </w:tc>
        <w:tc>
          <w:tcPr>
            <w:tcW w:w="1445" w:type="dxa"/>
            <w:noWrap/>
            <w:hideMark/>
          </w:tcPr>
          <w:p w:rsidR="00A97C01" w:rsidRPr="000A28AD" w:rsidRDefault="008C7C93" w:rsidP="00541E4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r w:rsidR="00A97C01" w:rsidRPr="000A28AD">
              <w:rPr>
                <w:rFonts w:ascii="Calibri" w:eastAsia="Times New Roman" w:hAnsi="Calibri" w:cs="Times New Roman"/>
                <w:color w:val="000000"/>
                <w:sz w:val="18"/>
                <w:szCs w:val="18"/>
              </w:rPr>
              <w:t>%</w:t>
            </w:r>
          </w:p>
        </w:tc>
      </w:tr>
    </w:tbl>
    <w:p w:rsidR="00A97C01" w:rsidRDefault="00A97C01" w:rsidP="009B3DF5">
      <w:pPr>
        <w:spacing w:after="0" w:line="72" w:lineRule="auto"/>
      </w:pPr>
    </w:p>
    <w:tbl>
      <w:tblPr>
        <w:tblStyle w:val="PlainTable4"/>
        <w:tblW w:w="10540" w:type="dxa"/>
        <w:jc w:val="center"/>
        <w:tblBorders>
          <w:top w:val="single" w:sz="4" w:space="0" w:color="auto"/>
          <w:left w:val="single" w:sz="4" w:space="0" w:color="auto"/>
          <w:bottom w:val="single" w:sz="4" w:space="0" w:color="auto"/>
          <w:right w:val="single" w:sz="4" w:space="0" w:color="auto"/>
        </w:tblBorders>
        <w:tblLook w:val="0620" w:firstRow="1" w:lastRow="0" w:firstColumn="0" w:lastColumn="0" w:noHBand="1" w:noVBand="1"/>
        <w:tblCaption w:val="Economic outlook for the next year"/>
        <w:tblDescription w:val="Table showing that respondents expect improved or stable conditions for employment (57%), consumer spending (50%), inflation (54%), corporate profits (45%). Fifty-four percent of repondents expect increased inflation."/>
      </w:tblPr>
      <w:tblGrid>
        <w:gridCol w:w="3875"/>
        <w:gridCol w:w="1252"/>
        <w:gridCol w:w="1293"/>
        <w:gridCol w:w="1561"/>
        <w:gridCol w:w="1204"/>
        <w:gridCol w:w="1355"/>
      </w:tblGrid>
      <w:tr w:rsidR="001D0139" w:rsidRPr="00623BC4" w:rsidTr="003C059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75" w:type="dxa"/>
            <w:tcBorders>
              <w:top w:val="single" w:sz="4" w:space="0" w:color="auto"/>
              <w:bottom w:val="single" w:sz="4" w:space="0" w:color="auto"/>
            </w:tcBorders>
            <w:shd w:val="clear" w:color="auto" w:fill="BDD6EE" w:themeFill="accent1" w:themeFillTint="66"/>
            <w:noWrap/>
            <w:hideMark/>
          </w:tcPr>
          <w:p w:rsidR="00A97C01" w:rsidRPr="000A28AD" w:rsidRDefault="00531B2D" w:rsidP="00541E4C">
            <w:pP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Expected</w:t>
            </w:r>
            <w:r w:rsidR="00BE474F" w:rsidRPr="000A28AD">
              <w:rPr>
                <w:rFonts w:ascii="Calibri" w:eastAsia="Times New Roman" w:hAnsi="Calibri" w:cs="Times New Roman"/>
                <w:color w:val="000000"/>
                <w:sz w:val="18"/>
                <w:szCs w:val="18"/>
              </w:rPr>
              <w:t xml:space="preserve"> outlook on the following state economic indicators during the next year: </w:t>
            </w:r>
          </w:p>
        </w:tc>
        <w:tc>
          <w:tcPr>
            <w:tcW w:w="1252"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Up</w:t>
            </w:r>
          </w:p>
        </w:tc>
        <w:tc>
          <w:tcPr>
            <w:tcW w:w="1293"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Same</w:t>
            </w:r>
          </w:p>
        </w:tc>
        <w:tc>
          <w:tcPr>
            <w:tcW w:w="1561" w:type="dxa"/>
            <w:tcBorders>
              <w:top w:val="single" w:sz="4" w:space="0" w:color="auto"/>
              <w:bottom w:val="single" w:sz="4" w:space="0" w:color="auto"/>
            </w:tcBorders>
            <w:shd w:val="clear" w:color="auto" w:fill="BDD6EE" w:themeFill="accent1" w:themeFillTint="66"/>
            <w:noWrap/>
            <w:hideMark/>
          </w:tcPr>
          <w:p w:rsidR="00A97C01" w:rsidRPr="000A28AD" w:rsidRDefault="00A97C01" w:rsidP="00541E4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Down</w:t>
            </w:r>
          </w:p>
        </w:tc>
        <w:tc>
          <w:tcPr>
            <w:tcW w:w="1204" w:type="dxa"/>
            <w:tcBorders>
              <w:top w:val="single" w:sz="4" w:space="0" w:color="auto"/>
              <w:bottom w:val="single" w:sz="4" w:space="0" w:color="auto"/>
            </w:tcBorders>
            <w:shd w:val="clear" w:color="auto" w:fill="BDD6EE" w:themeFill="accent1" w:themeFillTint="66"/>
            <w:noWrap/>
            <w:hideMark/>
          </w:tcPr>
          <w:p w:rsidR="00A97C01" w:rsidRPr="000A28AD" w:rsidRDefault="008C7C93" w:rsidP="00541E4C">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Diffusion Index 2019</w:t>
            </w:r>
            <w:r w:rsidR="00AE0EFF" w:rsidRPr="000A28AD">
              <w:rPr>
                <w:rFonts w:ascii="Calibri" w:eastAsia="Times New Roman" w:hAnsi="Calibri" w:cs="Times New Roman"/>
                <w:color w:val="000000"/>
                <w:sz w:val="18"/>
                <w:szCs w:val="18"/>
                <w:vertAlign w:val="superscript"/>
              </w:rPr>
              <w:t>(2)</w:t>
            </w:r>
          </w:p>
        </w:tc>
        <w:tc>
          <w:tcPr>
            <w:tcW w:w="1355" w:type="dxa"/>
            <w:tcBorders>
              <w:top w:val="single" w:sz="4" w:space="0" w:color="auto"/>
              <w:bottom w:val="single" w:sz="4" w:space="0" w:color="auto"/>
            </w:tcBorders>
            <w:shd w:val="clear" w:color="auto" w:fill="BDD6EE" w:themeFill="accent1" w:themeFillTint="66"/>
            <w:noWrap/>
            <w:hideMark/>
          </w:tcPr>
          <w:p w:rsidR="00A97C01" w:rsidRPr="000A28AD" w:rsidRDefault="00AE0EFF" w:rsidP="00541E4C">
            <w:pPr>
              <w:jc w:val="center"/>
              <w:rPr>
                <w:rFonts w:ascii="Calibri" w:eastAsia="Times New Roman" w:hAnsi="Calibri" w:cs="Times New Roman"/>
                <w:color w:val="000000"/>
                <w:sz w:val="18"/>
                <w:szCs w:val="18"/>
              </w:rPr>
            </w:pPr>
            <w:r w:rsidRPr="000A28AD">
              <w:rPr>
                <w:rFonts w:ascii="Calibri" w:eastAsia="Times New Roman" w:hAnsi="Calibri" w:cs="Times New Roman"/>
                <w:color w:val="000000"/>
                <w:sz w:val="18"/>
                <w:szCs w:val="18"/>
              </w:rPr>
              <w:t xml:space="preserve">Diffusion </w:t>
            </w:r>
            <w:r w:rsidR="008C7C93">
              <w:rPr>
                <w:rFonts w:ascii="Calibri" w:eastAsia="Times New Roman" w:hAnsi="Calibri" w:cs="Times New Roman"/>
                <w:color w:val="000000"/>
                <w:sz w:val="18"/>
                <w:szCs w:val="18"/>
              </w:rPr>
              <w:t>Index 2018</w:t>
            </w:r>
            <w:r w:rsidRPr="000A28AD">
              <w:rPr>
                <w:rFonts w:ascii="Calibri" w:eastAsia="Times New Roman" w:hAnsi="Calibri" w:cs="Times New Roman"/>
                <w:color w:val="000000"/>
                <w:sz w:val="18"/>
                <w:szCs w:val="18"/>
                <w:vertAlign w:val="superscript"/>
              </w:rPr>
              <w:t>(2)</w:t>
            </w:r>
          </w:p>
        </w:tc>
      </w:tr>
      <w:tr w:rsidR="001D0139" w:rsidRPr="00623BC4" w:rsidTr="003C059D">
        <w:trPr>
          <w:trHeight w:val="144"/>
          <w:jc w:val="center"/>
        </w:trPr>
        <w:tc>
          <w:tcPr>
            <w:tcW w:w="3875" w:type="dxa"/>
            <w:tcBorders>
              <w:top w:val="single" w:sz="4" w:space="0" w:color="auto"/>
            </w:tcBorders>
            <w:noWrap/>
            <w:hideMark/>
          </w:tcPr>
          <w:p w:rsidR="00A97C01" w:rsidRPr="000A28AD" w:rsidRDefault="00174C4B" w:rsidP="00541E4C">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Employment</w:t>
            </w:r>
          </w:p>
        </w:tc>
        <w:tc>
          <w:tcPr>
            <w:tcW w:w="1252" w:type="dxa"/>
            <w:tcBorders>
              <w:top w:val="single" w:sz="4" w:space="0" w:color="auto"/>
            </w:tcBorders>
            <w:noWrap/>
            <w:hideMark/>
          </w:tcPr>
          <w:p w:rsidR="00A97C01" w:rsidRPr="000A28AD" w:rsidRDefault="008C7C93"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35</w:t>
            </w:r>
            <w:r w:rsidR="00A97C01" w:rsidRPr="000A28AD">
              <w:rPr>
                <w:rFonts w:ascii="Calibri" w:eastAsia="Times New Roman" w:hAnsi="Calibri" w:cs="Times New Roman"/>
                <w:color w:val="000000"/>
                <w:sz w:val="18"/>
                <w:szCs w:val="18"/>
              </w:rPr>
              <w:t>%</w:t>
            </w:r>
          </w:p>
        </w:tc>
        <w:tc>
          <w:tcPr>
            <w:tcW w:w="1293" w:type="dxa"/>
            <w:tcBorders>
              <w:top w:val="single" w:sz="4" w:space="0" w:color="auto"/>
            </w:tcBorders>
            <w:noWrap/>
            <w:hideMark/>
          </w:tcPr>
          <w:p w:rsidR="00A97C01" w:rsidRPr="000A28AD" w:rsidRDefault="008C7C93"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57</w:t>
            </w:r>
            <w:r w:rsidR="00A97C01" w:rsidRPr="000A28AD">
              <w:rPr>
                <w:rFonts w:ascii="Calibri" w:eastAsia="Times New Roman" w:hAnsi="Calibri" w:cs="Times New Roman"/>
                <w:color w:val="000000"/>
                <w:sz w:val="18"/>
                <w:szCs w:val="18"/>
              </w:rPr>
              <w:t>%</w:t>
            </w:r>
          </w:p>
        </w:tc>
        <w:tc>
          <w:tcPr>
            <w:tcW w:w="1561" w:type="dxa"/>
            <w:tcBorders>
              <w:top w:val="single" w:sz="4" w:space="0" w:color="auto"/>
            </w:tcBorders>
            <w:noWrap/>
            <w:hideMark/>
          </w:tcPr>
          <w:p w:rsidR="00A97C01" w:rsidRPr="000A28AD" w:rsidRDefault="008C7C93"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9</w:t>
            </w:r>
            <w:r w:rsidR="00A97C01" w:rsidRPr="000A28AD">
              <w:rPr>
                <w:rFonts w:ascii="Calibri" w:eastAsia="Times New Roman" w:hAnsi="Calibri" w:cs="Times New Roman"/>
                <w:color w:val="000000"/>
                <w:sz w:val="18"/>
                <w:szCs w:val="18"/>
              </w:rPr>
              <w:t>%</w:t>
            </w:r>
          </w:p>
        </w:tc>
        <w:tc>
          <w:tcPr>
            <w:tcW w:w="1204" w:type="dxa"/>
            <w:tcBorders>
              <w:top w:val="single" w:sz="4" w:space="0" w:color="auto"/>
            </w:tcBorders>
            <w:noWrap/>
            <w:hideMark/>
          </w:tcPr>
          <w:p w:rsidR="00A97C01" w:rsidRPr="000A28AD" w:rsidRDefault="008C7C93"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63</w:t>
            </w:r>
          </w:p>
        </w:tc>
        <w:tc>
          <w:tcPr>
            <w:tcW w:w="1355" w:type="dxa"/>
            <w:tcBorders>
              <w:top w:val="single" w:sz="4" w:space="0" w:color="auto"/>
            </w:tcBorders>
            <w:noWrap/>
            <w:hideMark/>
          </w:tcPr>
          <w:p w:rsidR="00A97C01" w:rsidRPr="000A28AD" w:rsidRDefault="008C7C93"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64</w:t>
            </w:r>
          </w:p>
        </w:tc>
      </w:tr>
      <w:tr w:rsidR="00E647F4" w:rsidRPr="00623BC4" w:rsidTr="003C059D">
        <w:trPr>
          <w:trHeight w:val="144"/>
          <w:jc w:val="center"/>
        </w:trPr>
        <w:tc>
          <w:tcPr>
            <w:tcW w:w="3875" w:type="dxa"/>
            <w:noWrap/>
            <w:hideMark/>
          </w:tcPr>
          <w:p w:rsidR="00A97C01" w:rsidRPr="000A28AD" w:rsidRDefault="00174C4B" w:rsidP="00541E4C">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Consumer spending</w:t>
            </w:r>
          </w:p>
        </w:tc>
        <w:tc>
          <w:tcPr>
            <w:tcW w:w="1252" w:type="dxa"/>
            <w:noWrap/>
            <w:hideMark/>
          </w:tcPr>
          <w:p w:rsidR="00A97C01" w:rsidRPr="000A28AD" w:rsidRDefault="008C7C93"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31</w:t>
            </w:r>
            <w:r w:rsidR="00A97C01" w:rsidRPr="000A28AD">
              <w:rPr>
                <w:rFonts w:ascii="Calibri" w:eastAsia="Times New Roman" w:hAnsi="Calibri" w:cs="Times New Roman"/>
                <w:color w:val="000000"/>
                <w:sz w:val="18"/>
                <w:szCs w:val="18"/>
              </w:rPr>
              <w:t>%</w:t>
            </w:r>
          </w:p>
        </w:tc>
        <w:tc>
          <w:tcPr>
            <w:tcW w:w="1293" w:type="dxa"/>
            <w:noWrap/>
            <w:hideMark/>
          </w:tcPr>
          <w:p w:rsidR="00A97C01" w:rsidRPr="000A28AD" w:rsidRDefault="008C7C93"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50</w:t>
            </w:r>
            <w:r w:rsidR="00A97C01" w:rsidRPr="000A28AD">
              <w:rPr>
                <w:rFonts w:ascii="Calibri" w:eastAsia="Times New Roman" w:hAnsi="Calibri" w:cs="Times New Roman"/>
                <w:color w:val="000000"/>
                <w:sz w:val="18"/>
                <w:szCs w:val="18"/>
              </w:rPr>
              <w:t>%</w:t>
            </w:r>
          </w:p>
        </w:tc>
        <w:tc>
          <w:tcPr>
            <w:tcW w:w="1561" w:type="dxa"/>
            <w:noWrap/>
            <w:hideMark/>
          </w:tcPr>
          <w:p w:rsidR="00A97C01" w:rsidRPr="000A28AD" w:rsidRDefault="008C7C93"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89194E">
              <w:rPr>
                <w:rFonts w:ascii="Calibri" w:eastAsia="Times New Roman" w:hAnsi="Calibri" w:cs="Times New Roman"/>
                <w:color w:val="000000"/>
                <w:sz w:val="18"/>
                <w:szCs w:val="18"/>
              </w:rPr>
              <w:t>8</w:t>
            </w:r>
            <w:r w:rsidR="00A97C01" w:rsidRPr="000A28AD">
              <w:rPr>
                <w:rFonts w:ascii="Calibri" w:eastAsia="Times New Roman" w:hAnsi="Calibri" w:cs="Times New Roman"/>
                <w:color w:val="000000"/>
                <w:sz w:val="18"/>
                <w:szCs w:val="18"/>
              </w:rPr>
              <w:t>%</w:t>
            </w:r>
          </w:p>
        </w:tc>
        <w:tc>
          <w:tcPr>
            <w:tcW w:w="1204" w:type="dxa"/>
            <w:noWrap/>
            <w:hideMark/>
          </w:tcPr>
          <w:p w:rsidR="00A97C01" w:rsidRPr="000A28AD" w:rsidRDefault="008C7C93"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56</w:t>
            </w:r>
          </w:p>
        </w:tc>
        <w:tc>
          <w:tcPr>
            <w:tcW w:w="1355" w:type="dxa"/>
            <w:noWrap/>
            <w:hideMark/>
          </w:tcPr>
          <w:p w:rsidR="00A97C01" w:rsidRPr="000A28AD" w:rsidRDefault="008C7C93"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69</w:t>
            </w:r>
          </w:p>
        </w:tc>
      </w:tr>
      <w:tr w:rsidR="001D0139" w:rsidRPr="00623BC4" w:rsidTr="003C059D">
        <w:trPr>
          <w:trHeight w:val="144"/>
          <w:jc w:val="center"/>
        </w:trPr>
        <w:tc>
          <w:tcPr>
            <w:tcW w:w="3875" w:type="dxa"/>
            <w:noWrap/>
            <w:hideMark/>
          </w:tcPr>
          <w:p w:rsidR="00A97C01" w:rsidRPr="000A28AD" w:rsidRDefault="00174C4B" w:rsidP="00541E4C">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Inflation</w:t>
            </w:r>
          </w:p>
        </w:tc>
        <w:tc>
          <w:tcPr>
            <w:tcW w:w="1252" w:type="dxa"/>
            <w:noWrap/>
            <w:hideMark/>
          </w:tcPr>
          <w:p w:rsidR="00A97C01" w:rsidRPr="000A28AD" w:rsidRDefault="008C7C93"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44</w:t>
            </w:r>
            <w:r w:rsidR="00A97C01" w:rsidRPr="000A28AD">
              <w:rPr>
                <w:rFonts w:ascii="Calibri" w:eastAsia="Times New Roman" w:hAnsi="Calibri" w:cs="Times New Roman"/>
                <w:color w:val="000000"/>
                <w:sz w:val="18"/>
                <w:szCs w:val="18"/>
              </w:rPr>
              <w:t>%</w:t>
            </w:r>
          </w:p>
        </w:tc>
        <w:tc>
          <w:tcPr>
            <w:tcW w:w="1293" w:type="dxa"/>
            <w:noWrap/>
            <w:hideMark/>
          </w:tcPr>
          <w:p w:rsidR="00A97C01" w:rsidRPr="000A28AD" w:rsidRDefault="008C7C93"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54</w:t>
            </w:r>
            <w:r w:rsidR="00A97C01" w:rsidRPr="000A28AD">
              <w:rPr>
                <w:rFonts w:ascii="Calibri" w:eastAsia="Times New Roman" w:hAnsi="Calibri" w:cs="Times New Roman"/>
                <w:color w:val="000000"/>
                <w:sz w:val="18"/>
                <w:szCs w:val="18"/>
              </w:rPr>
              <w:t>%</w:t>
            </w:r>
          </w:p>
        </w:tc>
        <w:tc>
          <w:tcPr>
            <w:tcW w:w="1561" w:type="dxa"/>
            <w:noWrap/>
            <w:hideMark/>
          </w:tcPr>
          <w:p w:rsidR="00A97C01" w:rsidRPr="000A28AD" w:rsidRDefault="0089194E"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A97C01" w:rsidRPr="000A28AD">
              <w:rPr>
                <w:rFonts w:ascii="Calibri" w:eastAsia="Times New Roman" w:hAnsi="Calibri" w:cs="Times New Roman"/>
                <w:color w:val="000000"/>
                <w:sz w:val="18"/>
                <w:szCs w:val="18"/>
              </w:rPr>
              <w:t>%</w:t>
            </w:r>
          </w:p>
        </w:tc>
        <w:tc>
          <w:tcPr>
            <w:tcW w:w="1204" w:type="dxa"/>
            <w:noWrap/>
            <w:hideMark/>
          </w:tcPr>
          <w:p w:rsidR="00A97C01" w:rsidRPr="000A28AD" w:rsidRDefault="006B0B3E"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71</w:t>
            </w:r>
          </w:p>
        </w:tc>
        <w:tc>
          <w:tcPr>
            <w:tcW w:w="1355" w:type="dxa"/>
            <w:noWrap/>
            <w:hideMark/>
          </w:tcPr>
          <w:p w:rsidR="00A97C01" w:rsidRPr="000A28AD" w:rsidRDefault="006B0B3E"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80</w:t>
            </w:r>
          </w:p>
        </w:tc>
      </w:tr>
      <w:tr w:rsidR="00E647F4" w:rsidRPr="00623BC4" w:rsidTr="003C059D">
        <w:trPr>
          <w:trHeight w:val="144"/>
          <w:jc w:val="center"/>
        </w:trPr>
        <w:tc>
          <w:tcPr>
            <w:tcW w:w="3875" w:type="dxa"/>
            <w:noWrap/>
            <w:hideMark/>
          </w:tcPr>
          <w:p w:rsidR="00A97C01" w:rsidRPr="000A28AD" w:rsidRDefault="00174C4B" w:rsidP="00541E4C">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Corporate profits</w:t>
            </w:r>
          </w:p>
        </w:tc>
        <w:tc>
          <w:tcPr>
            <w:tcW w:w="1252" w:type="dxa"/>
            <w:noWrap/>
            <w:hideMark/>
          </w:tcPr>
          <w:p w:rsidR="00A97C01" w:rsidRPr="000A28AD" w:rsidRDefault="006B0B3E"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38</w:t>
            </w:r>
            <w:r w:rsidR="00A97C01" w:rsidRPr="000A28AD">
              <w:rPr>
                <w:rFonts w:ascii="Calibri" w:eastAsia="Times New Roman" w:hAnsi="Calibri" w:cs="Times New Roman"/>
                <w:color w:val="000000"/>
                <w:sz w:val="18"/>
                <w:szCs w:val="18"/>
              </w:rPr>
              <w:t>%</w:t>
            </w:r>
          </w:p>
        </w:tc>
        <w:tc>
          <w:tcPr>
            <w:tcW w:w="1293" w:type="dxa"/>
            <w:noWrap/>
            <w:hideMark/>
          </w:tcPr>
          <w:p w:rsidR="00A97C01" w:rsidRPr="000A28AD" w:rsidRDefault="006B0B3E"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45</w:t>
            </w:r>
            <w:r w:rsidR="00A97C01" w:rsidRPr="000A28AD">
              <w:rPr>
                <w:rFonts w:ascii="Calibri" w:eastAsia="Times New Roman" w:hAnsi="Calibri" w:cs="Times New Roman"/>
                <w:color w:val="000000"/>
                <w:sz w:val="18"/>
                <w:szCs w:val="18"/>
              </w:rPr>
              <w:t>%</w:t>
            </w:r>
          </w:p>
        </w:tc>
        <w:tc>
          <w:tcPr>
            <w:tcW w:w="1561" w:type="dxa"/>
            <w:noWrap/>
            <w:hideMark/>
          </w:tcPr>
          <w:p w:rsidR="00A97C01" w:rsidRPr="000A28AD" w:rsidRDefault="006B0B3E"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18</w:t>
            </w:r>
            <w:r w:rsidR="00A97C01" w:rsidRPr="000A28AD">
              <w:rPr>
                <w:rFonts w:ascii="Calibri" w:eastAsia="Times New Roman" w:hAnsi="Calibri" w:cs="Times New Roman"/>
                <w:color w:val="000000"/>
                <w:sz w:val="18"/>
                <w:szCs w:val="18"/>
              </w:rPr>
              <w:t>%</w:t>
            </w:r>
          </w:p>
        </w:tc>
        <w:tc>
          <w:tcPr>
            <w:tcW w:w="1204" w:type="dxa"/>
            <w:noWrap/>
            <w:hideMark/>
          </w:tcPr>
          <w:p w:rsidR="00A97C01" w:rsidRPr="000A28AD" w:rsidRDefault="006B0B3E"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60</w:t>
            </w:r>
          </w:p>
        </w:tc>
        <w:tc>
          <w:tcPr>
            <w:tcW w:w="1355" w:type="dxa"/>
            <w:noWrap/>
            <w:hideMark/>
          </w:tcPr>
          <w:p w:rsidR="00A97C01" w:rsidRPr="000A28AD" w:rsidRDefault="006B0B3E"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69</w:t>
            </w:r>
          </w:p>
        </w:tc>
      </w:tr>
      <w:tr w:rsidR="001D0139" w:rsidRPr="00623BC4" w:rsidTr="003C059D">
        <w:trPr>
          <w:trHeight w:val="144"/>
          <w:jc w:val="center"/>
        </w:trPr>
        <w:tc>
          <w:tcPr>
            <w:tcW w:w="3875" w:type="dxa"/>
            <w:noWrap/>
            <w:hideMark/>
          </w:tcPr>
          <w:p w:rsidR="00A97C01" w:rsidRPr="000A28AD" w:rsidRDefault="00174C4B" w:rsidP="00541E4C">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Mergers and Acquisitions</w:t>
            </w:r>
          </w:p>
        </w:tc>
        <w:tc>
          <w:tcPr>
            <w:tcW w:w="1252" w:type="dxa"/>
            <w:noWrap/>
            <w:hideMark/>
          </w:tcPr>
          <w:p w:rsidR="00A97C01" w:rsidRPr="000A28AD" w:rsidRDefault="006B0B3E"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37</w:t>
            </w:r>
            <w:r w:rsidR="00A97C01" w:rsidRPr="000A28AD">
              <w:rPr>
                <w:rFonts w:ascii="Calibri" w:eastAsia="Times New Roman" w:hAnsi="Calibri" w:cs="Times New Roman"/>
                <w:color w:val="000000"/>
                <w:sz w:val="18"/>
                <w:szCs w:val="18"/>
              </w:rPr>
              <w:t>%</w:t>
            </w:r>
          </w:p>
        </w:tc>
        <w:tc>
          <w:tcPr>
            <w:tcW w:w="1293" w:type="dxa"/>
            <w:noWrap/>
            <w:hideMark/>
          </w:tcPr>
          <w:p w:rsidR="00A97C01" w:rsidRPr="000A28AD" w:rsidRDefault="006B0B3E"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60</w:t>
            </w:r>
            <w:r w:rsidR="00A97C01" w:rsidRPr="000A28AD">
              <w:rPr>
                <w:rFonts w:ascii="Calibri" w:eastAsia="Times New Roman" w:hAnsi="Calibri" w:cs="Times New Roman"/>
                <w:color w:val="000000"/>
                <w:sz w:val="18"/>
                <w:szCs w:val="18"/>
              </w:rPr>
              <w:t>%</w:t>
            </w:r>
          </w:p>
        </w:tc>
        <w:tc>
          <w:tcPr>
            <w:tcW w:w="1561" w:type="dxa"/>
            <w:noWrap/>
            <w:hideMark/>
          </w:tcPr>
          <w:p w:rsidR="00A97C01" w:rsidRPr="000A28AD" w:rsidRDefault="0089194E"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r w:rsidR="00A97C01" w:rsidRPr="000A28AD">
              <w:rPr>
                <w:rFonts w:ascii="Calibri" w:eastAsia="Times New Roman" w:hAnsi="Calibri" w:cs="Times New Roman"/>
                <w:color w:val="000000"/>
                <w:sz w:val="18"/>
                <w:szCs w:val="18"/>
              </w:rPr>
              <w:t>%</w:t>
            </w:r>
          </w:p>
        </w:tc>
        <w:tc>
          <w:tcPr>
            <w:tcW w:w="1204" w:type="dxa"/>
            <w:noWrap/>
            <w:hideMark/>
          </w:tcPr>
          <w:p w:rsidR="00A97C01" w:rsidRPr="000A28AD" w:rsidRDefault="006B0B3E"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67</w:t>
            </w:r>
          </w:p>
        </w:tc>
        <w:tc>
          <w:tcPr>
            <w:tcW w:w="1355" w:type="dxa"/>
            <w:noWrap/>
            <w:hideMark/>
          </w:tcPr>
          <w:p w:rsidR="00A97C01" w:rsidRPr="000A28AD" w:rsidRDefault="006B0B3E" w:rsidP="00E647F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71</w:t>
            </w:r>
          </w:p>
        </w:tc>
      </w:tr>
    </w:tbl>
    <w:p w:rsidR="00C2607A" w:rsidRDefault="00C2607A" w:rsidP="009B3DF5">
      <w:pPr>
        <w:spacing w:after="0" w:line="72" w:lineRule="auto"/>
      </w:pPr>
    </w:p>
    <w:tbl>
      <w:tblPr>
        <w:tblStyle w:val="PlainTable4"/>
        <w:tblW w:w="10530" w:type="dxa"/>
        <w:jc w:val="center"/>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Caption w:val="Changes in credit conditions"/>
        <w:tblDescription w:val="Table showing that 81% of respondents did not experience changes in credit conditions."/>
      </w:tblPr>
      <w:tblGrid>
        <w:gridCol w:w="3775"/>
        <w:gridCol w:w="1440"/>
        <w:gridCol w:w="1350"/>
        <w:gridCol w:w="1260"/>
        <w:gridCol w:w="1350"/>
        <w:gridCol w:w="1355"/>
      </w:tblGrid>
      <w:tr w:rsidR="00C2607A" w:rsidRPr="000A28AD" w:rsidTr="005E4C28">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bottom w:val="single" w:sz="4" w:space="0" w:color="auto"/>
            </w:tcBorders>
            <w:shd w:val="clear" w:color="auto" w:fill="BDD6EE" w:themeFill="accent1" w:themeFillTint="66"/>
            <w:noWrap/>
            <w:hideMark/>
          </w:tcPr>
          <w:p w:rsidR="00C2607A" w:rsidRPr="000A28AD" w:rsidRDefault="00C2607A" w:rsidP="005E4C2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Have changes in credit conditions in the last</w:t>
            </w:r>
            <w:r>
              <w:rPr>
                <w:rFonts w:ascii="Calibri" w:eastAsia="Times New Roman" w:hAnsi="Calibri" w:cs="Times New Roman"/>
                <w:color w:val="000000"/>
                <w:sz w:val="18"/>
                <w:szCs w:val="18"/>
              </w:rPr>
              <w:br/>
              <w:t>4 quarters affected your firm?</w:t>
            </w:r>
            <w:r w:rsidRPr="000A28AD">
              <w:rPr>
                <w:rFonts w:ascii="Calibri" w:eastAsia="Times New Roman" w:hAnsi="Calibri" w:cs="Times New Roman"/>
                <w:color w:val="000000"/>
                <w:sz w:val="18"/>
                <w:szCs w:val="18"/>
              </w:rPr>
              <w:t>:</w:t>
            </w:r>
          </w:p>
        </w:tc>
        <w:tc>
          <w:tcPr>
            <w:tcW w:w="1440" w:type="dxa"/>
            <w:tcBorders>
              <w:top w:val="single" w:sz="4" w:space="0" w:color="auto"/>
              <w:bottom w:val="single" w:sz="4" w:space="0" w:color="auto"/>
            </w:tcBorders>
            <w:shd w:val="clear" w:color="auto" w:fill="BDD6EE" w:themeFill="accent1" w:themeFillTint="66"/>
            <w:noWrap/>
            <w:hideMark/>
          </w:tcPr>
          <w:p w:rsidR="00C2607A" w:rsidRPr="000A28AD" w:rsidRDefault="002E4C76" w:rsidP="002E4C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br/>
              <w:t xml:space="preserve">No </w:t>
            </w:r>
            <w:r>
              <w:rPr>
                <w:rFonts w:ascii="Calibri" w:eastAsia="Times New Roman" w:hAnsi="Calibri" w:cs="Times New Roman"/>
                <w:color w:val="000000"/>
                <w:sz w:val="18"/>
                <w:szCs w:val="18"/>
              </w:rPr>
              <w:br/>
              <w:t>Changes</w:t>
            </w:r>
          </w:p>
        </w:tc>
        <w:tc>
          <w:tcPr>
            <w:tcW w:w="1350" w:type="dxa"/>
            <w:tcBorders>
              <w:top w:val="single" w:sz="4" w:space="0" w:color="auto"/>
              <w:bottom w:val="single" w:sz="4" w:space="0" w:color="auto"/>
            </w:tcBorders>
            <w:shd w:val="clear" w:color="auto" w:fill="BDD6EE" w:themeFill="accent1" w:themeFillTint="66"/>
            <w:noWrap/>
            <w:hideMark/>
          </w:tcPr>
          <w:p w:rsidR="00C2607A" w:rsidRPr="000A28AD" w:rsidRDefault="002E4C76" w:rsidP="002E4C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br/>
              <w:t>Increased Hiring</w:t>
            </w:r>
          </w:p>
        </w:tc>
        <w:tc>
          <w:tcPr>
            <w:tcW w:w="1260" w:type="dxa"/>
            <w:tcBorders>
              <w:top w:val="single" w:sz="4" w:space="0" w:color="auto"/>
              <w:bottom w:val="single" w:sz="4" w:space="0" w:color="auto"/>
            </w:tcBorders>
            <w:shd w:val="clear" w:color="auto" w:fill="BDD6EE" w:themeFill="accent1" w:themeFillTint="66"/>
            <w:noWrap/>
            <w:hideMark/>
          </w:tcPr>
          <w:p w:rsidR="00C2607A" w:rsidRDefault="00C2607A" w:rsidP="005E4C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Increased</w:t>
            </w:r>
          </w:p>
          <w:p w:rsidR="00C2607A" w:rsidRPr="000A28AD" w:rsidRDefault="00C2607A" w:rsidP="005E4C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Cap</w:t>
            </w:r>
            <w:r w:rsidR="002E4C76">
              <w:rPr>
                <w:rFonts w:ascii="Calibri" w:eastAsia="Times New Roman" w:hAnsi="Calibri" w:cs="Times New Roman"/>
                <w:color w:val="000000"/>
                <w:sz w:val="18"/>
                <w:szCs w:val="18"/>
              </w:rPr>
              <w:t>ital</w:t>
            </w:r>
            <w:r>
              <w:rPr>
                <w:rFonts w:ascii="Calibri" w:eastAsia="Times New Roman" w:hAnsi="Calibri" w:cs="Times New Roman"/>
                <w:color w:val="000000"/>
                <w:sz w:val="18"/>
                <w:szCs w:val="18"/>
              </w:rPr>
              <w:t xml:space="preserve"> Expend</w:t>
            </w:r>
            <w:r w:rsidR="002E4C76">
              <w:rPr>
                <w:rFonts w:ascii="Calibri" w:eastAsia="Times New Roman" w:hAnsi="Calibri" w:cs="Times New Roman"/>
                <w:color w:val="000000"/>
                <w:sz w:val="18"/>
                <w:szCs w:val="18"/>
              </w:rPr>
              <w:t>itures</w:t>
            </w:r>
          </w:p>
        </w:tc>
        <w:tc>
          <w:tcPr>
            <w:tcW w:w="1350" w:type="dxa"/>
            <w:tcBorders>
              <w:top w:val="single" w:sz="4" w:space="0" w:color="auto"/>
              <w:bottom w:val="single" w:sz="4" w:space="0" w:color="auto"/>
            </w:tcBorders>
            <w:shd w:val="clear" w:color="auto" w:fill="BDD6EE" w:themeFill="accent1" w:themeFillTint="66"/>
            <w:noWrap/>
            <w:hideMark/>
          </w:tcPr>
          <w:p w:rsidR="00C2607A" w:rsidRPr="000A28AD" w:rsidRDefault="002E4C76" w:rsidP="005E4C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br/>
              <w:t>Decreased</w:t>
            </w:r>
            <w:r>
              <w:rPr>
                <w:rFonts w:ascii="Calibri" w:eastAsia="Times New Roman" w:hAnsi="Calibri" w:cs="Times New Roman"/>
                <w:color w:val="000000"/>
                <w:sz w:val="18"/>
                <w:szCs w:val="18"/>
              </w:rPr>
              <w:br/>
              <w:t>Hiring</w:t>
            </w:r>
          </w:p>
        </w:tc>
        <w:tc>
          <w:tcPr>
            <w:tcW w:w="1355" w:type="dxa"/>
            <w:tcBorders>
              <w:top w:val="single" w:sz="4" w:space="0" w:color="auto"/>
              <w:bottom w:val="single" w:sz="4" w:space="0" w:color="auto"/>
            </w:tcBorders>
            <w:shd w:val="clear" w:color="auto" w:fill="BDD6EE" w:themeFill="accent1" w:themeFillTint="66"/>
            <w:noWrap/>
            <w:hideMark/>
          </w:tcPr>
          <w:p w:rsidR="00C2607A" w:rsidRPr="000A28AD" w:rsidRDefault="00C2607A" w:rsidP="005E4C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Decreased </w:t>
            </w:r>
            <w:r>
              <w:rPr>
                <w:rFonts w:ascii="Calibri" w:eastAsia="Times New Roman" w:hAnsi="Calibri" w:cs="Times New Roman"/>
                <w:color w:val="000000"/>
                <w:sz w:val="18"/>
                <w:szCs w:val="18"/>
              </w:rPr>
              <w:br/>
              <w:t>Cap</w:t>
            </w:r>
            <w:r w:rsidR="002E4C76">
              <w:rPr>
                <w:rFonts w:ascii="Calibri" w:eastAsia="Times New Roman" w:hAnsi="Calibri" w:cs="Times New Roman"/>
                <w:color w:val="000000"/>
                <w:sz w:val="18"/>
                <w:szCs w:val="18"/>
              </w:rPr>
              <w:t>ital</w:t>
            </w:r>
            <w:r>
              <w:rPr>
                <w:rFonts w:ascii="Calibri" w:eastAsia="Times New Roman" w:hAnsi="Calibri" w:cs="Times New Roman"/>
                <w:color w:val="000000"/>
                <w:sz w:val="18"/>
                <w:szCs w:val="18"/>
              </w:rPr>
              <w:t xml:space="preserve"> Expend</w:t>
            </w:r>
            <w:r w:rsidR="002E4C76">
              <w:rPr>
                <w:rFonts w:ascii="Calibri" w:eastAsia="Times New Roman" w:hAnsi="Calibri" w:cs="Times New Roman"/>
                <w:color w:val="000000"/>
                <w:sz w:val="18"/>
                <w:szCs w:val="18"/>
              </w:rPr>
              <w:t>iture</w:t>
            </w:r>
          </w:p>
        </w:tc>
      </w:tr>
      <w:tr w:rsidR="00C2607A" w:rsidRPr="000A28AD" w:rsidTr="005E4C28">
        <w:trPr>
          <w:trHeight w:val="144"/>
          <w:jc w:val="center"/>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tcBorders>
            <w:noWrap/>
            <w:hideMark/>
          </w:tcPr>
          <w:p w:rsidR="00C2607A" w:rsidRPr="000A28AD" w:rsidRDefault="00C2607A" w:rsidP="005E4C28">
            <w:pPr>
              <w:rPr>
                <w:rFonts w:ascii="Calibri" w:eastAsia="Times New Roman" w:hAnsi="Calibri" w:cs="Times New Roman"/>
                <w:b w:val="0"/>
                <w:color w:val="000000"/>
                <w:sz w:val="18"/>
                <w:szCs w:val="18"/>
              </w:rPr>
            </w:pPr>
          </w:p>
        </w:tc>
        <w:tc>
          <w:tcPr>
            <w:tcW w:w="1440" w:type="dxa"/>
            <w:tcBorders>
              <w:top w:val="single" w:sz="4" w:space="0" w:color="auto"/>
            </w:tcBorders>
            <w:noWrap/>
            <w:hideMark/>
          </w:tcPr>
          <w:p w:rsidR="00C2607A" w:rsidRPr="000A28AD" w:rsidRDefault="007171B2" w:rsidP="005E4C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85</w:t>
            </w:r>
            <w:r w:rsidR="00C2607A" w:rsidRPr="000A28AD">
              <w:rPr>
                <w:rFonts w:ascii="Calibri" w:eastAsia="Times New Roman" w:hAnsi="Calibri" w:cs="Times New Roman"/>
                <w:color w:val="000000"/>
                <w:sz w:val="18"/>
                <w:szCs w:val="18"/>
              </w:rPr>
              <w:t>%</w:t>
            </w:r>
          </w:p>
        </w:tc>
        <w:tc>
          <w:tcPr>
            <w:tcW w:w="1350" w:type="dxa"/>
            <w:tcBorders>
              <w:top w:val="single" w:sz="4" w:space="0" w:color="auto"/>
            </w:tcBorders>
            <w:noWrap/>
            <w:hideMark/>
          </w:tcPr>
          <w:p w:rsidR="00C2607A" w:rsidRPr="000A28AD" w:rsidRDefault="007171B2" w:rsidP="005E4C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r w:rsidR="00C2607A" w:rsidRPr="000A28AD">
              <w:rPr>
                <w:rFonts w:ascii="Calibri" w:eastAsia="Times New Roman" w:hAnsi="Calibri" w:cs="Times New Roman"/>
                <w:color w:val="000000"/>
                <w:sz w:val="18"/>
                <w:szCs w:val="18"/>
              </w:rPr>
              <w:t>%</w:t>
            </w:r>
          </w:p>
        </w:tc>
        <w:tc>
          <w:tcPr>
            <w:tcW w:w="1260" w:type="dxa"/>
            <w:tcBorders>
              <w:top w:val="single" w:sz="4" w:space="0" w:color="auto"/>
            </w:tcBorders>
            <w:noWrap/>
            <w:hideMark/>
          </w:tcPr>
          <w:p w:rsidR="00C2607A" w:rsidRPr="000A28AD" w:rsidRDefault="007171B2" w:rsidP="005E4C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9</w:t>
            </w:r>
            <w:r w:rsidR="00C2607A" w:rsidRPr="000A28AD">
              <w:rPr>
                <w:rFonts w:ascii="Calibri" w:eastAsia="Times New Roman" w:hAnsi="Calibri" w:cs="Times New Roman"/>
                <w:color w:val="000000"/>
                <w:sz w:val="18"/>
                <w:szCs w:val="18"/>
              </w:rPr>
              <w:t>%</w:t>
            </w:r>
          </w:p>
        </w:tc>
        <w:tc>
          <w:tcPr>
            <w:tcW w:w="1350" w:type="dxa"/>
            <w:tcBorders>
              <w:top w:val="single" w:sz="4" w:space="0" w:color="auto"/>
            </w:tcBorders>
            <w:noWrap/>
            <w:hideMark/>
          </w:tcPr>
          <w:p w:rsidR="00C2607A" w:rsidRPr="000A28AD" w:rsidRDefault="006B0B3E" w:rsidP="005E4C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r w:rsidR="00C2607A">
              <w:rPr>
                <w:rFonts w:ascii="Calibri" w:eastAsia="Times New Roman" w:hAnsi="Calibri" w:cs="Times New Roman"/>
                <w:color w:val="000000"/>
                <w:sz w:val="18"/>
                <w:szCs w:val="18"/>
              </w:rPr>
              <w:t>%</w:t>
            </w:r>
          </w:p>
        </w:tc>
        <w:tc>
          <w:tcPr>
            <w:tcW w:w="1355" w:type="dxa"/>
            <w:tcBorders>
              <w:top w:val="single" w:sz="4" w:space="0" w:color="auto"/>
            </w:tcBorders>
            <w:noWrap/>
            <w:hideMark/>
          </w:tcPr>
          <w:p w:rsidR="00C2607A" w:rsidRPr="000A28AD" w:rsidRDefault="006B0B3E" w:rsidP="005E4C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r w:rsidR="00C2607A">
              <w:rPr>
                <w:rFonts w:ascii="Calibri" w:eastAsia="Times New Roman" w:hAnsi="Calibri" w:cs="Times New Roman"/>
                <w:color w:val="000000"/>
                <w:sz w:val="18"/>
                <w:szCs w:val="18"/>
              </w:rPr>
              <w:t>%</w:t>
            </w:r>
          </w:p>
        </w:tc>
      </w:tr>
    </w:tbl>
    <w:p w:rsidR="00D47417" w:rsidRDefault="00D47417" w:rsidP="009B3DF5">
      <w:pPr>
        <w:spacing w:after="0" w:line="72" w:lineRule="auto"/>
      </w:pPr>
      <w:r>
        <w:br/>
      </w:r>
    </w:p>
    <w:tbl>
      <w:tblPr>
        <w:tblStyle w:val="TableGrid"/>
        <w:tblW w:w="0" w:type="auto"/>
        <w:tblInd w:w="180" w:type="dxa"/>
        <w:tblLayout w:type="fixed"/>
        <w:tblLook w:val="04A0" w:firstRow="1" w:lastRow="0" w:firstColumn="1" w:lastColumn="0" w:noHBand="0" w:noVBand="1"/>
        <w:tblCaption w:val="Employee Retitement Replacement"/>
        <w:tblDescription w:val="Table displaying busniess choices about replacing retiring employees for the enxt two years. The choice with the highest share is &quot;Replace hem one-for-one&quot; with 40%, folowed by &quot;I don't know&quot; (16%), &quot;Not applicable, I work alone&quot; (14%), &quot;Less than one-for-one through higher technology&quot; (11%), &quot;More than one-for-one&quot; (8%), &quot;Not replace, eliminate positions&quot; (7%), &quot;Less than one-for-one through highet-technology&quot; (11%)."/>
      </w:tblPr>
      <w:tblGrid>
        <w:gridCol w:w="6475"/>
        <w:gridCol w:w="900"/>
      </w:tblGrid>
      <w:tr w:rsidR="003F33BB" w:rsidTr="00DD1D04">
        <w:trPr>
          <w:tblHeader/>
        </w:trPr>
        <w:tc>
          <w:tcPr>
            <w:tcW w:w="6475" w:type="dxa"/>
            <w:tcBorders>
              <w:right w:val="nil"/>
            </w:tcBorders>
            <w:shd w:val="clear" w:color="auto" w:fill="BDD6EE" w:themeFill="accent1" w:themeFillTint="66"/>
          </w:tcPr>
          <w:p w:rsidR="003F33BB" w:rsidRPr="00E66525" w:rsidRDefault="003F33BB" w:rsidP="003C059D">
            <w:pPr>
              <w:rPr>
                <w:b/>
                <w:sz w:val="18"/>
                <w:szCs w:val="18"/>
              </w:rPr>
            </w:pPr>
            <w:r w:rsidRPr="00E66525">
              <w:rPr>
                <w:b/>
                <w:sz w:val="18"/>
                <w:szCs w:val="18"/>
              </w:rPr>
              <w:t xml:space="preserve">Over the next two years as employees retire, how </w:t>
            </w:r>
            <w:r w:rsidR="00DD1D04">
              <w:rPr>
                <w:b/>
                <w:sz w:val="18"/>
                <w:szCs w:val="18"/>
              </w:rPr>
              <w:t xml:space="preserve">are you </w:t>
            </w:r>
            <w:r w:rsidRPr="00E66525">
              <w:rPr>
                <w:b/>
                <w:sz w:val="18"/>
                <w:szCs w:val="18"/>
              </w:rPr>
              <w:t>most likely to respond?</w:t>
            </w:r>
          </w:p>
        </w:tc>
        <w:tc>
          <w:tcPr>
            <w:tcW w:w="900" w:type="dxa"/>
            <w:tcBorders>
              <w:left w:val="nil"/>
            </w:tcBorders>
            <w:shd w:val="clear" w:color="auto" w:fill="BDD6EE" w:themeFill="accent1" w:themeFillTint="66"/>
          </w:tcPr>
          <w:p w:rsidR="003F33BB" w:rsidRPr="00E66525" w:rsidRDefault="00280798" w:rsidP="003C059D">
            <w:pPr>
              <w:rPr>
                <w:b/>
                <w:sz w:val="18"/>
                <w:szCs w:val="18"/>
              </w:rPr>
            </w:pPr>
            <w:r w:rsidRPr="00E66525">
              <w:rPr>
                <w:b/>
                <w:sz w:val="18"/>
                <w:szCs w:val="18"/>
              </w:rPr>
              <w:t xml:space="preserve">Percent </w:t>
            </w:r>
          </w:p>
        </w:tc>
      </w:tr>
      <w:tr w:rsidR="003F33BB" w:rsidTr="00DD1D04">
        <w:trPr>
          <w:tblHeader/>
        </w:trPr>
        <w:tc>
          <w:tcPr>
            <w:tcW w:w="6475" w:type="dxa"/>
            <w:tcBorders>
              <w:bottom w:val="nil"/>
              <w:right w:val="nil"/>
            </w:tcBorders>
          </w:tcPr>
          <w:p w:rsidR="003F33BB" w:rsidRDefault="000C04EE" w:rsidP="003C059D">
            <w:pPr>
              <w:rPr>
                <w:sz w:val="18"/>
                <w:szCs w:val="18"/>
              </w:rPr>
            </w:pPr>
            <w:r>
              <w:rPr>
                <w:sz w:val="18"/>
                <w:szCs w:val="18"/>
              </w:rPr>
              <w:t>Replace them one-for one</w:t>
            </w:r>
          </w:p>
        </w:tc>
        <w:tc>
          <w:tcPr>
            <w:tcW w:w="900" w:type="dxa"/>
            <w:tcBorders>
              <w:left w:val="nil"/>
              <w:bottom w:val="nil"/>
            </w:tcBorders>
          </w:tcPr>
          <w:p w:rsidR="003F33BB" w:rsidRDefault="007171B2" w:rsidP="000C04EE">
            <w:pPr>
              <w:jc w:val="right"/>
              <w:rPr>
                <w:sz w:val="18"/>
                <w:szCs w:val="18"/>
              </w:rPr>
            </w:pPr>
            <w:r>
              <w:rPr>
                <w:sz w:val="18"/>
                <w:szCs w:val="18"/>
              </w:rPr>
              <w:t>45</w:t>
            </w:r>
            <w:r w:rsidR="000C04EE">
              <w:rPr>
                <w:sz w:val="18"/>
                <w:szCs w:val="18"/>
              </w:rPr>
              <w:t>%</w:t>
            </w:r>
          </w:p>
        </w:tc>
      </w:tr>
      <w:tr w:rsidR="003F33BB" w:rsidTr="00DD1D04">
        <w:trPr>
          <w:tblHeader/>
        </w:trPr>
        <w:tc>
          <w:tcPr>
            <w:tcW w:w="6475" w:type="dxa"/>
            <w:tcBorders>
              <w:top w:val="nil"/>
              <w:bottom w:val="nil"/>
              <w:right w:val="nil"/>
            </w:tcBorders>
          </w:tcPr>
          <w:p w:rsidR="003F33BB" w:rsidRDefault="000C04EE" w:rsidP="003C059D">
            <w:pPr>
              <w:rPr>
                <w:sz w:val="18"/>
                <w:szCs w:val="18"/>
              </w:rPr>
            </w:pPr>
            <w:r>
              <w:rPr>
                <w:sz w:val="18"/>
                <w:szCs w:val="18"/>
              </w:rPr>
              <w:t>Less than one-for-one through higher technology</w:t>
            </w:r>
          </w:p>
        </w:tc>
        <w:tc>
          <w:tcPr>
            <w:tcW w:w="900" w:type="dxa"/>
            <w:tcBorders>
              <w:top w:val="nil"/>
              <w:left w:val="nil"/>
              <w:bottom w:val="nil"/>
            </w:tcBorders>
          </w:tcPr>
          <w:p w:rsidR="003F33BB" w:rsidRDefault="007171B2" w:rsidP="000C04EE">
            <w:pPr>
              <w:jc w:val="right"/>
              <w:rPr>
                <w:sz w:val="18"/>
                <w:szCs w:val="18"/>
              </w:rPr>
            </w:pPr>
            <w:r>
              <w:rPr>
                <w:sz w:val="18"/>
                <w:szCs w:val="18"/>
              </w:rPr>
              <w:t>13</w:t>
            </w:r>
            <w:r w:rsidR="000C04EE">
              <w:rPr>
                <w:sz w:val="18"/>
                <w:szCs w:val="18"/>
              </w:rPr>
              <w:t>%</w:t>
            </w:r>
          </w:p>
        </w:tc>
      </w:tr>
      <w:tr w:rsidR="003F33BB" w:rsidTr="00DD1D04">
        <w:trPr>
          <w:tblHeader/>
        </w:trPr>
        <w:tc>
          <w:tcPr>
            <w:tcW w:w="6475" w:type="dxa"/>
            <w:tcBorders>
              <w:top w:val="nil"/>
              <w:bottom w:val="nil"/>
              <w:right w:val="nil"/>
            </w:tcBorders>
          </w:tcPr>
          <w:p w:rsidR="003F33BB" w:rsidRDefault="000C04EE" w:rsidP="003C059D">
            <w:pPr>
              <w:rPr>
                <w:sz w:val="18"/>
                <w:szCs w:val="18"/>
              </w:rPr>
            </w:pPr>
            <w:r>
              <w:rPr>
                <w:sz w:val="18"/>
                <w:szCs w:val="18"/>
              </w:rPr>
              <w:t>Less than one-for-one through higher skilled workers</w:t>
            </w:r>
          </w:p>
        </w:tc>
        <w:tc>
          <w:tcPr>
            <w:tcW w:w="900" w:type="dxa"/>
            <w:tcBorders>
              <w:top w:val="nil"/>
              <w:left w:val="nil"/>
              <w:bottom w:val="nil"/>
            </w:tcBorders>
          </w:tcPr>
          <w:p w:rsidR="003F33BB" w:rsidRDefault="00752148" w:rsidP="000C04EE">
            <w:pPr>
              <w:jc w:val="right"/>
              <w:rPr>
                <w:sz w:val="18"/>
                <w:szCs w:val="18"/>
              </w:rPr>
            </w:pPr>
            <w:r>
              <w:rPr>
                <w:sz w:val="18"/>
                <w:szCs w:val="18"/>
              </w:rPr>
              <w:t>6</w:t>
            </w:r>
            <w:r w:rsidR="000C04EE">
              <w:rPr>
                <w:sz w:val="18"/>
                <w:szCs w:val="18"/>
              </w:rPr>
              <w:t>%</w:t>
            </w:r>
          </w:p>
        </w:tc>
      </w:tr>
      <w:tr w:rsidR="003F33BB" w:rsidTr="00DD1D04">
        <w:trPr>
          <w:tblHeader/>
        </w:trPr>
        <w:tc>
          <w:tcPr>
            <w:tcW w:w="6475" w:type="dxa"/>
            <w:tcBorders>
              <w:top w:val="nil"/>
              <w:bottom w:val="nil"/>
              <w:right w:val="nil"/>
            </w:tcBorders>
          </w:tcPr>
          <w:p w:rsidR="003F33BB" w:rsidRDefault="000C04EE" w:rsidP="003C059D">
            <w:pPr>
              <w:rPr>
                <w:sz w:val="18"/>
                <w:szCs w:val="18"/>
              </w:rPr>
            </w:pPr>
            <w:r>
              <w:rPr>
                <w:sz w:val="18"/>
                <w:szCs w:val="18"/>
              </w:rPr>
              <w:t>More than one-for one</w:t>
            </w:r>
          </w:p>
        </w:tc>
        <w:tc>
          <w:tcPr>
            <w:tcW w:w="900" w:type="dxa"/>
            <w:tcBorders>
              <w:top w:val="nil"/>
              <w:left w:val="nil"/>
              <w:bottom w:val="nil"/>
            </w:tcBorders>
          </w:tcPr>
          <w:p w:rsidR="003F33BB" w:rsidRDefault="007171B2" w:rsidP="000C04EE">
            <w:pPr>
              <w:jc w:val="right"/>
              <w:rPr>
                <w:sz w:val="18"/>
                <w:szCs w:val="18"/>
              </w:rPr>
            </w:pPr>
            <w:r>
              <w:rPr>
                <w:sz w:val="18"/>
                <w:szCs w:val="18"/>
              </w:rPr>
              <w:t>9</w:t>
            </w:r>
            <w:r w:rsidR="000C04EE">
              <w:rPr>
                <w:sz w:val="18"/>
                <w:szCs w:val="18"/>
              </w:rPr>
              <w:t>%</w:t>
            </w:r>
          </w:p>
        </w:tc>
      </w:tr>
      <w:tr w:rsidR="003F33BB" w:rsidTr="00DD1D04">
        <w:trPr>
          <w:tblHeader/>
        </w:trPr>
        <w:tc>
          <w:tcPr>
            <w:tcW w:w="6475" w:type="dxa"/>
            <w:tcBorders>
              <w:top w:val="nil"/>
              <w:bottom w:val="nil"/>
              <w:right w:val="nil"/>
            </w:tcBorders>
          </w:tcPr>
          <w:p w:rsidR="003F33BB" w:rsidRDefault="000C04EE" w:rsidP="003C059D">
            <w:pPr>
              <w:rPr>
                <w:sz w:val="18"/>
                <w:szCs w:val="18"/>
              </w:rPr>
            </w:pPr>
            <w:r>
              <w:rPr>
                <w:sz w:val="18"/>
                <w:szCs w:val="18"/>
              </w:rPr>
              <w:t>Not replace, eliminate positions</w:t>
            </w:r>
          </w:p>
        </w:tc>
        <w:tc>
          <w:tcPr>
            <w:tcW w:w="900" w:type="dxa"/>
            <w:tcBorders>
              <w:top w:val="nil"/>
              <w:left w:val="nil"/>
              <w:bottom w:val="nil"/>
            </w:tcBorders>
          </w:tcPr>
          <w:p w:rsidR="003F33BB" w:rsidRDefault="007171B2" w:rsidP="000C04EE">
            <w:pPr>
              <w:jc w:val="right"/>
              <w:rPr>
                <w:sz w:val="18"/>
                <w:szCs w:val="18"/>
              </w:rPr>
            </w:pPr>
            <w:r>
              <w:rPr>
                <w:sz w:val="18"/>
                <w:szCs w:val="18"/>
              </w:rPr>
              <w:t>8</w:t>
            </w:r>
            <w:r w:rsidR="000C04EE">
              <w:rPr>
                <w:sz w:val="18"/>
                <w:szCs w:val="18"/>
              </w:rPr>
              <w:t>%</w:t>
            </w:r>
          </w:p>
        </w:tc>
      </w:tr>
      <w:tr w:rsidR="003F33BB" w:rsidTr="00DD1D04">
        <w:trPr>
          <w:tblHeader/>
        </w:trPr>
        <w:tc>
          <w:tcPr>
            <w:tcW w:w="6475" w:type="dxa"/>
            <w:tcBorders>
              <w:top w:val="nil"/>
              <w:bottom w:val="nil"/>
              <w:right w:val="nil"/>
            </w:tcBorders>
          </w:tcPr>
          <w:p w:rsidR="003F33BB" w:rsidRDefault="000C04EE" w:rsidP="003C059D">
            <w:pPr>
              <w:rPr>
                <w:sz w:val="18"/>
                <w:szCs w:val="18"/>
              </w:rPr>
            </w:pPr>
            <w:r>
              <w:rPr>
                <w:sz w:val="18"/>
                <w:szCs w:val="18"/>
              </w:rPr>
              <w:t>Not applicable, I work alone</w:t>
            </w:r>
          </w:p>
        </w:tc>
        <w:tc>
          <w:tcPr>
            <w:tcW w:w="900" w:type="dxa"/>
            <w:tcBorders>
              <w:top w:val="nil"/>
              <w:left w:val="nil"/>
              <w:bottom w:val="nil"/>
            </w:tcBorders>
          </w:tcPr>
          <w:p w:rsidR="003F33BB" w:rsidRDefault="007171B2" w:rsidP="000C04EE">
            <w:pPr>
              <w:jc w:val="right"/>
              <w:rPr>
                <w:sz w:val="18"/>
                <w:szCs w:val="18"/>
              </w:rPr>
            </w:pPr>
            <w:r>
              <w:rPr>
                <w:sz w:val="18"/>
                <w:szCs w:val="18"/>
              </w:rPr>
              <w:t>16</w:t>
            </w:r>
            <w:r w:rsidR="000C04EE">
              <w:rPr>
                <w:sz w:val="18"/>
                <w:szCs w:val="18"/>
              </w:rPr>
              <w:t>%</w:t>
            </w:r>
          </w:p>
        </w:tc>
      </w:tr>
      <w:tr w:rsidR="00293720" w:rsidTr="00DD1D04">
        <w:trPr>
          <w:tblHeader/>
        </w:trPr>
        <w:tc>
          <w:tcPr>
            <w:tcW w:w="6475" w:type="dxa"/>
            <w:tcBorders>
              <w:top w:val="nil"/>
              <w:right w:val="nil"/>
            </w:tcBorders>
          </w:tcPr>
          <w:p w:rsidR="00293720" w:rsidRDefault="00293720" w:rsidP="003C059D">
            <w:pPr>
              <w:rPr>
                <w:sz w:val="18"/>
                <w:szCs w:val="18"/>
              </w:rPr>
            </w:pPr>
            <w:r>
              <w:rPr>
                <w:sz w:val="18"/>
                <w:szCs w:val="18"/>
              </w:rPr>
              <w:t>I don’t know</w:t>
            </w:r>
          </w:p>
        </w:tc>
        <w:tc>
          <w:tcPr>
            <w:tcW w:w="900" w:type="dxa"/>
            <w:tcBorders>
              <w:top w:val="nil"/>
              <w:left w:val="nil"/>
            </w:tcBorders>
          </w:tcPr>
          <w:p w:rsidR="00293720" w:rsidRDefault="007171B2" w:rsidP="000C04EE">
            <w:pPr>
              <w:jc w:val="right"/>
              <w:rPr>
                <w:sz w:val="18"/>
                <w:szCs w:val="18"/>
              </w:rPr>
            </w:pPr>
            <w:r>
              <w:rPr>
                <w:sz w:val="18"/>
                <w:szCs w:val="18"/>
              </w:rPr>
              <w:t>18</w:t>
            </w:r>
            <w:r w:rsidR="00293720">
              <w:rPr>
                <w:sz w:val="18"/>
                <w:szCs w:val="18"/>
              </w:rPr>
              <w:t>%</w:t>
            </w:r>
          </w:p>
        </w:tc>
      </w:tr>
    </w:tbl>
    <w:p w:rsidR="00C570D5" w:rsidRPr="000C04EE" w:rsidRDefault="003C059D" w:rsidP="003C059D">
      <w:pPr>
        <w:ind w:left="180"/>
        <w:rPr>
          <w:sz w:val="14"/>
          <w:szCs w:val="14"/>
        </w:rPr>
      </w:pPr>
      <w:r w:rsidRPr="000C04EE">
        <w:rPr>
          <w:sz w:val="14"/>
          <w:szCs w:val="14"/>
        </w:rPr>
        <w:t xml:space="preserve">(1) </w:t>
      </w:r>
      <w:r w:rsidR="007874B0">
        <w:rPr>
          <w:sz w:val="14"/>
          <w:szCs w:val="14"/>
        </w:rPr>
        <w:t>Based on responses from 241</w:t>
      </w:r>
      <w:r w:rsidR="00C80C65" w:rsidRPr="000C04EE">
        <w:rPr>
          <w:sz w:val="14"/>
          <w:szCs w:val="14"/>
        </w:rPr>
        <w:t xml:space="preserve"> Minnesota manufacturing busines</w:t>
      </w:r>
      <w:r w:rsidR="007874B0">
        <w:rPr>
          <w:sz w:val="14"/>
          <w:szCs w:val="14"/>
        </w:rPr>
        <w:t>ses, for a response rate of 24.1</w:t>
      </w:r>
      <w:r w:rsidR="00C80C65" w:rsidRPr="000C04EE">
        <w:rPr>
          <w:sz w:val="14"/>
          <w:szCs w:val="14"/>
        </w:rPr>
        <w:t xml:space="preserve"> percent. The sam</w:t>
      </w:r>
      <w:r w:rsidR="00B76C4D" w:rsidRPr="000C04EE">
        <w:rPr>
          <w:sz w:val="14"/>
          <w:szCs w:val="14"/>
        </w:rPr>
        <w:t>p</w:t>
      </w:r>
      <w:r w:rsidRPr="000C04EE">
        <w:rPr>
          <w:sz w:val="14"/>
          <w:szCs w:val="14"/>
        </w:rPr>
        <w:t>ling error is plus or minus 6.25</w:t>
      </w:r>
      <w:r w:rsidR="00C80C65" w:rsidRPr="000C04EE">
        <w:rPr>
          <w:sz w:val="14"/>
          <w:szCs w:val="14"/>
        </w:rPr>
        <w:t xml:space="preserve"> percent </w:t>
      </w:r>
      <w:r w:rsidR="00D33609" w:rsidRPr="000C04EE">
        <w:rPr>
          <w:sz w:val="14"/>
          <w:szCs w:val="14"/>
        </w:rPr>
        <w:t>at</w:t>
      </w:r>
      <w:r w:rsidRPr="000C04EE">
        <w:rPr>
          <w:sz w:val="14"/>
          <w:szCs w:val="14"/>
        </w:rPr>
        <w:t xml:space="preserve"> a 95 percent confidence level. </w:t>
      </w:r>
      <w:r w:rsidR="002A39E0" w:rsidRPr="000C04EE">
        <w:rPr>
          <w:sz w:val="14"/>
          <w:szCs w:val="14"/>
        </w:rPr>
        <w:t>Percentages might not add to 100 percent due to rounding.</w:t>
      </w:r>
      <w:r w:rsidR="00293720">
        <w:rPr>
          <w:sz w:val="14"/>
          <w:szCs w:val="14"/>
        </w:rPr>
        <w:t xml:space="preserve"> </w:t>
      </w:r>
      <w:r w:rsidR="00293720">
        <w:rPr>
          <w:sz w:val="14"/>
          <w:szCs w:val="14"/>
        </w:rPr>
        <w:br/>
      </w:r>
      <w:r w:rsidRPr="000C04EE">
        <w:rPr>
          <w:sz w:val="14"/>
          <w:szCs w:val="14"/>
        </w:rPr>
        <w:t xml:space="preserve">(2) </w:t>
      </w:r>
      <w:r w:rsidR="00C80C65" w:rsidRPr="000C04EE">
        <w:rPr>
          <w:sz w:val="14"/>
          <w:szCs w:val="14"/>
        </w:rPr>
        <w:t>A diffusion index great</w:t>
      </w:r>
      <w:r w:rsidR="00B76C4D" w:rsidRPr="000C04EE">
        <w:rPr>
          <w:sz w:val="14"/>
          <w:szCs w:val="14"/>
        </w:rPr>
        <w:t>er</w:t>
      </w:r>
      <w:r w:rsidR="00C80C65" w:rsidRPr="000C04EE">
        <w:rPr>
          <w:sz w:val="14"/>
          <w:szCs w:val="14"/>
        </w:rPr>
        <w:t xml:space="preserve"> </w:t>
      </w:r>
      <w:r w:rsidR="00B76C4D" w:rsidRPr="000C04EE">
        <w:rPr>
          <w:sz w:val="14"/>
          <w:szCs w:val="14"/>
        </w:rPr>
        <w:t>than 50 indicates expansion, lower</w:t>
      </w:r>
      <w:r w:rsidR="00286A99" w:rsidRPr="000C04EE">
        <w:rPr>
          <w:sz w:val="14"/>
          <w:szCs w:val="14"/>
        </w:rPr>
        <w:t xml:space="preserve"> than 50 indicates contraction</w:t>
      </w:r>
      <w:r w:rsidR="00C570D5" w:rsidRPr="000C04EE">
        <w:rPr>
          <w:sz w:val="14"/>
          <w:szCs w:val="14"/>
        </w:rPr>
        <w:t>.</w:t>
      </w:r>
      <w:r w:rsidRPr="000C04EE">
        <w:rPr>
          <w:sz w:val="14"/>
          <w:szCs w:val="14"/>
        </w:rPr>
        <w:t xml:space="preserve"> </w:t>
      </w:r>
      <w:r w:rsidR="00EE6084" w:rsidRPr="000C04EE">
        <w:rPr>
          <w:sz w:val="14"/>
          <w:szCs w:val="14"/>
        </w:rPr>
        <w:br/>
      </w:r>
      <w:r w:rsidR="00627309" w:rsidRPr="000C04EE">
        <w:rPr>
          <w:sz w:val="14"/>
          <w:szCs w:val="14"/>
        </w:rPr>
        <w:t>Prepar</w:t>
      </w:r>
      <w:r w:rsidR="00B76C4D" w:rsidRPr="000C04EE">
        <w:rPr>
          <w:sz w:val="14"/>
          <w:szCs w:val="14"/>
        </w:rPr>
        <w:t>ed by the Policy Office</w:t>
      </w:r>
      <w:r w:rsidR="00C570D5" w:rsidRPr="000C04EE">
        <w:rPr>
          <w:sz w:val="14"/>
          <w:szCs w:val="14"/>
        </w:rPr>
        <w:t xml:space="preserve">, Minnesota Department of Employment and </w:t>
      </w:r>
      <w:r w:rsidR="009A0736" w:rsidRPr="000C04EE">
        <w:rPr>
          <w:sz w:val="14"/>
          <w:szCs w:val="14"/>
        </w:rPr>
        <w:t xml:space="preserve">Economic </w:t>
      </w:r>
      <w:r w:rsidR="00EE6084" w:rsidRPr="000C04EE">
        <w:rPr>
          <w:sz w:val="14"/>
          <w:szCs w:val="14"/>
        </w:rPr>
        <w:t>Development, June 2019</w:t>
      </w:r>
      <w:r w:rsidR="00C570D5" w:rsidRPr="000C04EE">
        <w:rPr>
          <w:sz w:val="14"/>
          <w:szCs w:val="14"/>
        </w:rPr>
        <w:t>.</w:t>
      </w:r>
    </w:p>
    <w:sectPr w:rsidR="00C570D5" w:rsidRPr="000C04EE" w:rsidSect="009969E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C81" w:rsidRDefault="009D4C81" w:rsidP="00722892">
      <w:pPr>
        <w:spacing w:after="0" w:line="240" w:lineRule="auto"/>
      </w:pPr>
      <w:r>
        <w:separator/>
      </w:r>
    </w:p>
  </w:endnote>
  <w:endnote w:type="continuationSeparator" w:id="0">
    <w:p w:rsidR="009D4C81" w:rsidRDefault="009D4C81" w:rsidP="0072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C81" w:rsidRDefault="009D4C81" w:rsidP="00722892">
      <w:pPr>
        <w:spacing w:after="0" w:line="240" w:lineRule="auto"/>
      </w:pPr>
      <w:r>
        <w:separator/>
      </w:r>
    </w:p>
  </w:footnote>
  <w:footnote w:type="continuationSeparator" w:id="0">
    <w:p w:rsidR="009D4C81" w:rsidRDefault="009D4C81" w:rsidP="00722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792C"/>
    <w:multiLevelType w:val="hybridMultilevel"/>
    <w:tmpl w:val="4F46C5A4"/>
    <w:lvl w:ilvl="0" w:tplc="7EC498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54002"/>
    <w:multiLevelType w:val="hybridMultilevel"/>
    <w:tmpl w:val="90360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10DA1"/>
    <w:multiLevelType w:val="hybridMultilevel"/>
    <w:tmpl w:val="B8CE587E"/>
    <w:lvl w:ilvl="0" w:tplc="C1963424">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2D4075"/>
    <w:multiLevelType w:val="hybridMultilevel"/>
    <w:tmpl w:val="77DE0E20"/>
    <w:lvl w:ilvl="0" w:tplc="FEC4432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A73C2"/>
    <w:multiLevelType w:val="hybridMultilevel"/>
    <w:tmpl w:val="C54C98A6"/>
    <w:lvl w:ilvl="0" w:tplc="710E8D2E">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5" w15:restartNumberingAfterBreak="0">
    <w:nsid w:val="3AAD4C75"/>
    <w:multiLevelType w:val="hybridMultilevel"/>
    <w:tmpl w:val="D97AB74E"/>
    <w:lvl w:ilvl="0" w:tplc="593A9BF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4229547C"/>
    <w:multiLevelType w:val="hybridMultilevel"/>
    <w:tmpl w:val="63AE7CF0"/>
    <w:lvl w:ilvl="0" w:tplc="16A4D16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C3162D5"/>
    <w:multiLevelType w:val="hybridMultilevel"/>
    <w:tmpl w:val="2B5E2D2E"/>
    <w:lvl w:ilvl="0" w:tplc="18A02B5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FFF4843"/>
    <w:multiLevelType w:val="hybridMultilevel"/>
    <w:tmpl w:val="CA0CEBC6"/>
    <w:lvl w:ilvl="0" w:tplc="EC82D616">
      <w:start w:val="1"/>
      <w:numFmt w:val="bullet"/>
      <w:lvlText w:val=""/>
      <w:lvlJc w:val="left"/>
      <w:pPr>
        <w:ind w:left="450" w:hanging="360"/>
      </w:pPr>
      <w:rPr>
        <w:rFonts w:ascii="Symbol" w:eastAsiaTheme="minorHAnsi" w:hAnsi="Symbol"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8"/>
  </w:num>
  <w:num w:numId="2">
    <w:abstractNumId w:val="3"/>
  </w:num>
  <w:num w:numId="3">
    <w:abstractNumId w:val="0"/>
  </w:num>
  <w:num w:numId="4">
    <w:abstractNumId w:val="2"/>
  </w:num>
  <w:num w:numId="5">
    <w:abstractNumId w:val="4"/>
  </w:num>
  <w:num w:numId="6">
    <w:abstractNumId w:val="5"/>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CFA"/>
    <w:rsid w:val="000055EB"/>
    <w:rsid w:val="00006BCD"/>
    <w:rsid w:val="000102FA"/>
    <w:rsid w:val="00023BB3"/>
    <w:rsid w:val="000530CD"/>
    <w:rsid w:val="000715D1"/>
    <w:rsid w:val="00093843"/>
    <w:rsid w:val="000A28AD"/>
    <w:rsid w:val="000B68D5"/>
    <w:rsid w:val="000C04EE"/>
    <w:rsid w:val="000C107F"/>
    <w:rsid w:val="000C1BCF"/>
    <w:rsid w:val="000D53DE"/>
    <w:rsid w:val="00100C21"/>
    <w:rsid w:val="001215A7"/>
    <w:rsid w:val="00126400"/>
    <w:rsid w:val="0013508B"/>
    <w:rsid w:val="00153642"/>
    <w:rsid w:val="00157FEC"/>
    <w:rsid w:val="00174C4B"/>
    <w:rsid w:val="00174D79"/>
    <w:rsid w:val="001A1D64"/>
    <w:rsid w:val="001D0139"/>
    <w:rsid w:val="00225875"/>
    <w:rsid w:val="0023223B"/>
    <w:rsid w:val="00243472"/>
    <w:rsid w:val="0024440C"/>
    <w:rsid w:val="00280798"/>
    <w:rsid w:val="00286A99"/>
    <w:rsid w:val="002934A2"/>
    <w:rsid w:val="00293720"/>
    <w:rsid w:val="00297604"/>
    <w:rsid w:val="002A39E0"/>
    <w:rsid w:val="002A419E"/>
    <w:rsid w:val="002C1301"/>
    <w:rsid w:val="002C48DC"/>
    <w:rsid w:val="002C5461"/>
    <w:rsid w:val="002E4C76"/>
    <w:rsid w:val="002F1C66"/>
    <w:rsid w:val="003058BA"/>
    <w:rsid w:val="00311D39"/>
    <w:rsid w:val="003368D3"/>
    <w:rsid w:val="00337ABD"/>
    <w:rsid w:val="003549BF"/>
    <w:rsid w:val="00367060"/>
    <w:rsid w:val="00373ED3"/>
    <w:rsid w:val="003774CD"/>
    <w:rsid w:val="003809EF"/>
    <w:rsid w:val="003844D4"/>
    <w:rsid w:val="003942C0"/>
    <w:rsid w:val="003C059D"/>
    <w:rsid w:val="003E0958"/>
    <w:rsid w:val="003E5789"/>
    <w:rsid w:val="003F33BB"/>
    <w:rsid w:val="0041750B"/>
    <w:rsid w:val="004262DB"/>
    <w:rsid w:val="00427A28"/>
    <w:rsid w:val="0043194C"/>
    <w:rsid w:val="0049334A"/>
    <w:rsid w:val="004A770C"/>
    <w:rsid w:val="004C194A"/>
    <w:rsid w:val="004C508D"/>
    <w:rsid w:val="004D5B1E"/>
    <w:rsid w:val="004E068C"/>
    <w:rsid w:val="004E12F2"/>
    <w:rsid w:val="004E3C39"/>
    <w:rsid w:val="00531B2D"/>
    <w:rsid w:val="00565C48"/>
    <w:rsid w:val="00567732"/>
    <w:rsid w:val="00584451"/>
    <w:rsid w:val="005A24D4"/>
    <w:rsid w:val="005B6565"/>
    <w:rsid w:val="005D05C5"/>
    <w:rsid w:val="005F0E3F"/>
    <w:rsid w:val="005F6926"/>
    <w:rsid w:val="00627309"/>
    <w:rsid w:val="006309E6"/>
    <w:rsid w:val="006449F7"/>
    <w:rsid w:val="0065167F"/>
    <w:rsid w:val="006A387C"/>
    <w:rsid w:val="006B0B3E"/>
    <w:rsid w:val="006B28F7"/>
    <w:rsid w:val="006B3637"/>
    <w:rsid w:val="006C6700"/>
    <w:rsid w:val="006D3B3F"/>
    <w:rsid w:val="006F7EFC"/>
    <w:rsid w:val="0070375F"/>
    <w:rsid w:val="0070546F"/>
    <w:rsid w:val="007075DF"/>
    <w:rsid w:val="007145B2"/>
    <w:rsid w:val="007171B2"/>
    <w:rsid w:val="00722892"/>
    <w:rsid w:val="007242DF"/>
    <w:rsid w:val="00726C57"/>
    <w:rsid w:val="00752148"/>
    <w:rsid w:val="007579D5"/>
    <w:rsid w:val="00771521"/>
    <w:rsid w:val="007874B0"/>
    <w:rsid w:val="007B16BB"/>
    <w:rsid w:val="007C3754"/>
    <w:rsid w:val="007D1D5C"/>
    <w:rsid w:val="007D7CFA"/>
    <w:rsid w:val="007F61A9"/>
    <w:rsid w:val="00810157"/>
    <w:rsid w:val="00811679"/>
    <w:rsid w:val="00814ED5"/>
    <w:rsid w:val="00814F86"/>
    <w:rsid w:val="00825F3C"/>
    <w:rsid w:val="00831B82"/>
    <w:rsid w:val="00835E20"/>
    <w:rsid w:val="0084634F"/>
    <w:rsid w:val="00853F8F"/>
    <w:rsid w:val="00855892"/>
    <w:rsid w:val="00881C43"/>
    <w:rsid w:val="0089194E"/>
    <w:rsid w:val="008A3B5D"/>
    <w:rsid w:val="008A7B58"/>
    <w:rsid w:val="008B00D4"/>
    <w:rsid w:val="008B2E6E"/>
    <w:rsid w:val="008B388C"/>
    <w:rsid w:val="008C0851"/>
    <w:rsid w:val="008C6664"/>
    <w:rsid w:val="008C6794"/>
    <w:rsid w:val="008C7C93"/>
    <w:rsid w:val="008D6DDD"/>
    <w:rsid w:val="008E015A"/>
    <w:rsid w:val="008E7E58"/>
    <w:rsid w:val="00902FE2"/>
    <w:rsid w:val="00933559"/>
    <w:rsid w:val="00941384"/>
    <w:rsid w:val="0094164D"/>
    <w:rsid w:val="009468D5"/>
    <w:rsid w:val="00955E99"/>
    <w:rsid w:val="0095690F"/>
    <w:rsid w:val="00961887"/>
    <w:rsid w:val="009713A3"/>
    <w:rsid w:val="00972D5C"/>
    <w:rsid w:val="00995CB9"/>
    <w:rsid w:val="009969EB"/>
    <w:rsid w:val="009A0736"/>
    <w:rsid w:val="009A1D8F"/>
    <w:rsid w:val="009B07B0"/>
    <w:rsid w:val="009B3DF5"/>
    <w:rsid w:val="009B7995"/>
    <w:rsid w:val="009D4C81"/>
    <w:rsid w:val="009D6A9C"/>
    <w:rsid w:val="009D720D"/>
    <w:rsid w:val="009F13ED"/>
    <w:rsid w:val="009F26AA"/>
    <w:rsid w:val="009F568F"/>
    <w:rsid w:val="00A121AF"/>
    <w:rsid w:val="00A257DB"/>
    <w:rsid w:val="00A2646F"/>
    <w:rsid w:val="00A31665"/>
    <w:rsid w:val="00A41AC1"/>
    <w:rsid w:val="00A43276"/>
    <w:rsid w:val="00A448E3"/>
    <w:rsid w:val="00A47279"/>
    <w:rsid w:val="00A516F3"/>
    <w:rsid w:val="00A561F7"/>
    <w:rsid w:val="00A66699"/>
    <w:rsid w:val="00A70BA3"/>
    <w:rsid w:val="00A908BB"/>
    <w:rsid w:val="00A979C6"/>
    <w:rsid w:val="00A97C01"/>
    <w:rsid w:val="00AB6F70"/>
    <w:rsid w:val="00AC6BEA"/>
    <w:rsid w:val="00AD5C32"/>
    <w:rsid w:val="00AE0EFF"/>
    <w:rsid w:val="00B22064"/>
    <w:rsid w:val="00B22FAE"/>
    <w:rsid w:val="00B4100B"/>
    <w:rsid w:val="00B76A86"/>
    <w:rsid w:val="00B76C4D"/>
    <w:rsid w:val="00B86E7E"/>
    <w:rsid w:val="00B9558C"/>
    <w:rsid w:val="00BA5968"/>
    <w:rsid w:val="00BB4D26"/>
    <w:rsid w:val="00BC0C4D"/>
    <w:rsid w:val="00BC5DD8"/>
    <w:rsid w:val="00BD5061"/>
    <w:rsid w:val="00BE474F"/>
    <w:rsid w:val="00BE7561"/>
    <w:rsid w:val="00C016FB"/>
    <w:rsid w:val="00C067E2"/>
    <w:rsid w:val="00C1258E"/>
    <w:rsid w:val="00C2607A"/>
    <w:rsid w:val="00C310C5"/>
    <w:rsid w:val="00C34B1A"/>
    <w:rsid w:val="00C35CB2"/>
    <w:rsid w:val="00C46B75"/>
    <w:rsid w:val="00C570D5"/>
    <w:rsid w:val="00C6136E"/>
    <w:rsid w:val="00C633BF"/>
    <w:rsid w:val="00C707A3"/>
    <w:rsid w:val="00C74737"/>
    <w:rsid w:val="00C80C65"/>
    <w:rsid w:val="00CA4F8E"/>
    <w:rsid w:val="00CC2FD0"/>
    <w:rsid w:val="00CE1510"/>
    <w:rsid w:val="00CE28CD"/>
    <w:rsid w:val="00CE70D6"/>
    <w:rsid w:val="00CF0F48"/>
    <w:rsid w:val="00D056A9"/>
    <w:rsid w:val="00D12E13"/>
    <w:rsid w:val="00D12EE2"/>
    <w:rsid w:val="00D21E21"/>
    <w:rsid w:val="00D33609"/>
    <w:rsid w:val="00D3621B"/>
    <w:rsid w:val="00D40EDB"/>
    <w:rsid w:val="00D47417"/>
    <w:rsid w:val="00D52CFB"/>
    <w:rsid w:val="00D53E18"/>
    <w:rsid w:val="00D57F6C"/>
    <w:rsid w:val="00DA18EA"/>
    <w:rsid w:val="00DD0D08"/>
    <w:rsid w:val="00DD1D04"/>
    <w:rsid w:val="00DE7AC6"/>
    <w:rsid w:val="00E2110F"/>
    <w:rsid w:val="00E50B04"/>
    <w:rsid w:val="00E647F4"/>
    <w:rsid w:val="00E66525"/>
    <w:rsid w:val="00E66A72"/>
    <w:rsid w:val="00E7356E"/>
    <w:rsid w:val="00E841AC"/>
    <w:rsid w:val="00EE6084"/>
    <w:rsid w:val="00EF2617"/>
    <w:rsid w:val="00F10ED0"/>
    <w:rsid w:val="00F573FD"/>
    <w:rsid w:val="00F62FD1"/>
    <w:rsid w:val="00F76D55"/>
    <w:rsid w:val="00F82F8E"/>
    <w:rsid w:val="00FB474B"/>
    <w:rsid w:val="00FD40A7"/>
    <w:rsid w:val="00FE0621"/>
    <w:rsid w:val="00FE2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2D937-C38F-41B4-9481-0129100F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F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07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4E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F7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B07B0"/>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855892"/>
    <w:pPr>
      <w:spacing w:after="0" w:line="240" w:lineRule="auto"/>
    </w:pPr>
  </w:style>
  <w:style w:type="character" w:customStyle="1" w:styleId="Heading3Char">
    <w:name w:val="Heading 3 Char"/>
    <w:basedOn w:val="DefaultParagraphFont"/>
    <w:link w:val="Heading3"/>
    <w:uiPriority w:val="9"/>
    <w:rsid w:val="00814ED5"/>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9969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9E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B7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F61A9"/>
    <w:pPr>
      <w:spacing w:after="200" w:line="240" w:lineRule="auto"/>
    </w:pPr>
    <w:rPr>
      <w:i/>
      <w:iCs/>
      <w:color w:val="44546A" w:themeColor="text2"/>
      <w:sz w:val="18"/>
      <w:szCs w:val="18"/>
    </w:rPr>
  </w:style>
  <w:style w:type="table" w:styleId="PlainTable5">
    <w:name w:val="Plain Table 5"/>
    <w:basedOn w:val="TableNormal"/>
    <w:uiPriority w:val="45"/>
    <w:rsid w:val="00A97C0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A97C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C80C65"/>
    <w:pPr>
      <w:ind w:left="720"/>
      <w:contextualSpacing/>
    </w:pPr>
  </w:style>
  <w:style w:type="paragraph" w:styleId="BalloonText">
    <w:name w:val="Balloon Text"/>
    <w:basedOn w:val="Normal"/>
    <w:link w:val="BalloonTextChar"/>
    <w:uiPriority w:val="99"/>
    <w:semiHidden/>
    <w:unhideWhenUsed/>
    <w:rsid w:val="00722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892"/>
    <w:rPr>
      <w:rFonts w:ascii="Segoe UI" w:hAnsi="Segoe UI" w:cs="Segoe UI"/>
      <w:sz w:val="18"/>
      <w:szCs w:val="18"/>
    </w:rPr>
  </w:style>
  <w:style w:type="paragraph" w:styleId="FootnoteText">
    <w:name w:val="footnote text"/>
    <w:basedOn w:val="Normal"/>
    <w:link w:val="FootnoteTextChar"/>
    <w:uiPriority w:val="99"/>
    <w:semiHidden/>
    <w:unhideWhenUsed/>
    <w:rsid w:val="007228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892"/>
    <w:rPr>
      <w:sz w:val="20"/>
      <w:szCs w:val="20"/>
    </w:rPr>
  </w:style>
  <w:style w:type="character" w:styleId="FootnoteReference">
    <w:name w:val="footnote reference"/>
    <w:basedOn w:val="DefaultParagraphFont"/>
    <w:uiPriority w:val="99"/>
    <w:semiHidden/>
    <w:unhideWhenUsed/>
    <w:rsid w:val="00722892"/>
    <w:rPr>
      <w:vertAlign w:val="superscript"/>
    </w:rPr>
  </w:style>
  <w:style w:type="character" w:styleId="CommentReference">
    <w:name w:val="annotation reference"/>
    <w:basedOn w:val="DefaultParagraphFont"/>
    <w:uiPriority w:val="99"/>
    <w:semiHidden/>
    <w:unhideWhenUsed/>
    <w:rsid w:val="00DE7AC6"/>
    <w:rPr>
      <w:sz w:val="16"/>
      <w:szCs w:val="16"/>
    </w:rPr>
  </w:style>
  <w:style w:type="paragraph" w:styleId="CommentText">
    <w:name w:val="annotation text"/>
    <w:basedOn w:val="Normal"/>
    <w:link w:val="CommentTextChar"/>
    <w:uiPriority w:val="99"/>
    <w:semiHidden/>
    <w:unhideWhenUsed/>
    <w:rsid w:val="00DE7AC6"/>
    <w:pPr>
      <w:spacing w:line="240" w:lineRule="auto"/>
    </w:pPr>
    <w:rPr>
      <w:sz w:val="20"/>
      <w:szCs w:val="20"/>
    </w:rPr>
  </w:style>
  <w:style w:type="character" w:customStyle="1" w:styleId="CommentTextChar">
    <w:name w:val="Comment Text Char"/>
    <w:basedOn w:val="DefaultParagraphFont"/>
    <w:link w:val="CommentText"/>
    <w:uiPriority w:val="99"/>
    <w:semiHidden/>
    <w:rsid w:val="00DE7AC6"/>
    <w:rPr>
      <w:sz w:val="20"/>
      <w:szCs w:val="20"/>
    </w:rPr>
  </w:style>
  <w:style w:type="paragraph" w:styleId="CommentSubject">
    <w:name w:val="annotation subject"/>
    <w:basedOn w:val="CommentText"/>
    <w:next w:val="CommentText"/>
    <w:link w:val="CommentSubjectChar"/>
    <w:uiPriority w:val="99"/>
    <w:semiHidden/>
    <w:unhideWhenUsed/>
    <w:rsid w:val="00DE7AC6"/>
    <w:rPr>
      <w:b/>
      <w:bCs/>
    </w:rPr>
  </w:style>
  <w:style w:type="character" w:customStyle="1" w:styleId="CommentSubjectChar">
    <w:name w:val="Comment Subject Char"/>
    <w:basedOn w:val="CommentTextChar"/>
    <w:link w:val="CommentSubject"/>
    <w:uiPriority w:val="99"/>
    <w:semiHidden/>
    <w:rsid w:val="00DE7A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3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latin typeface="Arial" pitchFamily="34" charset="0"/>
                <a:cs typeface="Arial" pitchFamily="34" charset="0"/>
              </a:defRPr>
            </a:pPr>
            <a:r>
              <a:rPr lang="en-US" sz="800" b="1" i="0" u="none" strike="noStrike" baseline="0">
                <a:effectLst/>
              </a:rPr>
              <a:t>Economic Performance for Minnesota's Business Services Firms--</a:t>
            </a:r>
            <a:r>
              <a:rPr lang="en-US" sz="800" b="1" i="0" u="none" strike="noStrike" baseline="0">
                <a:effectLst/>
                <a:latin typeface="Arial" pitchFamily="34" charset="0"/>
                <a:cs typeface="Arial" pitchFamily="34" charset="0"/>
              </a:rPr>
              <a:t> Previous Four Quarters</a:t>
            </a:r>
            <a:endParaRPr lang="en-US" sz="800" b="1" i="0" u="none" strike="noStrike" baseline="0">
              <a:effectLst/>
            </a:endParaRPr>
          </a:p>
        </c:rich>
      </c:tx>
      <c:overlay val="0"/>
    </c:title>
    <c:autoTitleDeleted val="0"/>
    <c:plotArea>
      <c:layout>
        <c:manualLayout>
          <c:layoutTarget val="inner"/>
          <c:xMode val="edge"/>
          <c:yMode val="edge"/>
          <c:x val="8.7771183132705835E-2"/>
          <c:y val="0.23150845996648942"/>
          <c:w val="0.8701994877758924"/>
          <c:h val="0.63870134720985006"/>
        </c:manualLayout>
      </c:layout>
      <c:barChart>
        <c:barDir val="col"/>
        <c:grouping val="clustered"/>
        <c:varyColors val="0"/>
        <c:ser>
          <c:idx val="0"/>
          <c:order val="0"/>
          <c:tx>
            <c:strRef>
              <c:f>Sheet1!$B$1</c:f>
              <c:strCache>
                <c:ptCount val="1"/>
                <c:pt idx="0">
                  <c:v>Up</c:v>
                </c:pt>
              </c:strCache>
            </c:strRef>
          </c:tx>
          <c:spPr>
            <a:ln>
              <a:solidFill>
                <a:schemeClr val="accent1"/>
              </a:solidFill>
            </a:ln>
          </c:spPr>
          <c:invertIfNegative val="0"/>
          <c:cat>
            <c:strRef>
              <c:f>Sheet1!$A$2:$A$10</c:f>
              <c:strCache>
                <c:ptCount val="9"/>
                <c:pt idx="0">
                  <c:v>Sales</c:v>
                </c:pt>
                <c:pt idx="1">
                  <c:v>Profits</c:v>
                </c:pt>
                <c:pt idx="2">
                  <c:v>Produc- tivity</c:v>
                </c:pt>
                <c:pt idx="3">
                  <c:v>Emp.</c:v>
                </c:pt>
                <c:pt idx="4">
                  <c:v>Labor</c:v>
                </c:pt>
                <c:pt idx="5">
                  <c:v>Selling-  Prices</c:v>
                </c:pt>
                <c:pt idx="6">
                  <c:v>Input- Cost</c:v>
                </c:pt>
                <c:pt idx="7">
                  <c:v>Space- occu.</c:v>
                </c:pt>
                <c:pt idx="8">
                  <c:v>Exports</c:v>
                </c:pt>
              </c:strCache>
            </c:strRef>
          </c:cat>
          <c:val>
            <c:numRef>
              <c:f>Sheet1!$B$2:$B$10</c:f>
              <c:numCache>
                <c:formatCode>0%</c:formatCode>
                <c:ptCount val="9"/>
                <c:pt idx="0">
                  <c:v>0.47</c:v>
                </c:pt>
                <c:pt idx="1">
                  <c:v>0.41</c:v>
                </c:pt>
                <c:pt idx="2">
                  <c:v>0.34</c:v>
                </c:pt>
                <c:pt idx="3">
                  <c:v>0.26</c:v>
                </c:pt>
                <c:pt idx="4">
                  <c:v>7.0000000000000007E-2</c:v>
                </c:pt>
                <c:pt idx="5">
                  <c:v>0.35</c:v>
                </c:pt>
                <c:pt idx="6">
                  <c:v>0.52</c:v>
                </c:pt>
                <c:pt idx="7">
                  <c:v>0.08</c:v>
                </c:pt>
                <c:pt idx="8">
                  <c:v>0.04</c:v>
                </c:pt>
              </c:numCache>
            </c:numRef>
          </c:val>
          <c:extLst>
            <c:ext xmlns:c16="http://schemas.microsoft.com/office/drawing/2014/chart" uri="{C3380CC4-5D6E-409C-BE32-E72D297353CC}">
              <c16:uniqueId val="{00000000-6F8D-46DF-84C9-1299949246B9}"/>
            </c:ext>
          </c:extLst>
        </c:ser>
        <c:ser>
          <c:idx val="1"/>
          <c:order val="1"/>
          <c:tx>
            <c:strRef>
              <c:f>Sheet1!$C$1</c:f>
              <c:strCache>
                <c:ptCount val="1"/>
                <c:pt idx="0">
                  <c:v>Same</c:v>
                </c:pt>
              </c:strCache>
            </c:strRef>
          </c:tx>
          <c:spPr>
            <a:solidFill>
              <a:srgbClr val="92D050"/>
            </a:solidFill>
            <a:ln>
              <a:solidFill>
                <a:schemeClr val="accent1"/>
              </a:solidFill>
            </a:ln>
          </c:spPr>
          <c:invertIfNegative val="0"/>
          <c:cat>
            <c:strRef>
              <c:f>Sheet1!$A$2:$A$10</c:f>
              <c:strCache>
                <c:ptCount val="9"/>
                <c:pt idx="0">
                  <c:v>Sales</c:v>
                </c:pt>
                <c:pt idx="1">
                  <c:v>Profits</c:v>
                </c:pt>
                <c:pt idx="2">
                  <c:v>Produc- tivity</c:v>
                </c:pt>
                <c:pt idx="3">
                  <c:v>Emp.</c:v>
                </c:pt>
                <c:pt idx="4">
                  <c:v>Labor</c:v>
                </c:pt>
                <c:pt idx="5">
                  <c:v>Selling-  Prices</c:v>
                </c:pt>
                <c:pt idx="6">
                  <c:v>Input- Cost</c:v>
                </c:pt>
                <c:pt idx="7">
                  <c:v>Space- occu.</c:v>
                </c:pt>
                <c:pt idx="8">
                  <c:v>Exports</c:v>
                </c:pt>
              </c:strCache>
            </c:strRef>
          </c:cat>
          <c:val>
            <c:numRef>
              <c:f>Sheet1!$C$2:$C$10</c:f>
              <c:numCache>
                <c:formatCode>0%</c:formatCode>
                <c:ptCount val="9"/>
                <c:pt idx="0">
                  <c:v>0.3</c:v>
                </c:pt>
                <c:pt idx="1">
                  <c:v>0.3</c:v>
                </c:pt>
                <c:pt idx="2">
                  <c:v>0.54</c:v>
                </c:pt>
                <c:pt idx="3">
                  <c:v>0.57999999999999996</c:v>
                </c:pt>
                <c:pt idx="4">
                  <c:v>0.69</c:v>
                </c:pt>
                <c:pt idx="5">
                  <c:v>0.56999999999999995</c:v>
                </c:pt>
                <c:pt idx="6">
                  <c:v>0.42</c:v>
                </c:pt>
                <c:pt idx="7">
                  <c:v>0.86</c:v>
                </c:pt>
                <c:pt idx="8">
                  <c:v>0.92</c:v>
                </c:pt>
              </c:numCache>
            </c:numRef>
          </c:val>
          <c:extLst>
            <c:ext xmlns:c16="http://schemas.microsoft.com/office/drawing/2014/chart" uri="{C3380CC4-5D6E-409C-BE32-E72D297353CC}">
              <c16:uniqueId val="{00000001-6F8D-46DF-84C9-1299949246B9}"/>
            </c:ext>
          </c:extLst>
        </c:ser>
        <c:ser>
          <c:idx val="2"/>
          <c:order val="2"/>
          <c:tx>
            <c:strRef>
              <c:f>Sheet1!$D$1</c:f>
              <c:strCache>
                <c:ptCount val="1"/>
                <c:pt idx="0">
                  <c:v>Down</c:v>
                </c:pt>
              </c:strCache>
            </c:strRef>
          </c:tx>
          <c:spPr>
            <a:solidFill>
              <a:srgbClr val="FFFF99"/>
            </a:solidFill>
            <a:ln>
              <a:solidFill>
                <a:schemeClr val="accent1"/>
              </a:solidFill>
            </a:ln>
          </c:spPr>
          <c:invertIfNegative val="0"/>
          <c:cat>
            <c:strRef>
              <c:f>Sheet1!$A$2:$A$10</c:f>
              <c:strCache>
                <c:ptCount val="9"/>
                <c:pt idx="0">
                  <c:v>Sales</c:v>
                </c:pt>
                <c:pt idx="1">
                  <c:v>Profits</c:v>
                </c:pt>
                <c:pt idx="2">
                  <c:v>Produc- tivity</c:v>
                </c:pt>
                <c:pt idx="3">
                  <c:v>Emp.</c:v>
                </c:pt>
                <c:pt idx="4">
                  <c:v>Labor</c:v>
                </c:pt>
                <c:pt idx="5">
                  <c:v>Selling-  Prices</c:v>
                </c:pt>
                <c:pt idx="6">
                  <c:v>Input- Cost</c:v>
                </c:pt>
                <c:pt idx="7">
                  <c:v>Space- occu.</c:v>
                </c:pt>
                <c:pt idx="8">
                  <c:v>Exports</c:v>
                </c:pt>
              </c:strCache>
            </c:strRef>
          </c:cat>
          <c:val>
            <c:numRef>
              <c:f>Sheet1!$D$2:$D$10</c:f>
              <c:numCache>
                <c:formatCode>0%</c:formatCode>
                <c:ptCount val="9"/>
                <c:pt idx="0">
                  <c:v>0.23</c:v>
                </c:pt>
                <c:pt idx="1">
                  <c:v>0.28000000000000003</c:v>
                </c:pt>
                <c:pt idx="2">
                  <c:v>0.11</c:v>
                </c:pt>
                <c:pt idx="3">
                  <c:v>0.16</c:v>
                </c:pt>
                <c:pt idx="4">
                  <c:v>0.25</c:v>
                </c:pt>
                <c:pt idx="5">
                  <c:v>0.08</c:v>
                </c:pt>
                <c:pt idx="6">
                  <c:v>0.05</c:v>
                </c:pt>
                <c:pt idx="7">
                  <c:v>0.06</c:v>
                </c:pt>
                <c:pt idx="8">
                  <c:v>0.04</c:v>
                </c:pt>
              </c:numCache>
            </c:numRef>
          </c:val>
          <c:extLst>
            <c:ext xmlns:c16="http://schemas.microsoft.com/office/drawing/2014/chart" uri="{C3380CC4-5D6E-409C-BE32-E72D297353CC}">
              <c16:uniqueId val="{00000002-6F8D-46DF-84C9-1299949246B9}"/>
            </c:ext>
          </c:extLst>
        </c:ser>
        <c:dLbls>
          <c:showLegendKey val="0"/>
          <c:showVal val="0"/>
          <c:showCatName val="0"/>
          <c:showSerName val="0"/>
          <c:showPercent val="0"/>
          <c:showBubbleSize val="0"/>
        </c:dLbls>
        <c:gapWidth val="100"/>
        <c:overlap val="-23"/>
        <c:axId val="329176360"/>
        <c:axId val="333752696"/>
      </c:barChart>
      <c:catAx>
        <c:axId val="329176360"/>
        <c:scaling>
          <c:orientation val="minMax"/>
        </c:scaling>
        <c:delete val="0"/>
        <c:axPos val="b"/>
        <c:numFmt formatCode="General" sourceLinked="0"/>
        <c:majorTickMark val="out"/>
        <c:minorTickMark val="none"/>
        <c:tickLblPos val="nextTo"/>
        <c:txPr>
          <a:bodyPr rot="0" vert="horz" anchor="t" anchorCtr="0"/>
          <a:lstStyle/>
          <a:p>
            <a:pPr>
              <a:defRPr sz="650" baseline="0">
                <a:latin typeface="Arial" pitchFamily="34" charset="0"/>
                <a:cs typeface="Arial" pitchFamily="34" charset="0"/>
              </a:defRPr>
            </a:pPr>
            <a:endParaRPr lang="en-US"/>
          </a:p>
        </c:txPr>
        <c:crossAx val="333752696"/>
        <c:crosses val="autoZero"/>
        <c:auto val="0"/>
        <c:lblAlgn val="ctr"/>
        <c:lblOffset val="100"/>
        <c:noMultiLvlLbl val="0"/>
      </c:catAx>
      <c:valAx>
        <c:axId val="333752696"/>
        <c:scaling>
          <c:orientation val="minMax"/>
        </c:scaling>
        <c:delete val="0"/>
        <c:axPos val="l"/>
        <c:majorGridlines/>
        <c:numFmt formatCode="0%" sourceLinked="1"/>
        <c:majorTickMark val="out"/>
        <c:minorTickMark val="none"/>
        <c:tickLblPos val="nextTo"/>
        <c:txPr>
          <a:bodyPr/>
          <a:lstStyle/>
          <a:p>
            <a:pPr>
              <a:defRPr sz="800"/>
            </a:pPr>
            <a:endParaRPr lang="en-US"/>
          </a:p>
        </c:txPr>
        <c:crossAx val="329176360"/>
        <c:crosses val="autoZero"/>
        <c:crossBetween val="between"/>
      </c:valAx>
    </c:plotArea>
    <c:legend>
      <c:legendPos val="t"/>
      <c:layout>
        <c:manualLayout>
          <c:xMode val="edge"/>
          <c:yMode val="edge"/>
          <c:x val="0.15581452318460196"/>
          <c:y val="0.26989054315808775"/>
          <c:w val="0.312383635419754"/>
          <c:h val="7.3936167508604378E-2"/>
        </c:manualLayout>
      </c:layout>
      <c:overlay val="0"/>
      <c:spPr>
        <a:ln>
          <a:solidFill>
            <a:schemeClr val="accent1"/>
          </a:solidFill>
        </a:ln>
      </c:spPr>
      <c:txPr>
        <a:bodyPr/>
        <a:lstStyle/>
        <a:p>
          <a:pPr>
            <a:defRPr sz="700">
              <a:latin typeface="Arial" pitchFamily="34" charset="0"/>
              <a:cs typeface="Arial" pitchFamily="34"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latin typeface="Arial" pitchFamily="34" charset="0"/>
                <a:cs typeface="Arial" pitchFamily="34" charset="0"/>
              </a:defRPr>
            </a:pPr>
            <a:r>
              <a:rPr lang="en-US" sz="800" b="1" i="0" u="none" strike="noStrike" baseline="0">
                <a:effectLst/>
              </a:rPr>
              <a:t>Outlook on Economic Performance for The Coming Year</a:t>
            </a:r>
          </a:p>
        </c:rich>
      </c:tx>
      <c:overlay val="0"/>
    </c:title>
    <c:autoTitleDeleted val="0"/>
    <c:plotArea>
      <c:layout>
        <c:manualLayout>
          <c:layoutTarget val="inner"/>
          <c:xMode val="edge"/>
          <c:yMode val="edge"/>
          <c:x val="8.7771154091241477E-2"/>
          <c:y val="0.2315086040866052"/>
          <c:w val="0.84062156768714325"/>
          <c:h val="0.63870134720985006"/>
        </c:manualLayout>
      </c:layout>
      <c:barChart>
        <c:barDir val="col"/>
        <c:grouping val="clustered"/>
        <c:varyColors val="0"/>
        <c:ser>
          <c:idx val="0"/>
          <c:order val="0"/>
          <c:tx>
            <c:strRef>
              <c:f>Sheet1!$B$1</c:f>
              <c:strCache>
                <c:ptCount val="1"/>
                <c:pt idx="0">
                  <c:v>Up</c:v>
                </c:pt>
              </c:strCache>
            </c:strRef>
          </c:tx>
          <c:spPr>
            <a:ln>
              <a:solidFill>
                <a:schemeClr val="accent1"/>
              </a:solidFill>
            </a:ln>
          </c:spPr>
          <c:invertIfNegative val="0"/>
          <c:cat>
            <c:strRef>
              <c:f>Sheet1!$A$2:$A$6</c:f>
              <c:strCache>
                <c:ptCount val="5"/>
                <c:pt idx="0">
                  <c:v>Employ- ment</c:v>
                </c:pt>
                <c:pt idx="1">
                  <c:v>Consumer Spending</c:v>
                </c:pt>
                <c:pt idx="2">
                  <c:v>Inflation</c:v>
                </c:pt>
                <c:pt idx="3">
                  <c:v>Profits</c:v>
                </c:pt>
                <c:pt idx="4">
                  <c:v>Merger and Acq.</c:v>
                </c:pt>
              </c:strCache>
            </c:strRef>
          </c:cat>
          <c:val>
            <c:numRef>
              <c:f>Sheet1!$B$2:$B$6</c:f>
              <c:numCache>
                <c:formatCode>0%</c:formatCode>
                <c:ptCount val="5"/>
                <c:pt idx="0">
                  <c:v>0.35</c:v>
                </c:pt>
                <c:pt idx="1">
                  <c:v>0.31</c:v>
                </c:pt>
                <c:pt idx="2">
                  <c:v>0.44</c:v>
                </c:pt>
                <c:pt idx="3">
                  <c:v>0.38</c:v>
                </c:pt>
                <c:pt idx="4">
                  <c:v>0.37</c:v>
                </c:pt>
              </c:numCache>
            </c:numRef>
          </c:val>
          <c:extLst>
            <c:ext xmlns:c16="http://schemas.microsoft.com/office/drawing/2014/chart" uri="{C3380CC4-5D6E-409C-BE32-E72D297353CC}">
              <c16:uniqueId val="{00000000-3B15-4D28-B6E9-05FE39C9E26B}"/>
            </c:ext>
          </c:extLst>
        </c:ser>
        <c:ser>
          <c:idx val="1"/>
          <c:order val="1"/>
          <c:tx>
            <c:strRef>
              <c:f>Sheet1!$C$1</c:f>
              <c:strCache>
                <c:ptCount val="1"/>
                <c:pt idx="0">
                  <c:v>Same</c:v>
                </c:pt>
              </c:strCache>
            </c:strRef>
          </c:tx>
          <c:spPr>
            <a:solidFill>
              <a:srgbClr val="92D050"/>
            </a:solidFill>
            <a:ln>
              <a:solidFill>
                <a:schemeClr val="accent1"/>
              </a:solidFill>
            </a:ln>
          </c:spPr>
          <c:invertIfNegative val="0"/>
          <c:cat>
            <c:strRef>
              <c:f>Sheet1!$A$2:$A$6</c:f>
              <c:strCache>
                <c:ptCount val="5"/>
                <c:pt idx="0">
                  <c:v>Employ- ment</c:v>
                </c:pt>
                <c:pt idx="1">
                  <c:v>Consumer Spending</c:v>
                </c:pt>
                <c:pt idx="2">
                  <c:v>Inflation</c:v>
                </c:pt>
                <c:pt idx="3">
                  <c:v>Profits</c:v>
                </c:pt>
                <c:pt idx="4">
                  <c:v>Merger and Acq.</c:v>
                </c:pt>
              </c:strCache>
            </c:strRef>
          </c:cat>
          <c:val>
            <c:numRef>
              <c:f>Sheet1!$C$2:$C$6</c:f>
              <c:numCache>
                <c:formatCode>0%</c:formatCode>
                <c:ptCount val="5"/>
                <c:pt idx="0">
                  <c:v>0.56999999999999995</c:v>
                </c:pt>
                <c:pt idx="1">
                  <c:v>0.5</c:v>
                </c:pt>
                <c:pt idx="2">
                  <c:v>0.54</c:v>
                </c:pt>
                <c:pt idx="3">
                  <c:v>0.45</c:v>
                </c:pt>
                <c:pt idx="4">
                  <c:v>0.6</c:v>
                </c:pt>
              </c:numCache>
            </c:numRef>
          </c:val>
          <c:extLst>
            <c:ext xmlns:c16="http://schemas.microsoft.com/office/drawing/2014/chart" uri="{C3380CC4-5D6E-409C-BE32-E72D297353CC}">
              <c16:uniqueId val="{00000001-3B15-4D28-B6E9-05FE39C9E26B}"/>
            </c:ext>
          </c:extLst>
        </c:ser>
        <c:ser>
          <c:idx val="2"/>
          <c:order val="2"/>
          <c:tx>
            <c:strRef>
              <c:f>Sheet1!$D$1</c:f>
              <c:strCache>
                <c:ptCount val="1"/>
                <c:pt idx="0">
                  <c:v>Down</c:v>
                </c:pt>
              </c:strCache>
            </c:strRef>
          </c:tx>
          <c:spPr>
            <a:solidFill>
              <a:srgbClr val="FFFF99"/>
            </a:solidFill>
            <a:ln>
              <a:solidFill>
                <a:schemeClr val="accent1"/>
              </a:solidFill>
            </a:ln>
          </c:spPr>
          <c:invertIfNegative val="0"/>
          <c:cat>
            <c:strRef>
              <c:f>Sheet1!$A$2:$A$6</c:f>
              <c:strCache>
                <c:ptCount val="5"/>
                <c:pt idx="0">
                  <c:v>Employ- ment</c:v>
                </c:pt>
                <c:pt idx="1">
                  <c:v>Consumer Spending</c:v>
                </c:pt>
                <c:pt idx="2">
                  <c:v>Inflation</c:v>
                </c:pt>
                <c:pt idx="3">
                  <c:v>Profits</c:v>
                </c:pt>
                <c:pt idx="4">
                  <c:v>Merger and Acq.</c:v>
                </c:pt>
              </c:strCache>
            </c:strRef>
          </c:cat>
          <c:val>
            <c:numRef>
              <c:f>Sheet1!$D$2:$D$6</c:f>
              <c:numCache>
                <c:formatCode>0%</c:formatCode>
                <c:ptCount val="5"/>
                <c:pt idx="0">
                  <c:v>0.09</c:v>
                </c:pt>
                <c:pt idx="1">
                  <c:v>0.18</c:v>
                </c:pt>
                <c:pt idx="2">
                  <c:v>0.02</c:v>
                </c:pt>
                <c:pt idx="3">
                  <c:v>0.18</c:v>
                </c:pt>
                <c:pt idx="4">
                  <c:v>0.03</c:v>
                </c:pt>
              </c:numCache>
            </c:numRef>
          </c:val>
          <c:extLst>
            <c:ext xmlns:c16="http://schemas.microsoft.com/office/drawing/2014/chart" uri="{C3380CC4-5D6E-409C-BE32-E72D297353CC}">
              <c16:uniqueId val="{00000002-3B15-4D28-B6E9-05FE39C9E26B}"/>
            </c:ext>
          </c:extLst>
        </c:ser>
        <c:dLbls>
          <c:showLegendKey val="0"/>
          <c:showVal val="0"/>
          <c:showCatName val="0"/>
          <c:showSerName val="0"/>
          <c:showPercent val="0"/>
          <c:showBubbleSize val="0"/>
        </c:dLbls>
        <c:gapWidth val="100"/>
        <c:axId val="333753872"/>
        <c:axId val="333754264"/>
      </c:barChart>
      <c:catAx>
        <c:axId val="333753872"/>
        <c:scaling>
          <c:orientation val="minMax"/>
        </c:scaling>
        <c:delete val="0"/>
        <c:axPos val="b"/>
        <c:numFmt formatCode="General" sourceLinked="0"/>
        <c:majorTickMark val="out"/>
        <c:minorTickMark val="none"/>
        <c:tickLblPos val="nextTo"/>
        <c:txPr>
          <a:bodyPr rot="0" vert="horz"/>
          <a:lstStyle/>
          <a:p>
            <a:pPr>
              <a:defRPr sz="700">
                <a:latin typeface="Arial" pitchFamily="34" charset="0"/>
                <a:cs typeface="Arial" pitchFamily="34" charset="0"/>
              </a:defRPr>
            </a:pPr>
            <a:endParaRPr lang="en-US"/>
          </a:p>
        </c:txPr>
        <c:crossAx val="333754264"/>
        <c:crosses val="autoZero"/>
        <c:auto val="1"/>
        <c:lblAlgn val="ctr"/>
        <c:lblOffset val="100"/>
        <c:noMultiLvlLbl val="0"/>
      </c:catAx>
      <c:valAx>
        <c:axId val="333754264"/>
        <c:scaling>
          <c:orientation val="minMax"/>
        </c:scaling>
        <c:delete val="0"/>
        <c:axPos val="l"/>
        <c:majorGridlines/>
        <c:numFmt formatCode="0%" sourceLinked="1"/>
        <c:majorTickMark val="out"/>
        <c:minorTickMark val="none"/>
        <c:tickLblPos val="nextTo"/>
        <c:txPr>
          <a:bodyPr/>
          <a:lstStyle/>
          <a:p>
            <a:pPr>
              <a:defRPr sz="800"/>
            </a:pPr>
            <a:endParaRPr lang="en-US"/>
          </a:p>
        </c:txPr>
        <c:crossAx val="333753872"/>
        <c:crosses val="autoZero"/>
        <c:crossBetween val="between"/>
      </c:valAx>
    </c:plotArea>
    <c:legend>
      <c:legendPos val="t"/>
      <c:layout>
        <c:manualLayout>
          <c:xMode val="edge"/>
          <c:yMode val="edge"/>
          <c:x val="0.10359847053667232"/>
          <c:y val="0.24176218479019237"/>
          <c:w val="0.312383635419754"/>
          <c:h val="7.3936167508604378E-2"/>
        </c:manualLayout>
      </c:layout>
      <c:overlay val="0"/>
      <c:spPr>
        <a:ln>
          <a:solidFill>
            <a:schemeClr val="accent1"/>
          </a:solidFill>
        </a:ln>
      </c:spPr>
      <c:txPr>
        <a:bodyPr/>
        <a:lstStyle/>
        <a:p>
          <a:pPr>
            <a:defRPr sz="700">
              <a:latin typeface="Arial" pitchFamily="34" charset="0"/>
              <a:cs typeface="Arial" pitchFamily="34"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76695-B23B-4A82-B785-B43931F4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Olson</dc:creator>
  <cp:keywords/>
  <dc:description/>
  <cp:lastModifiedBy>White, Deanne (DEED)</cp:lastModifiedBy>
  <cp:revision>2</cp:revision>
  <cp:lastPrinted>2019-07-02T17:16:00Z</cp:lastPrinted>
  <dcterms:created xsi:type="dcterms:W3CDTF">2019-07-16T13:09:00Z</dcterms:created>
  <dcterms:modified xsi:type="dcterms:W3CDTF">2019-07-16T13:09:00Z</dcterms:modified>
</cp:coreProperties>
</file>