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82797" w14:textId="77777777" w:rsidR="008A3741" w:rsidRDefault="00D52CFB" w:rsidP="00AB6F70">
      <w:r>
        <w:br/>
      </w:r>
      <w:r w:rsidR="00FD5052">
        <w:rPr>
          <w:noProof/>
        </w:rPr>
        <w:drawing>
          <wp:inline distT="0" distB="0" distL="0" distR="0" wp14:anchorId="7D11D82E" wp14:editId="309F6981">
            <wp:extent cx="6858000" cy="1539240"/>
            <wp:effectExtent l="0" t="0" r="0" b="3810"/>
            <wp:docPr id="2" name="Picture 2" descr="Banner with the title Minnesota Manufactiring Business Cpnditions Survey. Contact name is Eric Lightner. Telefone Number 651-259-7149." title="MInnesota Manufacturers Business Condition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38F97" w14:textId="57DDF456" w:rsidR="008B388C" w:rsidRPr="00D60273" w:rsidRDefault="001873F4" w:rsidP="00E55E81">
      <w:pPr>
        <w:pStyle w:val="Heading1"/>
        <w:jc w:val="center"/>
        <w:rPr>
          <w:b/>
          <w:sz w:val="28"/>
          <w:szCs w:val="28"/>
        </w:rPr>
        <w:sectPr w:rsidR="008B388C" w:rsidRPr="00D60273" w:rsidSect="0070375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8"/>
          <w:szCs w:val="28"/>
        </w:rPr>
        <w:t>Manufact</w:t>
      </w:r>
      <w:r w:rsidR="00A7507C">
        <w:rPr>
          <w:b/>
          <w:sz w:val="28"/>
          <w:szCs w:val="28"/>
        </w:rPr>
        <w:t xml:space="preserve">urers </w:t>
      </w:r>
      <w:r w:rsidR="000017A0">
        <w:rPr>
          <w:b/>
          <w:sz w:val="28"/>
          <w:szCs w:val="28"/>
        </w:rPr>
        <w:t>See Recovery Despite Challenges in 2022</w:t>
      </w:r>
      <w:r w:rsidR="00180F16">
        <w:rPr>
          <w:b/>
          <w:sz w:val="28"/>
          <w:szCs w:val="28"/>
        </w:rPr>
        <w:br/>
      </w:r>
    </w:p>
    <w:p w14:paraId="4118757D" w14:textId="0A071922" w:rsidR="00266F95" w:rsidRPr="007C1A84" w:rsidRDefault="00266F95" w:rsidP="00266F95">
      <w:pPr>
        <w:spacing w:after="0" w:line="240" w:lineRule="auto"/>
      </w:pPr>
      <w:r w:rsidRPr="007C1A84">
        <w:t>A random sample survey of Minnesota manufacturers</w:t>
      </w:r>
      <w:r>
        <w:t xml:space="preserve"> conducted from </w:t>
      </w:r>
      <w:r w:rsidRPr="007C1A84">
        <w:t>November</w:t>
      </w:r>
      <w:r>
        <w:t xml:space="preserve"> 202</w:t>
      </w:r>
      <w:r w:rsidR="001E5A34">
        <w:t>1</w:t>
      </w:r>
      <w:r>
        <w:t>-January 202</w:t>
      </w:r>
      <w:r w:rsidR="001E5A34">
        <w:t>2</w:t>
      </w:r>
      <w:r w:rsidRPr="007C1A84">
        <w:t xml:space="preserve"> by the Minnesota Department of Employment and Economic Development and the Federal Reserve Bank of Minneapolis reports that Minnesota manufac</w:t>
      </w:r>
      <w:r>
        <w:t xml:space="preserve">turers </w:t>
      </w:r>
      <w:r w:rsidR="001E5A34">
        <w:t>expect recovery in 2022</w:t>
      </w:r>
      <w:r>
        <w:t xml:space="preserve">. </w:t>
      </w:r>
      <w:r w:rsidR="00CD106C">
        <w:t>Fifty-s</w:t>
      </w:r>
      <w:r w:rsidR="001E5A34">
        <w:t>ix</w:t>
      </w:r>
      <w:r w:rsidR="00DB159E">
        <w:t xml:space="preserve"> percent expect</w:t>
      </w:r>
      <w:r w:rsidR="00CD106C">
        <w:t xml:space="preserve"> </w:t>
      </w:r>
      <w:r w:rsidR="001E5A34">
        <w:t xml:space="preserve">an increase in the number of orders and production level, </w:t>
      </w:r>
      <w:r w:rsidR="00CD106C">
        <w:t>while 5</w:t>
      </w:r>
      <w:r w:rsidR="001E5A34">
        <w:t>0</w:t>
      </w:r>
      <w:r w:rsidR="002D20C8">
        <w:t>%</w:t>
      </w:r>
      <w:r w:rsidRPr="00B57965">
        <w:t xml:space="preserve"> </w:t>
      </w:r>
      <w:r w:rsidR="00DB159E">
        <w:t>a</w:t>
      </w:r>
      <w:r w:rsidR="001E5A34">
        <w:t>nticipate employment growth</w:t>
      </w:r>
      <w:r w:rsidR="00C927EB">
        <w:t>.</w:t>
      </w:r>
    </w:p>
    <w:p w14:paraId="626009E2" w14:textId="77777777" w:rsidR="00C067E2" w:rsidRPr="00B42CDA" w:rsidRDefault="00C067E2" w:rsidP="00C067E2">
      <w:pPr>
        <w:spacing w:after="0" w:line="240" w:lineRule="auto"/>
      </w:pPr>
    </w:p>
    <w:p w14:paraId="19681C43" w14:textId="32E78C1B" w:rsidR="00CF304A" w:rsidRDefault="003F62BE" w:rsidP="003F62BE">
      <w:pPr>
        <w:spacing w:after="0" w:line="240" w:lineRule="auto"/>
        <w:rPr>
          <w:noProof/>
          <w:color w:val="C00000"/>
        </w:rPr>
      </w:pPr>
      <w:r>
        <w:br/>
      </w:r>
      <w:r w:rsidR="001873F4">
        <w:rPr>
          <w:rStyle w:val="Heading2Char"/>
          <w:b/>
        </w:rPr>
        <w:t>The Manufacturing Industry in 202</w:t>
      </w:r>
      <w:r w:rsidR="001E5A34">
        <w:rPr>
          <w:rStyle w:val="Heading2Char"/>
          <w:b/>
        </w:rPr>
        <w:t>1</w:t>
      </w:r>
      <w:r w:rsidR="00855892" w:rsidRPr="003F62BE">
        <w:rPr>
          <w:rStyle w:val="Heading2Char"/>
        </w:rPr>
        <w:br/>
      </w:r>
      <w:r w:rsidR="00937AC5">
        <w:t>Compared to 2020, m</w:t>
      </w:r>
      <w:r w:rsidR="004B46A0">
        <w:t>ost economic indicators</w:t>
      </w:r>
      <w:r w:rsidR="000715D1" w:rsidRPr="00B42CDA">
        <w:t xml:space="preserve"> </w:t>
      </w:r>
      <w:r w:rsidR="004B46A0">
        <w:t>showed</w:t>
      </w:r>
      <w:r w:rsidR="00F0687F">
        <w:t xml:space="preserve"> recovery</w:t>
      </w:r>
      <w:r w:rsidR="001873F4">
        <w:t xml:space="preserve"> </w:t>
      </w:r>
      <w:r w:rsidR="00937AC5">
        <w:t>except for</w:t>
      </w:r>
      <w:r w:rsidR="004B46A0">
        <w:t xml:space="preserve"> profits</w:t>
      </w:r>
      <w:r w:rsidR="006449F7" w:rsidRPr="0051195F">
        <w:t xml:space="preserve">. </w:t>
      </w:r>
      <w:r w:rsidR="001873F4">
        <w:t>Sixty</w:t>
      </w:r>
      <w:r w:rsidR="00F0687F">
        <w:t>-three</w:t>
      </w:r>
      <w:r w:rsidR="00413D79" w:rsidRPr="0051195F">
        <w:t xml:space="preserve"> </w:t>
      </w:r>
      <w:r w:rsidR="00C927EB">
        <w:t xml:space="preserve">percent </w:t>
      </w:r>
      <w:r w:rsidR="006B6F5E">
        <w:t xml:space="preserve">of respondents </w:t>
      </w:r>
      <w:r w:rsidR="00413D79" w:rsidRPr="00B42CDA">
        <w:t>indica</w:t>
      </w:r>
      <w:r w:rsidR="001873F4">
        <w:t>ted a</w:t>
      </w:r>
      <w:r w:rsidR="00F0687F">
        <w:t>n increase in the number of orders</w:t>
      </w:r>
      <w:r w:rsidR="00413D79" w:rsidRPr="00B42CDA">
        <w:t xml:space="preserve"> and </w:t>
      </w:r>
      <w:r w:rsidR="001873F4">
        <w:t>5</w:t>
      </w:r>
      <w:r w:rsidR="00F0687F">
        <w:t>3</w:t>
      </w:r>
      <w:r w:rsidR="0051195F">
        <w:t>%</w:t>
      </w:r>
      <w:r w:rsidR="0063644F" w:rsidRPr="00B42CDA">
        <w:t xml:space="preserve"> exper</w:t>
      </w:r>
      <w:r w:rsidR="001873F4">
        <w:t xml:space="preserve">ienced </w:t>
      </w:r>
      <w:r w:rsidR="00F0687F">
        <w:t>production level growth</w:t>
      </w:r>
      <w:r w:rsidR="001873F4">
        <w:t xml:space="preserve">. Additionally, </w:t>
      </w:r>
      <w:r w:rsidR="00F0687F">
        <w:t>38</w:t>
      </w:r>
      <w:r w:rsidR="0051195F">
        <w:t>%</w:t>
      </w:r>
      <w:r w:rsidR="00245A31" w:rsidRPr="00B42CDA">
        <w:t xml:space="preserve"> rep</w:t>
      </w:r>
      <w:r w:rsidR="001873F4">
        <w:t xml:space="preserve">orted </w:t>
      </w:r>
      <w:r w:rsidR="00F0687F">
        <w:t>increased productivity</w:t>
      </w:r>
      <w:r w:rsidR="0063644F">
        <w:t xml:space="preserve">. </w:t>
      </w:r>
      <w:r w:rsidR="00937AC5">
        <w:t>Thirty-six percent indicated increased level</w:t>
      </w:r>
      <w:r w:rsidR="007178EA">
        <w:t>s</w:t>
      </w:r>
      <w:r w:rsidR="00937AC5">
        <w:t xml:space="preserve"> of employment, the same </w:t>
      </w:r>
      <w:r w:rsidR="007178EA">
        <w:t>percentage</w:t>
      </w:r>
      <w:r w:rsidR="00937AC5">
        <w:t xml:space="preserve"> that experience</w:t>
      </w:r>
      <w:r w:rsidR="007178EA">
        <w:t>d no change</w:t>
      </w:r>
      <w:r w:rsidR="004B46A0">
        <w:t xml:space="preserve">. Nonetheless, </w:t>
      </w:r>
      <w:r w:rsidR="00F0687F">
        <w:t>3</w:t>
      </w:r>
      <w:r w:rsidR="00144626">
        <w:t>7</w:t>
      </w:r>
      <w:r w:rsidR="00F0687F">
        <w:t xml:space="preserve">% </w:t>
      </w:r>
      <w:r w:rsidR="00C927EB">
        <w:t xml:space="preserve">of respondents </w:t>
      </w:r>
      <w:r w:rsidR="004B46A0">
        <w:t xml:space="preserve">reported </w:t>
      </w:r>
      <w:r w:rsidR="00144626">
        <w:t xml:space="preserve">a decline in profits.  </w:t>
      </w:r>
      <w:r w:rsidR="004B46A0">
        <w:t>M</w:t>
      </w:r>
      <w:r w:rsidR="00144626">
        <w:t xml:space="preserve">ost </w:t>
      </w:r>
      <w:r w:rsidR="004E12F2" w:rsidRPr="00B42CDA">
        <w:t>diffusion indices</w:t>
      </w:r>
      <w:r w:rsidR="004B46A0">
        <w:t xml:space="preserve"> </w:t>
      </w:r>
      <w:r w:rsidR="00AB54BD" w:rsidRPr="00B42CDA">
        <w:t xml:space="preserve">were </w:t>
      </w:r>
      <w:r w:rsidR="00144626">
        <w:t>above</w:t>
      </w:r>
      <w:r w:rsidR="00AB54BD" w:rsidRPr="00B42CDA">
        <w:t xml:space="preserve"> </w:t>
      </w:r>
      <w:r w:rsidR="00AB54BD" w:rsidRPr="0051195F">
        <w:t>50</w:t>
      </w:r>
      <w:r w:rsidR="0051195F">
        <w:t>,</w:t>
      </w:r>
      <w:r w:rsidR="00AB54BD" w:rsidRPr="00B42CDA">
        <w:t xml:space="preserve"> indicating </w:t>
      </w:r>
      <w:r w:rsidR="00144626">
        <w:t xml:space="preserve">expansion, </w:t>
      </w:r>
      <w:r w:rsidR="004B46A0">
        <w:t>except for</w:t>
      </w:r>
      <w:r w:rsidR="00144626">
        <w:t xml:space="preserve"> profits that </w:t>
      </w:r>
      <w:r w:rsidR="004B46A0">
        <w:t>reported</w:t>
      </w:r>
      <w:r w:rsidR="00144626">
        <w:t xml:space="preserve"> an index of 49,</w:t>
      </w:r>
      <w:r w:rsidR="004B46A0">
        <w:t xml:space="preserve"> below the threshold of 50,</w:t>
      </w:r>
      <w:r w:rsidR="00144626">
        <w:t xml:space="preserve"> </w:t>
      </w:r>
      <w:r w:rsidR="00A447BD">
        <w:t>suggesting</w:t>
      </w:r>
      <w:r w:rsidR="00144626">
        <w:t xml:space="preserve"> contraction</w:t>
      </w:r>
      <w:r w:rsidR="00AD5C32" w:rsidRPr="00B42CDA">
        <w:t>.</w:t>
      </w:r>
      <w:r w:rsidR="0055748C">
        <w:t xml:space="preserve"> </w:t>
      </w:r>
      <w:r w:rsidR="00CF304A">
        <w:rPr>
          <w:noProof/>
          <w:color w:val="C00000"/>
        </w:rPr>
        <w:br/>
      </w:r>
    </w:p>
    <w:p w14:paraId="4A11052A" w14:textId="77777777" w:rsidR="00AB6F70" w:rsidRDefault="00CF304A" w:rsidP="003F62BE">
      <w:pPr>
        <w:spacing w:after="0" w:line="240" w:lineRule="auto"/>
      </w:pPr>
      <w:r>
        <w:rPr>
          <w:noProof/>
          <w:color w:val="C00000"/>
        </w:rPr>
        <w:drawing>
          <wp:inline distT="0" distB="0" distL="0" distR="0" wp14:anchorId="6E9F3906" wp14:editId="24313C7D">
            <wp:extent cx="3007695" cy="2312449"/>
            <wp:effectExtent l="0" t="0" r="2540" b="0"/>
            <wp:docPr id="1" name="Chart 1" descr="Minnesota manufacturers described contracting conditions in 2020. Sixty percent of respondents indicated a decline in number of orders and 57% experienced a drop in profits. However, fifty-two percent reported unchanged employment level and 67% indicated constant selling prices." title="Economic Performance for Minnesota Manufacturers: 2020 Compared to 20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215A7">
        <w:t xml:space="preserve"> </w:t>
      </w:r>
    </w:p>
    <w:p w14:paraId="110C52DA" w14:textId="4867C2D1" w:rsidR="00085F89" w:rsidRDefault="00A7507C" w:rsidP="00A66699">
      <w:r w:rsidRPr="00FF5EB2">
        <w:rPr>
          <w:rStyle w:val="Heading2Char"/>
          <w:b/>
        </w:rPr>
        <w:t>Outlook for the Manufacturing Industry</w:t>
      </w:r>
      <w:r w:rsidR="003368D3" w:rsidRPr="00FF5EB2">
        <w:rPr>
          <w:rStyle w:val="Heading2Char"/>
          <w:b/>
        </w:rPr>
        <w:br/>
      </w:r>
      <w:r w:rsidR="00AE2D5B">
        <w:t>Minnesota manufacturers</w:t>
      </w:r>
      <w:r w:rsidR="008417ED">
        <w:t xml:space="preserve"> expect</w:t>
      </w:r>
      <w:r w:rsidR="00D50991">
        <w:t xml:space="preserve"> </w:t>
      </w:r>
      <w:r w:rsidR="00663DCC">
        <w:t>mostly</w:t>
      </w:r>
      <w:r w:rsidR="00D50991">
        <w:t xml:space="preserve"> </w:t>
      </w:r>
      <w:r w:rsidR="008417ED">
        <w:t>growth</w:t>
      </w:r>
      <w:r w:rsidR="00A447BD">
        <w:t xml:space="preserve"> for</w:t>
      </w:r>
      <w:r w:rsidR="00AE2D5B">
        <w:t xml:space="preserve"> 202</w:t>
      </w:r>
      <w:r w:rsidR="00A447BD">
        <w:t>2</w:t>
      </w:r>
      <w:r w:rsidR="00093843" w:rsidRPr="00B42CDA">
        <w:t xml:space="preserve">. </w:t>
      </w:r>
      <w:r w:rsidR="00E91C23">
        <w:t>Fifty-s</w:t>
      </w:r>
      <w:r w:rsidR="002E0F6D">
        <w:t>ix</w:t>
      </w:r>
      <w:r w:rsidR="005D05C5" w:rsidRPr="00B42CDA">
        <w:t xml:space="preserve"> </w:t>
      </w:r>
      <w:r w:rsidR="005D05C5" w:rsidRPr="0051195F">
        <w:t>percent</w:t>
      </w:r>
      <w:r w:rsidR="005D05C5" w:rsidRPr="00B42CDA">
        <w:t xml:space="preserve"> an</w:t>
      </w:r>
      <w:r w:rsidR="00C633BF" w:rsidRPr="00B42CDA">
        <w:t>ticipate</w:t>
      </w:r>
      <w:r w:rsidR="002E0F6D">
        <w:t xml:space="preserve"> increase in the number of orders, the same percentage that expect </w:t>
      </w:r>
      <w:r w:rsidR="00663DCC">
        <w:t>expansion</w:t>
      </w:r>
      <w:r w:rsidR="002E0F6D">
        <w:t xml:space="preserve"> in production levels. </w:t>
      </w:r>
      <w:r w:rsidR="007F04CE">
        <w:t xml:space="preserve">Fifty percent </w:t>
      </w:r>
      <w:r w:rsidR="00663DCC">
        <w:t>predict an</w:t>
      </w:r>
      <w:r w:rsidR="007F04CE">
        <w:t xml:space="preserve"> increase in employment levels while 40%</w:t>
      </w:r>
      <w:r w:rsidR="002E0F6D">
        <w:t xml:space="preserve"> </w:t>
      </w:r>
      <w:r w:rsidR="007F04CE">
        <w:t>expect</w:t>
      </w:r>
      <w:r w:rsidR="002E0F6D">
        <w:t xml:space="preserve"> an increase in profits</w:t>
      </w:r>
      <w:r w:rsidR="00E91C23">
        <w:t xml:space="preserve">. </w:t>
      </w:r>
      <w:r w:rsidR="008A3741">
        <w:t>Half of respondents</w:t>
      </w:r>
      <w:r w:rsidR="00E91C23">
        <w:t xml:space="preserve"> </w:t>
      </w:r>
      <w:r w:rsidR="002C0DF7">
        <w:t>predict</w:t>
      </w:r>
      <w:r w:rsidR="00E91C23">
        <w:t xml:space="preserve"> no changes in </w:t>
      </w:r>
      <w:r w:rsidR="00085F89">
        <w:t xml:space="preserve">investment, while </w:t>
      </w:r>
      <w:r w:rsidR="00D50991">
        <w:t xml:space="preserve">nearly </w:t>
      </w:r>
      <w:r w:rsidR="00085F89">
        <w:t xml:space="preserve">40% </w:t>
      </w:r>
      <w:r w:rsidR="008A3741">
        <w:t>anticipate</w:t>
      </w:r>
      <w:r w:rsidR="00085F89">
        <w:t xml:space="preserve"> growth</w:t>
      </w:r>
      <w:r w:rsidR="008A3741">
        <w:t xml:space="preserve">. </w:t>
      </w:r>
      <w:r w:rsidR="00F15348">
        <w:t>M</w:t>
      </w:r>
      <w:r w:rsidR="008A3741">
        <w:t>ore than 50</w:t>
      </w:r>
      <w:r w:rsidR="002D0924">
        <w:t>%</w:t>
      </w:r>
      <w:r w:rsidR="008A3741">
        <w:t xml:space="preserve"> </w:t>
      </w:r>
      <w:r w:rsidR="007F04CE">
        <w:t>expect</w:t>
      </w:r>
      <w:r w:rsidR="008A3741">
        <w:t xml:space="preserve"> wages to increase between 3-5%</w:t>
      </w:r>
      <w:r w:rsidR="002D0924">
        <w:t>. Rises in wages and benefits might</w:t>
      </w:r>
      <w:r w:rsidR="005D072B">
        <w:t xml:space="preserve"> suggest </w:t>
      </w:r>
      <w:r w:rsidR="002D0924">
        <w:t>and attempt</w:t>
      </w:r>
      <w:r w:rsidR="005D072B">
        <w:t xml:space="preserve"> </w:t>
      </w:r>
      <w:r w:rsidR="002D0924">
        <w:t xml:space="preserve">to </w:t>
      </w:r>
      <w:r w:rsidR="005D072B">
        <w:t>attract and retain talent</w:t>
      </w:r>
      <w:r w:rsidR="002D0924">
        <w:t xml:space="preserve"> by manufacturers</w:t>
      </w:r>
      <w:r w:rsidR="005D072B">
        <w:t>.</w:t>
      </w:r>
      <w:r w:rsidR="002D0924">
        <w:t xml:space="preserve"> </w:t>
      </w:r>
    </w:p>
    <w:p w14:paraId="3C0F6910" w14:textId="77777777" w:rsidR="00CB586B" w:rsidRPr="00CE3E64" w:rsidRDefault="00CB586B" w:rsidP="00A66699">
      <w:pPr>
        <w:rPr>
          <w:rStyle w:val="Heading2Char"/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noProof/>
          <w:color w:val="C00000"/>
        </w:rPr>
        <w:drawing>
          <wp:inline distT="0" distB="0" distL="0" distR="0" wp14:anchorId="6F19E846" wp14:editId="4727CCBE">
            <wp:extent cx="2924568" cy="1964318"/>
            <wp:effectExtent l="0" t="0" r="0" b="0"/>
            <wp:docPr id="5" name="Chart 5" descr="Outlook on Manufacturing Economic Performance, 2022 Compare to 2021&#10;&#10;Fifty-six percent anticipate increase in the number of orders, the same percentage that expect expansion in production levels. Fifty percent predict an increase in employment levels while 40% expect an increase in profits. Half of respondents predict no changes in investment, while nearly 40% anticipate growth. More than 50% of respondents expect wages to increase between 3-5%.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55202D8" w14:textId="6A44AD26" w:rsidR="00F15348" w:rsidRDefault="00A66699" w:rsidP="00F15348">
      <w:r w:rsidRPr="00D60273">
        <w:rPr>
          <w:rStyle w:val="Heading2Char"/>
          <w:b/>
        </w:rPr>
        <w:t>Outlook on the State Economy</w:t>
      </w:r>
      <w:r w:rsidR="00E7356E" w:rsidRPr="00D60273">
        <w:rPr>
          <w:rStyle w:val="Heading2Char"/>
          <w:b/>
        </w:rPr>
        <w:br/>
      </w:r>
      <w:r w:rsidRPr="00B42CDA">
        <w:t>M</w:t>
      </w:r>
      <w:r w:rsidR="00795376">
        <w:t>anufacture</w:t>
      </w:r>
      <w:r w:rsidR="000547A3">
        <w:t xml:space="preserve">rs </w:t>
      </w:r>
      <w:r w:rsidR="00A66C22">
        <w:t>expect mostly unchanged conditions for the economy</w:t>
      </w:r>
      <w:r w:rsidR="00D50991">
        <w:t xml:space="preserve"> with few exceptions</w:t>
      </w:r>
      <w:r w:rsidR="00A66C22">
        <w:t xml:space="preserve">. </w:t>
      </w:r>
      <w:r w:rsidR="00795376">
        <w:t>Forty-</w:t>
      </w:r>
      <w:r w:rsidR="00A66C22">
        <w:t>seven</w:t>
      </w:r>
      <w:r w:rsidR="000B7992" w:rsidRPr="00B42CDA">
        <w:t xml:space="preserve"> </w:t>
      </w:r>
      <w:r w:rsidR="000B7992" w:rsidRPr="0093302A">
        <w:t xml:space="preserve">percent </w:t>
      </w:r>
      <w:r w:rsidR="00A66C22">
        <w:t xml:space="preserve">anticipate </w:t>
      </w:r>
      <w:r w:rsidR="00795376">
        <w:t xml:space="preserve">unchanged </w:t>
      </w:r>
      <w:r w:rsidR="00A66C22">
        <w:t>business investment</w:t>
      </w:r>
      <w:r w:rsidR="002D20C8">
        <w:t>,</w:t>
      </w:r>
      <w:r w:rsidR="00141598">
        <w:t xml:space="preserve"> </w:t>
      </w:r>
      <w:r w:rsidR="00795376">
        <w:t>while 4</w:t>
      </w:r>
      <w:r w:rsidR="00A66C22">
        <w:t>5</w:t>
      </w:r>
      <w:r w:rsidR="00795376">
        <w:t xml:space="preserve">% anticipate constant </w:t>
      </w:r>
      <w:r w:rsidR="00A66C22">
        <w:t>consumer spending</w:t>
      </w:r>
      <w:r w:rsidR="00795376">
        <w:t xml:space="preserve">. </w:t>
      </w:r>
      <w:r w:rsidR="00444F06">
        <w:t>Thirty-</w:t>
      </w:r>
      <w:r w:rsidR="00A66C22">
        <w:t>nine</w:t>
      </w:r>
      <w:r w:rsidR="00444F06">
        <w:t xml:space="preserve"> percent</w:t>
      </w:r>
      <w:r w:rsidR="00141598">
        <w:t xml:space="preserve"> expect </w:t>
      </w:r>
      <w:r w:rsidR="00645D18">
        <w:t>no change in economic growth</w:t>
      </w:r>
      <w:r w:rsidR="00C02858">
        <w:t>.</w:t>
      </w:r>
      <w:r w:rsidR="000C0B66">
        <w:t xml:space="preserve"> </w:t>
      </w:r>
      <w:r w:rsidR="009F1D58">
        <w:t xml:space="preserve">Manufacturers are optimistic about employment with </w:t>
      </w:r>
      <w:r w:rsidR="000C0B66">
        <w:t>4</w:t>
      </w:r>
      <w:r w:rsidR="00C02858">
        <w:t>5% anticipat</w:t>
      </w:r>
      <w:r w:rsidR="009F1D58">
        <w:t>ing growth</w:t>
      </w:r>
      <w:r w:rsidR="00663DCC">
        <w:t xml:space="preserve">. </w:t>
      </w:r>
      <w:r w:rsidR="00492659">
        <w:t xml:space="preserve"> </w:t>
      </w:r>
      <w:r w:rsidR="009F1D58">
        <w:t xml:space="preserve">However, </w:t>
      </w:r>
      <w:r w:rsidR="00C02858">
        <w:t xml:space="preserve">91% </w:t>
      </w:r>
      <w:r w:rsidR="009F1D58">
        <w:t xml:space="preserve">expect </w:t>
      </w:r>
      <w:r w:rsidR="00C02858">
        <w:t>an increase in inflation</w:t>
      </w:r>
      <w:r w:rsidR="00492659">
        <w:t xml:space="preserve"> and 40% a decline in profits. </w:t>
      </w:r>
      <w:r w:rsidR="00795376" w:rsidRPr="00141598">
        <w:t>The diffusion index for profits</w:t>
      </w:r>
      <w:r w:rsidR="00645D18">
        <w:t xml:space="preserve"> (43) is</w:t>
      </w:r>
      <w:r w:rsidR="00795376" w:rsidRPr="00141598">
        <w:t xml:space="preserve"> below 50 suggesting contraction</w:t>
      </w:r>
      <w:r w:rsidR="002E60AC" w:rsidRPr="00141598">
        <w:t xml:space="preserve">. </w:t>
      </w:r>
      <w:r w:rsidR="00645D18">
        <w:t xml:space="preserve">It is the lowest among diffusion indexes for the economy outlook. </w:t>
      </w:r>
      <w:r w:rsidR="002C0DF7">
        <w:rPr>
          <w:rFonts w:eastAsiaTheme="majorEastAsia" w:cstheme="majorBidi"/>
        </w:rPr>
        <w:br/>
      </w:r>
      <w:r w:rsidR="00F15348">
        <w:lastRenderedPageBreak/>
        <w:t xml:space="preserve">A new question this year inquired about sources of supply chain disruptions for manufacturers. </w:t>
      </w:r>
    </w:p>
    <w:p w14:paraId="1A95B09E" w14:textId="61C68C40" w:rsidR="00F15348" w:rsidRDefault="00F15348" w:rsidP="00F15348">
      <w:pPr>
        <w:rPr>
          <w:rFonts w:eastAsiaTheme="majorEastAsia" w:cstheme="majorBidi"/>
        </w:rPr>
      </w:pPr>
      <w:r>
        <w:t xml:space="preserve">Most </w:t>
      </w:r>
      <w:r w:rsidR="00364C1F">
        <w:t xml:space="preserve">manufacturers </w:t>
      </w:r>
      <w:r>
        <w:t>expressed they were affected by supply chain problems</w:t>
      </w:r>
      <w:r w:rsidR="00492659">
        <w:t xml:space="preserve"> in </w:t>
      </w:r>
      <w:r w:rsidR="000C4230">
        <w:t>different</w:t>
      </w:r>
      <w:r w:rsidR="00492659">
        <w:t xml:space="preserve"> ways</w:t>
      </w:r>
      <w:r>
        <w:t xml:space="preserve">, ranging from </w:t>
      </w:r>
      <w:r>
        <w:t>raw materials availability (88%) to software malfunctions (7%). Only 2% indicated they did not experience any supply chain issues.</w:t>
      </w:r>
      <w:r w:rsidR="002C0DF7">
        <w:rPr>
          <w:rFonts w:eastAsiaTheme="majorEastAsia" w:cstheme="majorBidi"/>
        </w:rPr>
        <w:t xml:space="preserve">     </w:t>
      </w:r>
      <w:r w:rsidR="00236C0B">
        <w:rPr>
          <w:rFonts w:eastAsiaTheme="majorEastAsia" w:cstheme="majorBidi"/>
        </w:rPr>
        <w:t xml:space="preserve">  </w:t>
      </w:r>
    </w:p>
    <w:p w14:paraId="764C2D77" w14:textId="77777777" w:rsidR="00236C0B" w:rsidRDefault="00236C0B" w:rsidP="00F15348">
      <w:pPr>
        <w:rPr>
          <w:rFonts w:eastAsiaTheme="majorEastAsia" w:cstheme="majorBidi"/>
        </w:rPr>
      </w:pPr>
    </w:p>
    <w:p w14:paraId="67B84B1C" w14:textId="0D5B0D51" w:rsidR="00236C0B" w:rsidRPr="002C0DF7" w:rsidRDefault="00236C0B" w:rsidP="00F15348">
      <w:pPr>
        <w:rPr>
          <w:rFonts w:eastAsiaTheme="majorEastAsia" w:cstheme="majorBidi"/>
        </w:rPr>
        <w:sectPr w:rsidR="00236C0B" w:rsidRPr="002C0DF7" w:rsidSect="009B07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95E6C60" w14:textId="77777777" w:rsidR="00F069A3" w:rsidRPr="00D60273" w:rsidRDefault="00F069A3" w:rsidP="00F069A3">
      <w:pPr>
        <w:pStyle w:val="Title"/>
        <w:rPr>
          <w:b/>
          <w:color w:val="2E74B5" w:themeColor="accent1" w:themeShade="BF"/>
          <w:sz w:val="22"/>
          <w:szCs w:val="22"/>
        </w:rPr>
      </w:pPr>
      <w:r>
        <w:rPr>
          <w:b/>
          <w:color w:val="2E74B5" w:themeColor="accent1" w:themeShade="BF"/>
          <w:sz w:val="22"/>
          <w:szCs w:val="22"/>
        </w:rPr>
        <w:t xml:space="preserve">Minnesota 2021 Manufacturing Business </w:t>
      </w:r>
      <w:r w:rsidRPr="00D60273">
        <w:rPr>
          <w:b/>
          <w:color w:val="2E74B5" w:themeColor="accent1" w:themeShade="BF"/>
          <w:sz w:val="22"/>
          <w:szCs w:val="22"/>
        </w:rPr>
        <w:t>Condition Survey Results</w:t>
      </w:r>
      <w:r w:rsidRPr="00D60273">
        <w:rPr>
          <w:b/>
          <w:color w:val="2E74B5" w:themeColor="accent1" w:themeShade="BF"/>
          <w:sz w:val="22"/>
          <w:szCs w:val="22"/>
          <w:vertAlign w:val="superscript"/>
        </w:rPr>
        <w:t>1</w:t>
      </w:r>
    </w:p>
    <w:p w14:paraId="625CC051" w14:textId="77777777" w:rsidR="00F069A3" w:rsidRDefault="00F069A3" w:rsidP="00797604">
      <w:pPr>
        <w:pStyle w:val="Title"/>
        <w:spacing w:line="120" w:lineRule="auto"/>
        <w:rPr>
          <w:b/>
          <w:color w:val="2E74B5" w:themeColor="accent1" w:themeShade="BF"/>
          <w:sz w:val="22"/>
          <w:szCs w:val="22"/>
        </w:rPr>
      </w:pPr>
    </w:p>
    <w:tbl>
      <w:tblPr>
        <w:tblStyle w:val="PlainTable5"/>
        <w:tblW w:w="10790" w:type="dxa"/>
        <w:jc w:val="center"/>
        <w:tblLook w:val="0620" w:firstRow="1" w:lastRow="0" w:firstColumn="0" w:lastColumn="0" w:noHBand="1" w:noVBand="1"/>
        <w:tblCaption w:val="Business Comparison Indicators: 2014-2015"/>
        <w:tblDescription w:val="Table coparing business indicators between 2014 and 2015."/>
      </w:tblPr>
      <w:tblGrid>
        <w:gridCol w:w="3367"/>
        <w:gridCol w:w="665"/>
        <w:gridCol w:w="1541"/>
        <w:gridCol w:w="1172"/>
        <w:gridCol w:w="1170"/>
        <w:gridCol w:w="1260"/>
        <w:gridCol w:w="1615"/>
      </w:tblGrid>
      <w:tr w:rsidR="00A45FA5" w:rsidRPr="00623BC4" w14:paraId="35654438" w14:textId="77777777" w:rsidTr="003B2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5B9BD5" w:themeColor="accent1"/>
            </w:tcBorders>
            <w:shd w:val="clear" w:color="auto" w:fill="BDD6EE" w:themeFill="accent1" w:themeFillTint="66"/>
            <w:noWrap/>
            <w:hideMark/>
          </w:tcPr>
          <w:p w14:paraId="68F7DDE2" w14:textId="6C48E93B" w:rsidR="00A45FA5" w:rsidRPr="000A28AD" w:rsidRDefault="00A45FA5" w:rsidP="00AF53F7">
            <w:pP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Compared to 2020, in 2021, your location’s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665" w:type="dxa"/>
            <w:tcBorders>
              <w:top w:val="single" w:sz="4" w:space="0" w:color="44546A" w:themeColor="text2"/>
              <w:bottom w:val="single" w:sz="4" w:space="0" w:color="5B9BD5" w:themeColor="accent1"/>
            </w:tcBorders>
            <w:shd w:val="clear" w:color="auto" w:fill="BDD6EE" w:themeFill="accent1" w:themeFillTint="66"/>
            <w:noWrap/>
            <w:hideMark/>
          </w:tcPr>
          <w:p w14:paraId="08080A89" w14:textId="77777777" w:rsidR="00A45FA5" w:rsidRPr="000A28AD" w:rsidRDefault="00A45FA5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541" w:type="dxa"/>
            <w:tcBorders>
              <w:top w:val="single" w:sz="4" w:space="0" w:color="44546A" w:themeColor="text2"/>
              <w:bottom w:val="single" w:sz="4" w:space="0" w:color="5B9BD5" w:themeColor="accent1"/>
            </w:tcBorders>
            <w:shd w:val="clear" w:color="auto" w:fill="BDD6EE" w:themeFill="accent1" w:themeFillTint="66"/>
            <w:noWrap/>
            <w:hideMark/>
          </w:tcPr>
          <w:p w14:paraId="3788DEAB" w14:textId="77777777" w:rsidR="00A45FA5" w:rsidRPr="000A28AD" w:rsidRDefault="00A45FA5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172" w:type="dxa"/>
            <w:tcBorders>
              <w:top w:val="single" w:sz="4" w:space="0" w:color="44546A" w:themeColor="text2"/>
              <w:bottom w:val="single" w:sz="4" w:space="0" w:color="5B9BD5" w:themeColor="accent1"/>
            </w:tcBorders>
            <w:shd w:val="clear" w:color="auto" w:fill="BDD6EE" w:themeFill="accent1" w:themeFillTint="66"/>
            <w:noWrap/>
            <w:hideMark/>
          </w:tcPr>
          <w:p w14:paraId="18D3291B" w14:textId="77777777" w:rsidR="00A45FA5" w:rsidRPr="000A28AD" w:rsidRDefault="00A45FA5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170" w:type="dxa"/>
            <w:tcBorders>
              <w:top w:val="single" w:sz="4" w:space="0" w:color="44546A" w:themeColor="text2"/>
              <w:bottom w:val="single" w:sz="4" w:space="0" w:color="5B9BD5" w:themeColor="accent1"/>
            </w:tcBorders>
            <w:shd w:val="clear" w:color="auto" w:fill="BDD6EE" w:themeFill="accent1" w:themeFillTint="66"/>
          </w:tcPr>
          <w:p w14:paraId="1F81EC8D" w14:textId="14D09AFE" w:rsidR="00A45FA5" w:rsidRPr="00A45FA5" w:rsidRDefault="00A45FA5" w:rsidP="00AF53F7">
            <w:pPr>
              <w:jc w:val="center"/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A45FA5"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Diffusion Index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2021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</w:t>
            </w:r>
          </w:p>
        </w:tc>
        <w:tc>
          <w:tcPr>
            <w:tcW w:w="1260" w:type="dxa"/>
            <w:tcBorders>
              <w:top w:val="single" w:sz="4" w:space="0" w:color="44546A" w:themeColor="text2"/>
              <w:bottom w:val="single" w:sz="4" w:space="0" w:color="5B9BD5" w:themeColor="accent1"/>
            </w:tcBorders>
            <w:shd w:val="clear" w:color="auto" w:fill="BDD6EE" w:themeFill="accent1" w:themeFillTint="66"/>
            <w:noWrap/>
            <w:hideMark/>
          </w:tcPr>
          <w:p w14:paraId="77DCA242" w14:textId="2A20177D" w:rsidR="00A45FA5" w:rsidRPr="000A28AD" w:rsidRDefault="00A45FA5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Diffusion Index 20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20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615" w:type="dxa"/>
            <w:tcBorders>
              <w:top w:val="single" w:sz="4" w:space="0" w:color="44546A" w:themeColor="text2"/>
              <w:bottom w:val="single" w:sz="4" w:space="0" w:color="5B9BD5" w:themeColor="accent1"/>
              <w:right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6649B9AE" w14:textId="10FA8E86" w:rsidR="00A45FA5" w:rsidRPr="000A28AD" w:rsidRDefault="00A45FA5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Diffusion Index 201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9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(2)</w:t>
            </w:r>
          </w:p>
        </w:tc>
      </w:tr>
      <w:tr w:rsidR="00A45FA5" w:rsidRPr="00C2294E" w14:paraId="7E9AFCD6" w14:textId="77777777" w:rsidTr="003B2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top w:val="single" w:sz="4" w:space="0" w:color="5B9BD5" w:themeColor="accent1"/>
              <w:left w:val="single" w:sz="4" w:space="0" w:color="44546A" w:themeColor="text2"/>
              <w:bottom w:val="none" w:sz="0" w:space="0" w:color="auto"/>
            </w:tcBorders>
            <w:noWrap/>
            <w:hideMark/>
          </w:tcPr>
          <w:p w14:paraId="08F6E36D" w14:textId="77777777" w:rsidR="00A45FA5" w:rsidRPr="000A28AD" w:rsidRDefault="00A45FA5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Number of orders</w:t>
            </w:r>
          </w:p>
        </w:tc>
        <w:tc>
          <w:tcPr>
            <w:tcW w:w="665" w:type="dxa"/>
            <w:tcBorders>
              <w:top w:val="single" w:sz="4" w:space="0" w:color="5B9BD5" w:themeColor="accent1"/>
              <w:bottom w:val="none" w:sz="0" w:space="0" w:color="auto"/>
            </w:tcBorders>
            <w:noWrap/>
            <w:hideMark/>
          </w:tcPr>
          <w:p w14:paraId="027F803A" w14:textId="7360A77E" w:rsidR="00A45FA5" w:rsidRPr="005E3C4C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63</w:t>
            </w:r>
            <w:r w:rsidR="00A45FA5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top w:val="single" w:sz="4" w:space="0" w:color="5B9BD5" w:themeColor="accent1"/>
              <w:bottom w:val="none" w:sz="0" w:space="0" w:color="auto"/>
            </w:tcBorders>
            <w:noWrap/>
            <w:hideMark/>
          </w:tcPr>
          <w:p w14:paraId="7066EA50" w14:textId="1BFD7296" w:rsidR="00A45FA5" w:rsidRPr="00CA167D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17</w:t>
            </w:r>
            <w:r w:rsidR="00A45FA5"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top w:val="single" w:sz="4" w:space="0" w:color="5B9BD5" w:themeColor="accent1"/>
              <w:bottom w:val="none" w:sz="0" w:space="0" w:color="auto"/>
            </w:tcBorders>
            <w:noWrap/>
            <w:hideMark/>
          </w:tcPr>
          <w:p w14:paraId="3737F694" w14:textId="12A78489" w:rsidR="00A45FA5" w:rsidRPr="00CA167D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19</w:t>
            </w:r>
            <w:r w:rsidR="00A45FA5"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top w:val="single" w:sz="4" w:space="0" w:color="5B9BD5" w:themeColor="accent1"/>
              <w:bottom w:val="none" w:sz="0" w:space="0" w:color="auto"/>
            </w:tcBorders>
          </w:tcPr>
          <w:p w14:paraId="387B50F3" w14:textId="17C9163A" w:rsidR="00A45FA5" w:rsidRPr="00236C0B" w:rsidRDefault="00236C0B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</w:pPr>
            <w:r w:rsidRPr="00236C0B"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60" w:type="dxa"/>
            <w:tcBorders>
              <w:top w:val="single" w:sz="4" w:space="0" w:color="5B9BD5" w:themeColor="accent1"/>
              <w:bottom w:val="none" w:sz="0" w:space="0" w:color="auto"/>
            </w:tcBorders>
            <w:noWrap/>
            <w:hideMark/>
          </w:tcPr>
          <w:p w14:paraId="78FB4B60" w14:textId="50808381" w:rsidR="00A45FA5" w:rsidRPr="00236C0B" w:rsidRDefault="00236C0B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236C0B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15" w:type="dxa"/>
            <w:tcBorders>
              <w:top w:val="single" w:sz="4" w:space="0" w:color="5B9BD5" w:themeColor="accent1"/>
              <w:bottom w:val="none" w:sz="0" w:space="0" w:color="auto"/>
              <w:right w:val="single" w:sz="4" w:space="0" w:color="44546A" w:themeColor="text2"/>
            </w:tcBorders>
            <w:noWrap/>
            <w:hideMark/>
          </w:tcPr>
          <w:p w14:paraId="5B87AA3E" w14:textId="02B2BBA3" w:rsidR="00A45FA5" w:rsidRPr="00CA167D" w:rsidRDefault="00CA167D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</w:t>
            </w:r>
            <w:r w:rsidR="00A45FA5" w:rsidRPr="00CA167D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</w:t>
            </w:r>
          </w:p>
        </w:tc>
      </w:tr>
      <w:tr w:rsidR="00A45FA5" w:rsidRPr="00C2294E" w14:paraId="12AD5AAC" w14:textId="77777777" w:rsidTr="003B2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left w:val="single" w:sz="4" w:space="0" w:color="44546A" w:themeColor="text2"/>
              <w:bottom w:val="none" w:sz="0" w:space="0" w:color="auto"/>
            </w:tcBorders>
            <w:noWrap/>
            <w:hideMark/>
          </w:tcPr>
          <w:p w14:paraId="1AE2A8A9" w14:textId="77777777" w:rsidR="00A45FA5" w:rsidRPr="000A28AD" w:rsidRDefault="00A45FA5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Product/service production level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046D2C3F" w14:textId="563F0111" w:rsidR="00A45FA5" w:rsidRPr="005E3C4C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53</w:t>
            </w:r>
            <w:r w:rsidR="00A45FA5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6B471FFC" w14:textId="6E60E909" w:rsidR="00A45FA5" w:rsidRPr="00CA167D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21</w:t>
            </w:r>
            <w:r w:rsidR="00A45FA5"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22A3021B" w14:textId="35D2A46D" w:rsidR="00A45FA5" w:rsidRPr="00CA167D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26</w:t>
            </w:r>
            <w:r w:rsidR="00A45FA5"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5E35FCFA" w14:textId="06C1CDC3" w:rsidR="00A45FA5" w:rsidRPr="00236C0B" w:rsidRDefault="00236C0B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</w:pPr>
            <w:r w:rsidRPr="00236C0B"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  <w:hideMark/>
          </w:tcPr>
          <w:p w14:paraId="62948D83" w14:textId="416E3E20" w:rsidR="00A45FA5" w:rsidRPr="00236C0B" w:rsidRDefault="00236C0B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236C0B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15" w:type="dxa"/>
            <w:tcBorders>
              <w:bottom w:val="none" w:sz="0" w:space="0" w:color="auto"/>
              <w:right w:val="single" w:sz="4" w:space="0" w:color="44546A" w:themeColor="text2"/>
            </w:tcBorders>
            <w:noWrap/>
            <w:hideMark/>
          </w:tcPr>
          <w:p w14:paraId="7805D445" w14:textId="33C40BF5" w:rsidR="00A45FA5" w:rsidRPr="00CA167D" w:rsidRDefault="00CA167D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56</w:t>
            </w:r>
          </w:p>
        </w:tc>
      </w:tr>
      <w:tr w:rsidR="00A45FA5" w:rsidRPr="00C2294E" w14:paraId="24FFE7CD" w14:textId="77777777" w:rsidTr="003B2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left w:val="single" w:sz="4" w:space="0" w:color="44546A" w:themeColor="text2"/>
              <w:bottom w:val="none" w:sz="0" w:space="0" w:color="auto"/>
            </w:tcBorders>
            <w:noWrap/>
            <w:hideMark/>
          </w:tcPr>
          <w:p w14:paraId="1F7C38DA" w14:textId="77777777" w:rsidR="00A45FA5" w:rsidRPr="000A28AD" w:rsidRDefault="00A45FA5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Employment level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7B9DB7CB" w14:textId="20D68C33" w:rsidR="00A45FA5" w:rsidRPr="005E3C4C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36</w:t>
            </w:r>
            <w:r w:rsidR="00A45FA5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6CA0D437" w14:textId="099597E2" w:rsidR="00A45FA5" w:rsidRPr="00CA167D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36</w:t>
            </w:r>
            <w:r w:rsidR="00A45FA5"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70FA2A5A" w14:textId="034BC969" w:rsidR="00A45FA5" w:rsidRPr="00CA167D" w:rsidRDefault="00A45FA5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</w:t>
            </w:r>
            <w:r w:rsidR="00236C0B"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8</w:t>
            </w: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4B93D2E0" w14:textId="16992C0A" w:rsidR="00A45FA5" w:rsidRPr="00236C0B" w:rsidRDefault="00236C0B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</w:pPr>
            <w:r w:rsidRPr="00236C0B"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  <w:hideMark/>
          </w:tcPr>
          <w:p w14:paraId="4837BFF2" w14:textId="02B50802" w:rsidR="00A45FA5" w:rsidRPr="00236C0B" w:rsidRDefault="00236C0B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236C0B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15" w:type="dxa"/>
            <w:tcBorders>
              <w:bottom w:val="none" w:sz="0" w:space="0" w:color="auto"/>
              <w:right w:val="single" w:sz="4" w:space="0" w:color="44546A" w:themeColor="text2"/>
            </w:tcBorders>
            <w:noWrap/>
            <w:hideMark/>
          </w:tcPr>
          <w:p w14:paraId="1DCB8D7E" w14:textId="3F0B73AA" w:rsidR="00A45FA5" w:rsidRPr="00CA167D" w:rsidRDefault="00CA167D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51</w:t>
            </w:r>
          </w:p>
        </w:tc>
      </w:tr>
      <w:tr w:rsidR="00A45FA5" w:rsidRPr="00C2294E" w14:paraId="2F760F4E" w14:textId="77777777" w:rsidTr="003B2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left w:val="single" w:sz="4" w:space="0" w:color="44546A" w:themeColor="text2"/>
              <w:bottom w:val="none" w:sz="0" w:space="0" w:color="auto"/>
            </w:tcBorders>
            <w:noWrap/>
            <w:hideMark/>
          </w:tcPr>
          <w:p w14:paraId="086C72D3" w14:textId="77777777" w:rsidR="00A45FA5" w:rsidRPr="000A28AD" w:rsidRDefault="00A45FA5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Investment in plant/equipment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437DC9D7" w14:textId="77777777" w:rsidR="00A45FA5" w:rsidRPr="00CA167D" w:rsidRDefault="00A45FA5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4BB517FE" w14:textId="2693686C" w:rsidR="00A45FA5" w:rsidRPr="00CA167D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46</w:t>
            </w:r>
            <w:r w:rsidR="00A45FA5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7D6651C6" w14:textId="488B8FCA" w:rsidR="00A45FA5" w:rsidRPr="00CA167D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15</w:t>
            </w:r>
            <w:r w:rsidR="00A45FA5"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08C23011" w14:textId="1B5A8141" w:rsidR="00A45FA5" w:rsidRPr="00236C0B" w:rsidRDefault="00236C0B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  <w:hideMark/>
          </w:tcPr>
          <w:p w14:paraId="595C055A" w14:textId="52E78767" w:rsidR="00A45FA5" w:rsidRPr="00236C0B" w:rsidRDefault="00236C0B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4</w:t>
            </w:r>
            <w:r w:rsidR="00A45FA5" w:rsidRPr="00236C0B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5" w:type="dxa"/>
            <w:tcBorders>
              <w:bottom w:val="none" w:sz="0" w:space="0" w:color="auto"/>
              <w:right w:val="single" w:sz="4" w:space="0" w:color="44546A" w:themeColor="text2"/>
            </w:tcBorders>
            <w:noWrap/>
            <w:hideMark/>
          </w:tcPr>
          <w:p w14:paraId="3A46213E" w14:textId="6B1ABC2C" w:rsidR="00A45FA5" w:rsidRPr="00CA167D" w:rsidRDefault="00A45FA5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6</w:t>
            </w:r>
            <w:r w:rsidR="00CA167D" w:rsidRPr="00CA167D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</w:t>
            </w:r>
          </w:p>
        </w:tc>
      </w:tr>
      <w:tr w:rsidR="00A45FA5" w:rsidRPr="00C2294E" w14:paraId="1CAAD292" w14:textId="77777777" w:rsidTr="003B2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left w:val="single" w:sz="4" w:space="0" w:color="44546A" w:themeColor="text2"/>
              <w:bottom w:val="none" w:sz="0" w:space="0" w:color="auto"/>
            </w:tcBorders>
            <w:noWrap/>
            <w:hideMark/>
          </w:tcPr>
          <w:p w14:paraId="5F35FD9F" w14:textId="77777777" w:rsidR="00A45FA5" w:rsidRPr="000A28AD" w:rsidRDefault="00A45FA5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Prices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354FB83F" w14:textId="0F7746C5" w:rsidR="00A45FA5" w:rsidRPr="00CA167D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7</w:t>
            </w:r>
            <w:r w:rsidR="00A45FA5"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4E5C098D" w14:textId="4C94C6ED" w:rsidR="00A45FA5" w:rsidRPr="00CA167D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21</w:t>
            </w:r>
            <w:r w:rsidR="00A45FA5"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3BE736B2" w14:textId="13E97841" w:rsidR="00A45FA5" w:rsidRPr="00CA167D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</w:t>
            </w:r>
            <w:r w:rsidR="00A45FA5"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4078BC46" w14:textId="69A996FD" w:rsidR="00A45FA5" w:rsidRPr="00236C0B" w:rsidRDefault="00236C0B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</w:pPr>
            <w:r w:rsidRPr="00236C0B"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  <w:hideMark/>
          </w:tcPr>
          <w:p w14:paraId="302A27A7" w14:textId="1A96673C" w:rsidR="00A45FA5" w:rsidRPr="00236C0B" w:rsidRDefault="00A45FA5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236C0B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5</w:t>
            </w:r>
            <w:r w:rsidR="00236C0B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5" w:type="dxa"/>
            <w:tcBorders>
              <w:bottom w:val="none" w:sz="0" w:space="0" w:color="auto"/>
              <w:right w:val="single" w:sz="4" w:space="0" w:color="44546A" w:themeColor="text2"/>
            </w:tcBorders>
            <w:noWrap/>
            <w:hideMark/>
          </w:tcPr>
          <w:p w14:paraId="5C3FF51A" w14:textId="6F8C59A3" w:rsidR="00A45FA5" w:rsidRPr="00CA167D" w:rsidRDefault="00A45FA5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6</w:t>
            </w:r>
            <w:r w:rsidR="00CA167D" w:rsidRPr="00CA167D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4</w:t>
            </w:r>
          </w:p>
        </w:tc>
      </w:tr>
      <w:tr w:rsidR="00A45FA5" w:rsidRPr="00C2294E" w14:paraId="45B94BA2" w14:textId="77777777" w:rsidTr="003B2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left w:val="single" w:sz="4" w:space="0" w:color="44546A" w:themeColor="text2"/>
              <w:bottom w:val="none" w:sz="0" w:space="0" w:color="auto"/>
            </w:tcBorders>
            <w:noWrap/>
            <w:hideMark/>
          </w:tcPr>
          <w:p w14:paraId="605CE2A2" w14:textId="77777777" w:rsidR="00A45FA5" w:rsidRPr="000A28AD" w:rsidRDefault="00A45FA5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Profits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666F5883" w14:textId="4E940CA6" w:rsidR="00A45FA5" w:rsidRPr="00CA167D" w:rsidRDefault="00A45FA5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</w:t>
            </w:r>
            <w:r w:rsidR="00236C0B"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</w:t>
            </w: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58A37680" w14:textId="37879253" w:rsidR="00A45FA5" w:rsidRPr="00CA167D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29</w:t>
            </w:r>
            <w:r w:rsidR="00A45FA5"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1205EF55" w14:textId="5057A142" w:rsidR="00A45FA5" w:rsidRPr="00CA167D" w:rsidRDefault="00A45FA5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</w:t>
            </w:r>
            <w:r w:rsidR="00236C0B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7</w:t>
            </w: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6E657799" w14:textId="6D8E7908" w:rsidR="00A45FA5" w:rsidRPr="00D50991" w:rsidRDefault="00236C0B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  <w:highlight w:val="yellow"/>
              </w:rPr>
            </w:pPr>
            <w:r w:rsidRPr="005E3C4C"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  <w:hideMark/>
          </w:tcPr>
          <w:p w14:paraId="08BB59C3" w14:textId="663F2234" w:rsidR="00A45FA5" w:rsidRPr="00D50991" w:rsidRDefault="00236C0B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  <w:highlight w:val="yellow"/>
              </w:rPr>
            </w:pPr>
            <w:r w:rsidRPr="005E3C4C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15" w:type="dxa"/>
            <w:tcBorders>
              <w:bottom w:val="none" w:sz="0" w:space="0" w:color="auto"/>
              <w:right w:val="single" w:sz="4" w:space="0" w:color="44546A" w:themeColor="text2"/>
            </w:tcBorders>
            <w:noWrap/>
            <w:hideMark/>
          </w:tcPr>
          <w:p w14:paraId="166F4511" w14:textId="3C2D4763" w:rsidR="00A45FA5" w:rsidRPr="00D50991" w:rsidRDefault="00CA167D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  <w:highlight w:val="yellow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46</w:t>
            </w:r>
          </w:p>
        </w:tc>
      </w:tr>
      <w:tr w:rsidR="00A45FA5" w:rsidRPr="00C2294E" w14:paraId="4000D0F1" w14:textId="77777777" w:rsidTr="003B2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left w:val="single" w:sz="4" w:space="0" w:color="44546A" w:themeColor="text2"/>
              <w:bottom w:val="none" w:sz="0" w:space="0" w:color="auto"/>
            </w:tcBorders>
            <w:noWrap/>
            <w:hideMark/>
          </w:tcPr>
          <w:p w14:paraId="70975101" w14:textId="77777777" w:rsidR="00A45FA5" w:rsidRPr="000A28AD" w:rsidRDefault="00A45FA5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Productivity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780B7451" w14:textId="10841CBF" w:rsidR="00A45FA5" w:rsidRPr="00CA167D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38</w:t>
            </w:r>
            <w:r w:rsidR="00A45FA5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6A7A496D" w14:textId="7896FE65" w:rsidR="00A45FA5" w:rsidRPr="00CA167D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34</w:t>
            </w:r>
            <w:r w:rsidR="00A45FA5"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705FBA21" w14:textId="3868CD88" w:rsidR="00A45FA5" w:rsidRPr="00CA167D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29</w:t>
            </w:r>
            <w:r w:rsidR="00A45FA5"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297E94B4" w14:textId="724468DD" w:rsidR="00A45FA5" w:rsidRPr="00236C0B" w:rsidRDefault="00236C0B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</w:pPr>
            <w:r w:rsidRPr="00236C0B"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  <w:hideMark/>
          </w:tcPr>
          <w:p w14:paraId="23747488" w14:textId="48A2C907" w:rsidR="00A45FA5" w:rsidRPr="00236C0B" w:rsidRDefault="00236C0B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15" w:type="dxa"/>
            <w:tcBorders>
              <w:bottom w:val="none" w:sz="0" w:space="0" w:color="auto"/>
              <w:right w:val="single" w:sz="4" w:space="0" w:color="44546A" w:themeColor="text2"/>
            </w:tcBorders>
            <w:noWrap/>
            <w:hideMark/>
          </w:tcPr>
          <w:p w14:paraId="45A758A7" w14:textId="7DD3AD29" w:rsidR="00A45FA5" w:rsidRPr="00CA167D" w:rsidRDefault="00CA167D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59</w:t>
            </w:r>
          </w:p>
        </w:tc>
      </w:tr>
      <w:tr w:rsidR="00A45FA5" w:rsidRPr="00C2294E" w14:paraId="2F2FA89E" w14:textId="77777777" w:rsidTr="003B2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left w:val="single" w:sz="4" w:space="0" w:color="44546A" w:themeColor="text2"/>
              <w:bottom w:val="single" w:sz="4" w:space="0" w:color="44546A" w:themeColor="text2"/>
            </w:tcBorders>
            <w:noWrap/>
            <w:hideMark/>
          </w:tcPr>
          <w:p w14:paraId="7A5C71F5" w14:textId="77777777" w:rsidR="00A45FA5" w:rsidRPr="000A28AD" w:rsidRDefault="00A45FA5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Exports</w:t>
            </w:r>
          </w:p>
        </w:tc>
        <w:tc>
          <w:tcPr>
            <w:tcW w:w="665" w:type="dxa"/>
            <w:tcBorders>
              <w:bottom w:val="single" w:sz="4" w:space="0" w:color="44546A" w:themeColor="text2"/>
            </w:tcBorders>
            <w:noWrap/>
            <w:hideMark/>
          </w:tcPr>
          <w:p w14:paraId="478CBDFD" w14:textId="78604908" w:rsidR="00A45FA5" w:rsidRPr="00CA167D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35</w:t>
            </w:r>
            <w:r w:rsidR="00A45FA5"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single" w:sz="4" w:space="0" w:color="44546A" w:themeColor="text2"/>
            </w:tcBorders>
            <w:noWrap/>
            <w:hideMark/>
          </w:tcPr>
          <w:p w14:paraId="7D6161A8" w14:textId="6FDE0DD0" w:rsidR="00A45FA5" w:rsidRPr="00CA167D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49</w:t>
            </w:r>
            <w:r w:rsidR="00A45FA5"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single" w:sz="4" w:space="0" w:color="44546A" w:themeColor="text2"/>
            </w:tcBorders>
            <w:noWrap/>
            <w:hideMark/>
          </w:tcPr>
          <w:p w14:paraId="1BEC6691" w14:textId="5734A202" w:rsidR="00A45FA5" w:rsidRPr="00CA167D" w:rsidRDefault="00236C0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15</w:t>
            </w:r>
            <w:r w:rsidR="00A45FA5" w:rsidRPr="00CA167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single" w:sz="4" w:space="0" w:color="44546A" w:themeColor="text2"/>
            </w:tcBorders>
          </w:tcPr>
          <w:p w14:paraId="51EACD9E" w14:textId="2E836920" w:rsidR="00A45FA5" w:rsidRPr="00236C0B" w:rsidRDefault="00236C0B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</w:pPr>
            <w:r w:rsidRPr="00236C0B">
              <w:rPr>
                <w:rFonts w:asciiTheme="minorHAnsi" w:eastAsia="Times New Roman" w:hAnsiTheme="minorHAnsi" w:cstheme="minorHAnsi"/>
                <w:i w:val="0"/>
                <w:iCs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bottom w:val="single" w:sz="4" w:space="0" w:color="44546A" w:themeColor="text2"/>
            </w:tcBorders>
            <w:noWrap/>
            <w:hideMark/>
          </w:tcPr>
          <w:p w14:paraId="572777F4" w14:textId="7EBCB60F" w:rsidR="00A45FA5" w:rsidRPr="00236C0B" w:rsidRDefault="00236C0B" w:rsidP="00AF53F7">
            <w:pPr>
              <w:jc w:val="center"/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15" w:type="dxa"/>
            <w:tcBorders>
              <w:bottom w:val="single" w:sz="4" w:space="0" w:color="44546A" w:themeColor="text2"/>
              <w:right w:val="single" w:sz="4" w:space="0" w:color="44546A" w:themeColor="text2"/>
            </w:tcBorders>
            <w:noWrap/>
            <w:hideMark/>
          </w:tcPr>
          <w:p w14:paraId="2031BD16" w14:textId="39C55FE3" w:rsidR="00A45FA5" w:rsidRPr="00CA167D" w:rsidRDefault="00CA167D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CA167D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43</w:t>
            </w:r>
          </w:p>
        </w:tc>
      </w:tr>
    </w:tbl>
    <w:p w14:paraId="159B563A" w14:textId="1489800A" w:rsidR="003B2FD3" w:rsidRDefault="003B2FD3" w:rsidP="00020BB4">
      <w:pPr>
        <w:pStyle w:val="Title"/>
        <w:spacing w:line="120" w:lineRule="auto"/>
        <w:rPr>
          <w:b/>
          <w:color w:val="2E74B5" w:themeColor="accent1" w:themeShade="BF"/>
          <w:sz w:val="22"/>
          <w:szCs w:val="22"/>
        </w:rPr>
      </w:pPr>
    </w:p>
    <w:tbl>
      <w:tblPr>
        <w:tblStyle w:val="PlainTable4"/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Comparison Worker's Indicators, 2014-2015"/>
        <w:tblDescription w:val="Table comparing workers indicators 2014-2014-2015"/>
      </w:tblPr>
      <w:tblGrid>
        <w:gridCol w:w="2880"/>
        <w:gridCol w:w="902"/>
        <w:gridCol w:w="1334"/>
        <w:gridCol w:w="1350"/>
        <w:gridCol w:w="1350"/>
        <w:gridCol w:w="1350"/>
        <w:gridCol w:w="1629"/>
      </w:tblGrid>
      <w:tr w:rsidR="003B2FD3" w:rsidRPr="000F78D4" w14:paraId="68C5AA2A" w14:textId="77777777" w:rsidTr="003B2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nil"/>
            </w:tcBorders>
            <w:shd w:val="clear" w:color="auto" w:fill="BDD6EE" w:themeFill="accent1" w:themeFillTint="66"/>
            <w:noWrap/>
            <w:hideMark/>
          </w:tcPr>
          <w:p w14:paraId="03479FC7" w14:textId="42BB49B7" w:rsidR="003B2FD3" w:rsidRPr="000A28AD" w:rsidRDefault="003B2FD3" w:rsidP="00AF53F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Labor indicators in 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compared to 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02" w:type="dxa"/>
            <w:tcBorders>
              <w:top w:val="single" w:sz="4" w:space="0" w:color="44546A" w:themeColor="text2"/>
              <w:left w:val="nil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6DC94B50" w14:textId="77777777" w:rsidR="003B2FD3" w:rsidRPr="000A28AD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Decrease</w:t>
            </w:r>
          </w:p>
        </w:tc>
        <w:tc>
          <w:tcPr>
            <w:tcW w:w="1334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5E5B3AD8" w14:textId="6CF0610B" w:rsidR="003B2FD3" w:rsidRPr="000A28AD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5149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6CED47E8" w14:textId="77777777" w:rsidR="003B2FD3" w:rsidRPr="000A28AD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1-2%</w:t>
            </w:r>
          </w:p>
        </w:tc>
        <w:tc>
          <w:tcPr>
            <w:tcW w:w="135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65EC8E82" w14:textId="77777777" w:rsidR="003B2FD3" w:rsidRPr="000A28AD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3-5%</w:t>
            </w:r>
          </w:p>
        </w:tc>
        <w:tc>
          <w:tcPr>
            <w:tcW w:w="135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3F23FB8D" w14:textId="77777777" w:rsidR="003B2FD3" w:rsidRPr="000A28AD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6-9%</w:t>
            </w:r>
          </w:p>
        </w:tc>
        <w:tc>
          <w:tcPr>
            <w:tcW w:w="1629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62762065" w14:textId="77777777" w:rsidR="003B2FD3" w:rsidRPr="000A28AD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&gt;10%</w:t>
            </w:r>
          </w:p>
        </w:tc>
      </w:tr>
      <w:tr w:rsidR="003B2FD3" w:rsidRPr="000F78D4" w14:paraId="7B3CB87E" w14:textId="77777777" w:rsidTr="003B2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4546A" w:themeColor="text2"/>
              <w:left w:val="single" w:sz="4" w:space="0" w:color="44546A" w:themeColor="text2"/>
              <w:bottom w:val="nil"/>
              <w:right w:val="nil"/>
            </w:tcBorders>
            <w:noWrap/>
            <w:hideMark/>
          </w:tcPr>
          <w:p w14:paraId="021E078B" w14:textId="77777777" w:rsidR="003B2FD3" w:rsidRPr="000A28AD" w:rsidRDefault="003B2FD3" w:rsidP="00AF53F7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Wages per worker</w:t>
            </w:r>
          </w:p>
        </w:tc>
        <w:tc>
          <w:tcPr>
            <w:tcW w:w="902" w:type="dxa"/>
            <w:tcBorders>
              <w:top w:val="single" w:sz="4" w:space="0" w:color="44546A" w:themeColor="text2"/>
              <w:left w:val="nil"/>
            </w:tcBorders>
            <w:noWrap/>
            <w:hideMark/>
          </w:tcPr>
          <w:p w14:paraId="551423C1" w14:textId="13850438" w:rsidR="003B2FD3" w:rsidRPr="000A28AD" w:rsidRDefault="00514988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</w:t>
            </w:r>
            <w:r w:rsidR="003B2FD3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top w:val="single" w:sz="4" w:space="0" w:color="44546A" w:themeColor="text2"/>
            </w:tcBorders>
            <w:noWrap/>
            <w:hideMark/>
          </w:tcPr>
          <w:p w14:paraId="00AC8F2B" w14:textId="18757403" w:rsidR="003B2FD3" w:rsidRPr="000A28AD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</w:t>
            </w:r>
            <w:r w:rsidR="00514988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</w:t>
            </w: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44546A" w:themeColor="text2"/>
            </w:tcBorders>
            <w:noWrap/>
            <w:hideMark/>
          </w:tcPr>
          <w:p w14:paraId="76FD05E3" w14:textId="122ABCB6" w:rsidR="003B2FD3" w:rsidRPr="000A28AD" w:rsidRDefault="00514988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11</w:t>
            </w:r>
            <w:r w:rsidR="003B2FD3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44546A" w:themeColor="text2"/>
            </w:tcBorders>
            <w:noWrap/>
            <w:hideMark/>
          </w:tcPr>
          <w:p w14:paraId="63D7C82E" w14:textId="7B54D142" w:rsidR="003B2FD3" w:rsidRPr="000A28AD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4</w:t>
            </w:r>
            <w:r w:rsidR="00514988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</w:t>
            </w: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44546A" w:themeColor="text2"/>
            </w:tcBorders>
            <w:noWrap/>
            <w:hideMark/>
          </w:tcPr>
          <w:p w14:paraId="682775AF" w14:textId="223353D6" w:rsidR="003B2FD3" w:rsidRPr="000A28AD" w:rsidRDefault="00514988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17</w:t>
            </w:r>
            <w:r w:rsidR="003B2FD3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29" w:type="dxa"/>
            <w:tcBorders>
              <w:top w:val="single" w:sz="4" w:space="0" w:color="44546A" w:themeColor="text2"/>
              <w:right w:val="single" w:sz="4" w:space="0" w:color="44546A" w:themeColor="text2"/>
            </w:tcBorders>
            <w:noWrap/>
            <w:hideMark/>
          </w:tcPr>
          <w:p w14:paraId="4CDAA6C5" w14:textId="328C9A76" w:rsidR="003B2FD3" w:rsidRPr="000A28AD" w:rsidRDefault="00514988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17</w:t>
            </w:r>
            <w:r w:rsidR="003B2FD3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</w:tr>
      <w:tr w:rsidR="003B2FD3" w:rsidRPr="000F78D4" w14:paraId="0E89ED39" w14:textId="77777777" w:rsidTr="003B2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single" w:sz="4" w:space="0" w:color="44546A" w:themeColor="text2"/>
              <w:bottom w:val="single" w:sz="4" w:space="0" w:color="44546A" w:themeColor="text2"/>
              <w:right w:val="nil"/>
            </w:tcBorders>
            <w:noWrap/>
            <w:hideMark/>
          </w:tcPr>
          <w:p w14:paraId="637EAD50" w14:textId="77777777" w:rsidR="003B2FD3" w:rsidRPr="000A28AD" w:rsidRDefault="003B2FD3" w:rsidP="00AF53F7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Benefits per worker</w:t>
            </w:r>
          </w:p>
        </w:tc>
        <w:tc>
          <w:tcPr>
            <w:tcW w:w="902" w:type="dxa"/>
            <w:tcBorders>
              <w:left w:val="nil"/>
              <w:bottom w:val="single" w:sz="4" w:space="0" w:color="44546A" w:themeColor="text2"/>
            </w:tcBorders>
            <w:noWrap/>
            <w:hideMark/>
          </w:tcPr>
          <w:p w14:paraId="0DCBB380" w14:textId="13D021E0" w:rsidR="003B2FD3" w:rsidRPr="000A28AD" w:rsidRDefault="00EE271E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3</w:t>
            </w:r>
            <w:r w:rsidR="003B2FD3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bottom w:val="single" w:sz="4" w:space="0" w:color="44546A" w:themeColor="text2"/>
            </w:tcBorders>
            <w:noWrap/>
            <w:hideMark/>
          </w:tcPr>
          <w:p w14:paraId="5AB1FC62" w14:textId="60CE4BB3" w:rsidR="003B2FD3" w:rsidRPr="000A28AD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3</w:t>
            </w:r>
            <w:r w:rsidR="00514988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4</w:t>
            </w: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bottom w:val="single" w:sz="4" w:space="0" w:color="44546A" w:themeColor="text2"/>
            </w:tcBorders>
            <w:noWrap/>
            <w:hideMark/>
          </w:tcPr>
          <w:p w14:paraId="792C0EFE" w14:textId="256DFC29" w:rsidR="003B2FD3" w:rsidRPr="000A28AD" w:rsidRDefault="00514988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</w:t>
            </w:r>
            <w:r w:rsidR="003B2FD3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350" w:type="dxa"/>
            <w:tcBorders>
              <w:bottom w:val="single" w:sz="4" w:space="0" w:color="44546A" w:themeColor="text2"/>
            </w:tcBorders>
            <w:noWrap/>
            <w:hideMark/>
          </w:tcPr>
          <w:p w14:paraId="2A482CD9" w14:textId="5A55C08F" w:rsidR="003B2FD3" w:rsidRPr="000A28AD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</w:t>
            </w:r>
            <w:r w:rsidR="00514988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9</w:t>
            </w: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bottom w:val="single" w:sz="4" w:space="0" w:color="44546A" w:themeColor="text2"/>
            </w:tcBorders>
            <w:noWrap/>
            <w:hideMark/>
          </w:tcPr>
          <w:p w14:paraId="2DED3D00" w14:textId="77777777" w:rsidR="003B2FD3" w:rsidRPr="000A28AD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629" w:type="dxa"/>
            <w:tcBorders>
              <w:bottom w:val="single" w:sz="4" w:space="0" w:color="44546A" w:themeColor="text2"/>
              <w:right w:val="single" w:sz="4" w:space="0" w:color="44546A" w:themeColor="text2"/>
            </w:tcBorders>
            <w:noWrap/>
            <w:hideMark/>
          </w:tcPr>
          <w:p w14:paraId="0149FD60" w14:textId="62623532" w:rsidR="003B2FD3" w:rsidRPr="000A28AD" w:rsidRDefault="00514988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10</w:t>
            </w:r>
            <w:r w:rsidR="003B2FD3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</w:tr>
    </w:tbl>
    <w:p w14:paraId="2275FB5A" w14:textId="0FF95977" w:rsidR="00F069A3" w:rsidRDefault="00F069A3" w:rsidP="00020BB4">
      <w:pPr>
        <w:pStyle w:val="Title"/>
        <w:spacing w:line="120" w:lineRule="auto"/>
        <w:rPr>
          <w:b/>
          <w:color w:val="2E74B5" w:themeColor="accent1" w:themeShade="BF"/>
          <w:sz w:val="22"/>
          <w:szCs w:val="22"/>
        </w:rPr>
      </w:pPr>
    </w:p>
    <w:tbl>
      <w:tblPr>
        <w:tblStyle w:val="PlainTable5"/>
        <w:tblW w:w="10790" w:type="dxa"/>
        <w:jc w:val="center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620" w:firstRow="1" w:lastRow="0" w:firstColumn="0" w:lastColumn="0" w:noHBand="1" w:noVBand="1"/>
        <w:tblCaption w:val="Business Comparison Indicators: 2014-2015"/>
        <w:tblDescription w:val="Table coparing business indicators between 2014 and 2015."/>
      </w:tblPr>
      <w:tblGrid>
        <w:gridCol w:w="3367"/>
        <w:gridCol w:w="665"/>
        <w:gridCol w:w="1541"/>
        <w:gridCol w:w="1172"/>
        <w:gridCol w:w="1170"/>
        <w:gridCol w:w="1260"/>
        <w:gridCol w:w="1615"/>
      </w:tblGrid>
      <w:tr w:rsidR="00C50ABC" w:rsidRPr="00623BC4" w14:paraId="6898B03E" w14:textId="77777777" w:rsidTr="00020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068C3330" w14:textId="6BD275C1" w:rsidR="00C50ABC" w:rsidRPr="000A28AD" w:rsidRDefault="00C50ABC" w:rsidP="00AF53F7">
            <w:pP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Compared to 2021, in 2022, you expect your location’s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665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4B946B04" w14:textId="77777777" w:rsidR="00C50ABC" w:rsidRPr="000A28AD" w:rsidRDefault="00C50ABC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541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17DA433C" w14:textId="77777777" w:rsidR="00C50ABC" w:rsidRPr="000A28AD" w:rsidRDefault="00C50ABC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172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2B5212EA" w14:textId="77777777" w:rsidR="00C50ABC" w:rsidRPr="000A28AD" w:rsidRDefault="00C50ABC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17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</w:tcPr>
          <w:p w14:paraId="06AC64BE" w14:textId="77777777" w:rsidR="00C50ABC" w:rsidRPr="00A45FA5" w:rsidRDefault="00C50ABC" w:rsidP="00AF53F7">
            <w:pPr>
              <w:jc w:val="center"/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A45FA5"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Diffusion Index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2021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</w:t>
            </w:r>
          </w:p>
        </w:tc>
        <w:tc>
          <w:tcPr>
            <w:tcW w:w="126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1EA17650" w14:textId="77777777" w:rsidR="00C50ABC" w:rsidRPr="000A28AD" w:rsidRDefault="00C50ABC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Diffusion Index 20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20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615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334491C3" w14:textId="77777777" w:rsidR="00C50ABC" w:rsidRPr="000A28AD" w:rsidRDefault="00C50ABC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Diffusion Index 201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9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(2)</w:t>
            </w:r>
          </w:p>
        </w:tc>
      </w:tr>
      <w:tr w:rsidR="00C50ABC" w:rsidRPr="00C2294E" w14:paraId="32933681" w14:textId="77777777" w:rsidTr="00020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top w:val="single" w:sz="4" w:space="0" w:color="44546A" w:themeColor="text2"/>
              <w:bottom w:val="none" w:sz="0" w:space="0" w:color="auto"/>
            </w:tcBorders>
            <w:noWrap/>
            <w:hideMark/>
          </w:tcPr>
          <w:p w14:paraId="44AE2286" w14:textId="77777777" w:rsidR="00C50ABC" w:rsidRPr="000A28AD" w:rsidRDefault="00C50ABC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Number of orders</w:t>
            </w:r>
          </w:p>
        </w:tc>
        <w:tc>
          <w:tcPr>
            <w:tcW w:w="665" w:type="dxa"/>
            <w:tcBorders>
              <w:top w:val="single" w:sz="4" w:space="0" w:color="44546A" w:themeColor="text2"/>
              <w:bottom w:val="none" w:sz="0" w:space="0" w:color="auto"/>
            </w:tcBorders>
            <w:noWrap/>
            <w:hideMark/>
          </w:tcPr>
          <w:p w14:paraId="676F4D03" w14:textId="3C2C4F7A" w:rsidR="00C50ABC" w:rsidRPr="005E3C4C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56</w:t>
            </w:r>
            <w:r w:rsidR="00C50ABC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top w:val="single" w:sz="4" w:space="0" w:color="44546A" w:themeColor="text2"/>
              <w:bottom w:val="none" w:sz="0" w:space="0" w:color="auto"/>
            </w:tcBorders>
            <w:noWrap/>
            <w:hideMark/>
          </w:tcPr>
          <w:p w14:paraId="33EA603B" w14:textId="7DD6EBDA" w:rsidR="00C50ABC" w:rsidRPr="000A28AD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34</w:t>
            </w:r>
            <w:r w:rsidR="00C50ABC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top w:val="single" w:sz="4" w:space="0" w:color="44546A" w:themeColor="text2"/>
              <w:bottom w:val="none" w:sz="0" w:space="0" w:color="auto"/>
            </w:tcBorders>
            <w:noWrap/>
            <w:hideMark/>
          </w:tcPr>
          <w:p w14:paraId="417A7FBD" w14:textId="3431C0C1" w:rsidR="00C50ABC" w:rsidRPr="000A28AD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10</w:t>
            </w:r>
            <w:r w:rsidR="00C50ABC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top w:val="single" w:sz="4" w:space="0" w:color="44546A" w:themeColor="text2"/>
              <w:bottom w:val="none" w:sz="0" w:space="0" w:color="auto"/>
            </w:tcBorders>
          </w:tcPr>
          <w:p w14:paraId="13835A5E" w14:textId="05EA8D7F" w:rsidR="00C50ABC" w:rsidRPr="003B2FD3" w:rsidRDefault="00514988" w:rsidP="00AF53F7">
            <w:pPr>
              <w:jc w:val="center"/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60" w:type="dxa"/>
            <w:tcBorders>
              <w:top w:val="single" w:sz="4" w:space="0" w:color="44546A" w:themeColor="text2"/>
              <w:bottom w:val="none" w:sz="0" w:space="0" w:color="auto"/>
            </w:tcBorders>
            <w:noWrap/>
            <w:hideMark/>
          </w:tcPr>
          <w:p w14:paraId="312E806C" w14:textId="64C820F8" w:rsidR="00C50ABC" w:rsidRPr="000A28AD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5" w:type="dxa"/>
            <w:tcBorders>
              <w:top w:val="single" w:sz="4" w:space="0" w:color="44546A" w:themeColor="text2"/>
              <w:bottom w:val="none" w:sz="0" w:space="0" w:color="auto"/>
            </w:tcBorders>
            <w:noWrap/>
            <w:hideMark/>
          </w:tcPr>
          <w:p w14:paraId="60017285" w14:textId="0F9E00C3" w:rsidR="00C50ABC" w:rsidRPr="00486CB2" w:rsidRDefault="00C50ABC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486CB2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6</w:t>
            </w:r>
            <w:r w:rsidR="00486CB2" w:rsidRPr="00486CB2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9</w:t>
            </w:r>
          </w:p>
        </w:tc>
      </w:tr>
      <w:tr w:rsidR="00C50ABC" w:rsidRPr="00C2294E" w14:paraId="3BE5FFBA" w14:textId="77777777" w:rsidTr="00020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549EB2B4" w14:textId="77777777" w:rsidR="00C50ABC" w:rsidRPr="000A28AD" w:rsidRDefault="00C50ABC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Product/service production level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673A73F0" w14:textId="27E35869" w:rsidR="00C50ABC" w:rsidRPr="005E3C4C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56</w:t>
            </w:r>
            <w:r w:rsidR="00C50ABC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487EA224" w14:textId="7F3FC6DC" w:rsidR="00C50ABC" w:rsidRPr="000A28AD" w:rsidRDefault="00C50ABC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</w:t>
            </w:r>
            <w:r w:rsidR="00514988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</w:t>
            </w: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3D1F24C2" w14:textId="7B6E01AE" w:rsidR="00C50ABC" w:rsidRPr="000A28AD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9</w:t>
            </w:r>
            <w:r w:rsidR="00C50ABC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6ED1EC9B" w14:textId="62FE8178" w:rsidR="00C50ABC" w:rsidRPr="00514988" w:rsidRDefault="00514988" w:rsidP="00AF53F7">
            <w:pPr>
              <w:jc w:val="center"/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514988"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  <w:hideMark/>
          </w:tcPr>
          <w:p w14:paraId="066EF71D" w14:textId="6997201F" w:rsidR="00C50ABC" w:rsidRPr="000A28AD" w:rsidRDefault="00C50ABC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</w:t>
            </w:r>
            <w:r w:rsidR="00514988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  <w:hideMark/>
          </w:tcPr>
          <w:p w14:paraId="6A0AD04D" w14:textId="1CCB4131" w:rsidR="00C50ABC" w:rsidRPr="00486CB2" w:rsidRDefault="00C50ABC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486CB2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6</w:t>
            </w:r>
            <w:r w:rsidR="00486CB2" w:rsidRPr="00486CB2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9</w:t>
            </w:r>
          </w:p>
        </w:tc>
      </w:tr>
      <w:tr w:rsidR="00C50ABC" w:rsidRPr="00C2294E" w14:paraId="6C2E4F21" w14:textId="77777777" w:rsidTr="00020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01904FAD" w14:textId="77777777" w:rsidR="00C50ABC" w:rsidRPr="000A28AD" w:rsidRDefault="00C50ABC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Employment level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184D4FCE" w14:textId="082B3143" w:rsidR="00C50ABC" w:rsidRPr="005E3C4C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50</w:t>
            </w:r>
            <w:r w:rsidR="00C50ABC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68FB4EE7" w14:textId="2D14F6CD" w:rsidR="00C50ABC" w:rsidRPr="000A28AD" w:rsidRDefault="00C50ABC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</w:t>
            </w:r>
            <w:r w:rsidR="00514988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</w:t>
            </w: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0C0EDAB0" w14:textId="31934024" w:rsidR="00C50ABC" w:rsidRPr="000A28AD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8</w:t>
            </w:r>
            <w:r w:rsidR="00C50ABC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30E836CE" w14:textId="648DCE9B" w:rsidR="00C50ABC" w:rsidRPr="00514988" w:rsidRDefault="00514988" w:rsidP="00AF53F7">
            <w:pPr>
              <w:jc w:val="center"/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  <w:hideMark/>
          </w:tcPr>
          <w:p w14:paraId="578B3E66" w14:textId="28E11AC0" w:rsidR="00C50ABC" w:rsidRPr="000A28AD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  <w:hideMark/>
          </w:tcPr>
          <w:p w14:paraId="13E5A66D" w14:textId="1909AA20" w:rsidR="00C50ABC" w:rsidRPr="00486CB2" w:rsidRDefault="00C50ABC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486CB2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6</w:t>
            </w:r>
            <w:r w:rsidR="00486CB2" w:rsidRPr="00486CB2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</w:t>
            </w:r>
          </w:p>
        </w:tc>
      </w:tr>
      <w:tr w:rsidR="00C50ABC" w:rsidRPr="00C2294E" w14:paraId="1017B902" w14:textId="77777777" w:rsidTr="00020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479E9348" w14:textId="77777777" w:rsidR="00C50ABC" w:rsidRPr="000A28AD" w:rsidRDefault="00C50ABC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Investment in plant/equipment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29851962" w14:textId="442CA6C8" w:rsidR="00C50ABC" w:rsidRPr="005E3C4C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39</w:t>
            </w:r>
            <w:r w:rsidR="00C50ABC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722B917A" w14:textId="5BFD77EB" w:rsidR="00C50ABC" w:rsidRPr="000A28AD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50</w:t>
            </w:r>
            <w:r w:rsidR="00C50ABC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0C78DD19" w14:textId="44EB22E3" w:rsidR="00C50ABC" w:rsidRPr="000A28AD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</w:t>
            </w:r>
            <w:r w:rsidR="00C50ABC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13C6D197" w14:textId="5319BE91" w:rsidR="00C50ABC" w:rsidRPr="00514988" w:rsidRDefault="00514988" w:rsidP="00AF53F7">
            <w:pPr>
              <w:jc w:val="center"/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514988"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  <w:hideMark/>
          </w:tcPr>
          <w:p w14:paraId="4D634899" w14:textId="1B338BDE" w:rsidR="00C50ABC" w:rsidRPr="000A28AD" w:rsidRDefault="00F61F1A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  <w:hideMark/>
          </w:tcPr>
          <w:p w14:paraId="74E4FF01" w14:textId="58B3A497" w:rsidR="00C50ABC" w:rsidRPr="00486CB2" w:rsidRDefault="00486CB2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486CB2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59</w:t>
            </w:r>
          </w:p>
        </w:tc>
      </w:tr>
      <w:tr w:rsidR="00C50ABC" w:rsidRPr="00C2294E" w14:paraId="60355EF4" w14:textId="77777777" w:rsidTr="00020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79214E13" w14:textId="77777777" w:rsidR="00C50ABC" w:rsidRPr="000A28AD" w:rsidRDefault="00C50ABC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Prices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0DBD32A1" w14:textId="37E5B01C" w:rsidR="00C50ABC" w:rsidRPr="005E3C4C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78</w:t>
            </w:r>
            <w:r w:rsidR="00C50ABC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2E4C0A8E" w14:textId="67EE1CF7" w:rsidR="00C50ABC" w:rsidRPr="000A28AD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16</w:t>
            </w:r>
            <w:r w:rsidR="00C50ABC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363DA8AD" w14:textId="34DA16D5" w:rsidR="00C50ABC" w:rsidRPr="000A28AD" w:rsidRDefault="00C50ABC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767CCC70" w14:textId="68F66840" w:rsidR="00C50ABC" w:rsidRPr="00514988" w:rsidRDefault="00514988" w:rsidP="00AF53F7">
            <w:pPr>
              <w:jc w:val="center"/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  <w:hideMark/>
          </w:tcPr>
          <w:p w14:paraId="2CBBCB7E" w14:textId="2E0B900E" w:rsidR="00C50ABC" w:rsidRPr="000A28AD" w:rsidRDefault="00F61F1A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  <w:hideMark/>
          </w:tcPr>
          <w:p w14:paraId="3B7A5C58" w14:textId="5F8B0EB3" w:rsidR="00C50ABC" w:rsidRPr="00486CB2" w:rsidRDefault="00C50ABC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486CB2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6</w:t>
            </w:r>
            <w:r w:rsidR="00486CB2" w:rsidRPr="00486CB2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8</w:t>
            </w:r>
          </w:p>
        </w:tc>
      </w:tr>
      <w:tr w:rsidR="00C50ABC" w:rsidRPr="00C2294E" w14:paraId="0A59BB46" w14:textId="77777777" w:rsidTr="00020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7A889F50" w14:textId="77777777" w:rsidR="00C50ABC" w:rsidRPr="000A28AD" w:rsidRDefault="00C50ABC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Profits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6654B6BF" w14:textId="40A4C535" w:rsidR="00C50ABC" w:rsidRPr="005E3C4C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40</w:t>
            </w:r>
            <w:r w:rsidR="00C50ABC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5AF3B2CC" w14:textId="7D3ADB75" w:rsidR="00C50ABC" w:rsidRPr="000A28AD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40</w:t>
            </w:r>
            <w:r w:rsidR="00C50ABC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521F2E26" w14:textId="78F6F22E" w:rsidR="00C50ABC" w:rsidRPr="000A28AD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21</w:t>
            </w:r>
            <w:r w:rsidR="00C50ABC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113A532E" w14:textId="6C73E707" w:rsidR="00C50ABC" w:rsidRPr="00514988" w:rsidRDefault="00514988" w:rsidP="00AF53F7">
            <w:pPr>
              <w:jc w:val="center"/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  <w:hideMark/>
          </w:tcPr>
          <w:p w14:paraId="0595CA5B" w14:textId="395B33DA" w:rsidR="00C50ABC" w:rsidRPr="000A28AD" w:rsidRDefault="00F61F1A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  <w:hideMark/>
          </w:tcPr>
          <w:p w14:paraId="5E80B2D7" w14:textId="44A0A5D8" w:rsidR="00C50ABC" w:rsidRPr="00486CB2" w:rsidRDefault="00486CB2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486CB2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63</w:t>
            </w:r>
          </w:p>
        </w:tc>
      </w:tr>
      <w:tr w:rsidR="00C50ABC" w:rsidRPr="00C2294E" w14:paraId="70EC1370" w14:textId="77777777" w:rsidTr="00020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2F7225C0" w14:textId="77777777" w:rsidR="00C50ABC" w:rsidRPr="000A28AD" w:rsidRDefault="00C50ABC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Productivity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491F0EDE" w14:textId="3C34AB2C" w:rsidR="00C50ABC" w:rsidRPr="000A28AD" w:rsidRDefault="00C50ABC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</w:t>
            </w:r>
            <w:r w:rsidR="00514988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</w:t>
            </w: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478A2580" w14:textId="129E492E" w:rsidR="00C50ABC" w:rsidRPr="000A28AD" w:rsidRDefault="00C50ABC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</w:t>
            </w:r>
            <w:r w:rsidR="00514988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</w:t>
            </w: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19CD8AF3" w14:textId="498CFC04" w:rsidR="00C50ABC" w:rsidRPr="000A28AD" w:rsidRDefault="00C50ABC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</w:t>
            </w:r>
            <w:r w:rsidR="00514988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</w:t>
            </w: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7D5851E2" w14:textId="683C498D" w:rsidR="00C50ABC" w:rsidRPr="00514988" w:rsidRDefault="00514988" w:rsidP="00AF53F7">
            <w:pPr>
              <w:jc w:val="center"/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514988"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  <w:hideMark/>
          </w:tcPr>
          <w:p w14:paraId="404A417D" w14:textId="39E9F4F9" w:rsidR="00C50ABC" w:rsidRPr="000A28AD" w:rsidRDefault="00F61F1A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  <w:hideMark/>
          </w:tcPr>
          <w:p w14:paraId="7BBF31F2" w14:textId="4A8E8D6D" w:rsidR="00C50ABC" w:rsidRPr="00486CB2" w:rsidRDefault="00C50ABC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486CB2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6</w:t>
            </w:r>
            <w:r w:rsidR="00486CB2" w:rsidRPr="00486CB2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8</w:t>
            </w:r>
          </w:p>
        </w:tc>
      </w:tr>
      <w:tr w:rsidR="00C50ABC" w:rsidRPr="00C2294E" w14:paraId="481674C3" w14:textId="77777777" w:rsidTr="00020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2BB299B6" w14:textId="77777777" w:rsidR="00C50ABC" w:rsidRPr="000A28AD" w:rsidRDefault="00C50ABC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Exports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7DBFB5DA" w14:textId="038614F4" w:rsidR="00C50ABC" w:rsidRPr="000A28AD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34</w:t>
            </w:r>
            <w:r w:rsidR="00C50ABC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3EB06B20" w14:textId="7A1E4CCC" w:rsidR="00C50ABC" w:rsidRPr="000A28AD" w:rsidRDefault="00C50ABC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</w:t>
            </w:r>
            <w:r w:rsidR="00514988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</w:t>
            </w: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110A7914" w14:textId="0B16A923" w:rsidR="00C50ABC" w:rsidRPr="000A28AD" w:rsidRDefault="00514988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16</w:t>
            </w:r>
            <w:r w:rsidR="00C50ABC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59D3AE8F" w14:textId="7CE6A837" w:rsidR="00C50ABC" w:rsidRPr="00486CB2" w:rsidRDefault="00486CB2" w:rsidP="00AF53F7">
            <w:pPr>
              <w:jc w:val="center"/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486CB2"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  <w:hideMark/>
          </w:tcPr>
          <w:p w14:paraId="28DC89EE" w14:textId="283A56F5" w:rsidR="00C50ABC" w:rsidRPr="000A28AD" w:rsidRDefault="00F61F1A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  <w:hideMark/>
          </w:tcPr>
          <w:p w14:paraId="2FA42B1B" w14:textId="4755243A" w:rsidR="00C50ABC" w:rsidRPr="00486CB2" w:rsidRDefault="00C50ABC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486CB2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</w:t>
            </w:r>
            <w:r w:rsidR="00486CB2" w:rsidRPr="00486CB2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2</w:t>
            </w:r>
          </w:p>
        </w:tc>
      </w:tr>
    </w:tbl>
    <w:p w14:paraId="6BE9E1E6" w14:textId="2B12FDB3" w:rsidR="00C50ABC" w:rsidRDefault="00C50ABC" w:rsidP="00020BB4">
      <w:pPr>
        <w:spacing w:after="0" w:line="120" w:lineRule="auto"/>
      </w:pPr>
    </w:p>
    <w:tbl>
      <w:tblPr>
        <w:tblStyle w:val="PlainTable4"/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Comparison Worker's Indicators, 2014-2015"/>
        <w:tblDescription w:val="Table comparing workers indicators 2014-2014-2015"/>
      </w:tblPr>
      <w:tblGrid>
        <w:gridCol w:w="2880"/>
        <w:gridCol w:w="902"/>
        <w:gridCol w:w="1334"/>
        <w:gridCol w:w="1350"/>
        <w:gridCol w:w="1350"/>
        <w:gridCol w:w="1350"/>
        <w:gridCol w:w="1629"/>
      </w:tblGrid>
      <w:tr w:rsidR="00C50ABC" w:rsidRPr="000F78D4" w14:paraId="03B6EB44" w14:textId="77777777" w:rsidTr="00AF5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nil"/>
            </w:tcBorders>
            <w:shd w:val="clear" w:color="auto" w:fill="BDD6EE" w:themeFill="accent1" w:themeFillTint="66"/>
            <w:noWrap/>
            <w:hideMark/>
          </w:tcPr>
          <w:p w14:paraId="71958813" w14:textId="3EB3A458" w:rsidR="00C50ABC" w:rsidRPr="000A28AD" w:rsidRDefault="00C50ABC" w:rsidP="00AF53F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Expected l</w:t>
            </w: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abor indicators in 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compared to 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02" w:type="dxa"/>
            <w:tcBorders>
              <w:top w:val="single" w:sz="4" w:space="0" w:color="44546A" w:themeColor="text2"/>
              <w:left w:val="nil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10922D67" w14:textId="77777777" w:rsidR="00C50ABC" w:rsidRPr="000A28AD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Decrease</w:t>
            </w:r>
          </w:p>
        </w:tc>
        <w:tc>
          <w:tcPr>
            <w:tcW w:w="1334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52E47C7E" w14:textId="6430CD1B" w:rsidR="00C50ABC" w:rsidRPr="000A28AD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4649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2288D0D5" w14:textId="77777777" w:rsidR="00C50ABC" w:rsidRPr="000A28AD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1-2%</w:t>
            </w:r>
          </w:p>
        </w:tc>
        <w:tc>
          <w:tcPr>
            <w:tcW w:w="135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75C033CC" w14:textId="77777777" w:rsidR="00C50ABC" w:rsidRPr="000A28AD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3-5%</w:t>
            </w:r>
          </w:p>
        </w:tc>
        <w:tc>
          <w:tcPr>
            <w:tcW w:w="135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699010B1" w14:textId="77777777" w:rsidR="00C50ABC" w:rsidRPr="000A28AD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6-9%</w:t>
            </w:r>
          </w:p>
        </w:tc>
        <w:tc>
          <w:tcPr>
            <w:tcW w:w="1629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56DD529B" w14:textId="77777777" w:rsidR="00C50ABC" w:rsidRPr="000A28AD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&gt;10%</w:t>
            </w:r>
          </w:p>
        </w:tc>
      </w:tr>
      <w:tr w:rsidR="00C50ABC" w:rsidRPr="000F78D4" w14:paraId="0C33A105" w14:textId="77777777" w:rsidTr="00AF5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4546A" w:themeColor="text2"/>
              <w:left w:val="single" w:sz="4" w:space="0" w:color="44546A" w:themeColor="text2"/>
              <w:bottom w:val="nil"/>
              <w:right w:val="nil"/>
            </w:tcBorders>
            <w:noWrap/>
            <w:hideMark/>
          </w:tcPr>
          <w:p w14:paraId="1B6C32D9" w14:textId="77777777" w:rsidR="00C50ABC" w:rsidRPr="000A28AD" w:rsidRDefault="00C50ABC" w:rsidP="00AF53F7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Wages per worker</w:t>
            </w:r>
          </w:p>
        </w:tc>
        <w:tc>
          <w:tcPr>
            <w:tcW w:w="902" w:type="dxa"/>
            <w:tcBorders>
              <w:top w:val="single" w:sz="4" w:space="0" w:color="44546A" w:themeColor="text2"/>
              <w:left w:val="nil"/>
            </w:tcBorders>
            <w:noWrap/>
            <w:hideMark/>
          </w:tcPr>
          <w:p w14:paraId="20E76994" w14:textId="7276CEE5" w:rsidR="00C50ABC" w:rsidRPr="000A28AD" w:rsidRDefault="00486CB2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</w:t>
            </w:r>
            <w:r w:rsidR="00C50ABC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top w:val="single" w:sz="4" w:space="0" w:color="44546A" w:themeColor="text2"/>
            </w:tcBorders>
            <w:noWrap/>
            <w:hideMark/>
          </w:tcPr>
          <w:p w14:paraId="68CA15D3" w14:textId="476E2DEC" w:rsidR="00C50ABC" w:rsidRPr="000A28AD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</w:t>
            </w:r>
            <w:r w:rsidR="00486CB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</w:t>
            </w: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44546A" w:themeColor="text2"/>
            </w:tcBorders>
            <w:noWrap/>
            <w:hideMark/>
          </w:tcPr>
          <w:p w14:paraId="2BB42F4C" w14:textId="54742B5B" w:rsidR="00C50ABC" w:rsidRPr="000A28AD" w:rsidRDefault="00486CB2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15</w:t>
            </w:r>
            <w:r w:rsidR="00C50ABC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44546A" w:themeColor="text2"/>
            </w:tcBorders>
            <w:noWrap/>
            <w:hideMark/>
          </w:tcPr>
          <w:p w14:paraId="3A8742D0" w14:textId="051BF98C" w:rsidR="00C50ABC" w:rsidRPr="005E3C4C" w:rsidRDefault="00486CB2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5E3C4C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51</w:t>
            </w:r>
            <w:r w:rsidR="00C50ABC" w:rsidRPr="005E3C4C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44546A" w:themeColor="text2"/>
            </w:tcBorders>
            <w:noWrap/>
            <w:hideMark/>
          </w:tcPr>
          <w:p w14:paraId="721AF4FC" w14:textId="098EEFC4" w:rsidR="00C50ABC" w:rsidRPr="000A28AD" w:rsidRDefault="00486CB2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16</w:t>
            </w:r>
            <w:r w:rsidR="00C50ABC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29" w:type="dxa"/>
            <w:tcBorders>
              <w:top w:val="single" w:sz="4" w:space="0" w:color="44546A" w:themeColor="text2"/>
              <w:right w:val="single" w:sz="4" w:space="0" w:color="44546A" w:themeColor="text2"/>
            </w:tcBorders>
            <w:noWrap/>
            <w:hideMark/>
          </w:tcPr>
          <w:p w14:paraId="0F355612" w14:textId="11520FAE" w:rsidR="00C50ABC" w:rsidRPr="000A28AD" w:rsidRDefault="00486CB2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5</w:t>
            </w:r>
            <w:r w:rsidR="00C50ABC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</w:tr>
      <w:tr w:rsidR="00C50ABC" w:rsidRPr="000F78D4" w14:paraId="5FC86306" w14:textId="77777777" w:rsidTr="00AF5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single" w:sz="4" w:space="0" w:color="44546A" w:themeColor="text2"/>
              <w:bottom w:val="single" w:sz="4" w:space="0" w:color="44546A" w:themeColor="text2"/>
              <w:right w:val="nil"/>
            </w:tcBorders>
            <w:noWrap/>
            <w:hideMark/>
          </w:tcPr>
          <w:p w14:paraId="33B5044D" w14:textId="77777777" w:rsidR="00C50ABC" w:rsidRPr="000A28AD" w:rsidRDefault="00C50ABC" w:rsidP="00AF53F7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Benefits per worker</w:t>
            </w:r>
          </w:p>
        </w:tc>
        <w:tc>
          <w:tcPr>
            <w:tcW w:w="902" w:type="dxa"/>
            <w:tcBorders>
              <w:left w:val="nil"/>
              <w:bottom w:val="single" w:sz="4" w:space="0" w:color="44546A" w:themeColor="text2"/>
            </w:tcBorders>
            <w:noWrap/>
            <w:hideMark/>
          </w:tcPr>
          <w:p w14:paraId="4272BC63" w14:textId="182AB1BC" w:rsidR="00C50ABC" w:rsidRPr="000A28AD" w:rsidRDefault="00486CB2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4</w:t>
            </w:r>
            <w:r w:rsidR="00C50ABC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bottom w:val="single" w:sz="4" w:space="0" w:color="44546A" w:themeColor="text2"/>
            </w:tcBorders>
            <w:noWrap/>
            <w:hideMark/>
          </w:tcPr>
          <w:p w14:paraId="46B20791" w14:textId="0BA422FE" w:rsidR="00C50ABC" w:rsidRPr="000A28AD" w:rsidRDefault="00486CB2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27</w:t>
            </w:r>
            <w:r w:rsidR="00C50ABC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bottom w:val="single" w:sz="4" w:space="0" w:color="44546A" w:themeColor="text2"/>
            </w:tcBorders>
            <w:noWrap/>
            <w:hideMark/>
          </w:tcPr>
          <w:p w14:paraId="36D92B34" w14:textId="0EA44EBB" w:rsidR="00C50ABC" w:rsidRPr="000A28AD" w:rsidRDefault="00486CB2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18</w:t>
            </w:r>
            <w:r w:rsidR="00C50ABC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bottom w:val="single" w:sz="4" w:space="0" w:color="44546A" w:themeColor="text2"/>
            </w:tcBorders>
            <w:noWrap/>
            <w:hideMark/>
          </w:tcPr>
          <w:p w14:paraId="445B4873" w14:textId="298EA161" w:rsidR="00C50ABC" w:rsidRPr="005E3C4C" w:rsidRDefault="00486CB2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5E3C4C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34</w:t>
            </w:r>
            <w:r w:rsidR="00C50ABC" w:rsidRPr="005E3C4C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bottom w:val="single" w:sz="4" w:space="0" w:color="44546A" w:themeColor="text2"/>
            </w:tcBorders>
            <w:noWrap/>
            <w:hideMark/>
          </w:tcPr>
          <w:p w14:paraId="7CF74674" w14:textId="0E49B693" w:rsidR="00C50ABC" w:rsidRPr="000A28AD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</w:t>
            </w:r>
            <w:r w:rsidR="00486CB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</w:t>
            </w: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29" w:type="dxa"/>
            <w:tcBorders>
              <w:bottom w:val="single" w:sz="4" w:space="0" w:color="44546A" w:themeColor="text2"/>
              <w:right w:val="single" w:sz="4" w:space="0" w:color="44546A" w:themeColor="text2"/>
            </w:tcBorders>
            <w:noWrap/>
            <w:hideMark/>
          </w:tcPr>
          <w:p w14:paraId="3556D8D0" w14:textId="77777777" w:rsidR="00C50ABC" w:rsidRPr="000A28AD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6%</w:t>
            </w:r>
          </w:p>
        </w:tc>
      </w:tr>
    </w:tbl>
    <w:p w14:paraId="129B799F" w14:textId="06E3D63C" w:rsidR="00C50ABC" w:rsidRDefault="00C50ABC" w:rsidP="00020BB4">
      <w:pPr>
        <w:spacing w:after="0" w:line="120" w:lineRule="auto"/>
      </w:pPr>
    </w:p>
    <w:tbl>
      <w:tblPr>
        <w:tblStyle w:val="PlainTable5"/>
        <w:tblW w:w="10790" w:type="dxa"/>
        <w:jc w:val="center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620" w:firstRow="1" w:lastRow="0" w:firstColumn="0" w:lastColumn="0" w:noHBand="1" w:noVBand="1"/>
        <w:tblCaption w:val="Business Comparison Indicators: 2014-2015"/>
        <w:tblDescription w:val="Table coparing business indicators between 2014 and 2015."/>
      </w:tblPr>
      <w:tblGrid>
        <w:gridCol w:w="3367"/>
        <w:gridCol w:w="665"/>
        <w:gridCol w:w="1541"/>
        <w:gridCol w:w="1172"/>
        <w:gridCol w:w="1170"/>
        <w:gridCol w:w="1260"/>
        <w:gridCol w:w="1615"/>
      </w:tblGrid>
      <w:tr w:rsidR="00020BB4" w:rsidRPr="00623BC4" w14:paraId="144EEAC0" w14:textId="77777777" w:rsidTr="00020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701FF91E" w14:textId="54C6B35D" w:rsidR="00020BB4" w:rsidRPr="000A28AD" w:rsidRDefault="00692DDC" w:rsidP="00AF53F7">
            <w:pP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What is your outlook on the following</w:t>
            </w:r>
            <w:r w:rsidR="00020BB4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 xml:space="preserve">state economic indicators next </w:t>
            </w:r>
            <w:proofErr w:type="gramStart"/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year:</w:t>
            </w:r>
            <w:proofErr w:type="gramEnd"/>
          </w:p>
        </w:tc>
        <w:tc>
          <w:tcPr>
            <w:tcW w:w="665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15A4F84D" w14:textId="77777777" w:rsidR="00020BB4" w:rsidRPr="000A28AD" w:rsidRDefault="00020BB4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541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74D653F2" w14:textId="77777777" w:rsidR="00020BB4" w:rsidRPr="000A28AD" w:rsidRDefault="00020BB4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172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5D5F7109" w14:textId="77777777" w:rsidR="00020BB4" w:rsidRPr="000A28AD" w:rsidRDefault="00020BB4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17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</w:tcPr>
          <w:p w14:paraId="31804581" w14:textId="77777777" w:rsidR="00020BB4" w:rsidRPr="00A45FA5" w:rsidRDefault="00020BB4" w:rsidP="00AF53F7">
            <w:pPr>
              <w:jc w:val="center"/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A45FA5"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Diffusion Index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2021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</w:t>
            </w:r>
          </w:p>
        </w:tc>
        <w:tc>
          <w:tcPr>
            <w:tcW w:w="126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20F73A89" w14:textId="77777777" w:rsidR="00020BB4" w:rsidRPr="000A28AD" w:rsidRDefault="00020BB4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Diffusion Index 20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20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615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478D56FC" w14:textId="77777777" w:rsidR="00020BB4" w:rsidRPr="000A28AD" w:rsidRDefault="00020BB4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Diffusion Index 201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9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(2)</w:t>
            </w:r>
          </w:p>
        </w:tc>
      </w:tr>
      <w:tr w:rsidR="00020BB4" w:rsidRPr="00C2294E" w14:paraId="0B7A71D1" w14:textId="77777777" w:rsidTr="00020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top w:val="single" w:sz="4" w:space="0" w:color="44546A" w:themeColor="text2"/>
              <w:bottom w:val="none" w:sz="0" w:space="0" w:color="auto"/>
            </w:tcBorders>
            <w:noWrap/>
            <w:hideMark/>
          </w:tcPr>
          <w:p w14:paraId="32907C20" w14:textId="0C291889" w:rsidR="00020BB4" w:rsidRPr="000A28AD" w:rsidRDefault="00692DDC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Business investment</w:t>
            </w:r>
          </w:p>
        </w:tc>
        <w:tc>
          <w:tcPr>
            <w:tcW w:w="665" w:type="dxa"/>
            <w:tcBorders>
              <w:top w:val="single" w:sz="4" w:space="0" w:color="44546A" w:themeColor="text2"/>
              <w:bottom w:val="none" w:sz="0" w:space="0" w:color="auto"/>
            </w:tcBorders>
            <w:noWrap/>
            <w:hideMark/>
          </w:tcPr>
          <w:p w14:paraId="6BF6B030" w14:textId="489109BF" w:rsidR="00020BB4" w:rsidRPr="000A28AD" w:rsidRDefault="00486CB2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37</w:t>
            </w:r>
            <w:r w:rsidR="00020BB4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top w:val="single" w:sz="4" w:space="0" w:color="44546A" w:themeColor="text2"/>
              <w:bottom w:val="none" w:sz="0" w:space="0" w:color="auto"/>
            </w:tcBorders>
            <w:noWrap/>
            <w:hideMark/>
          </w:tcPr>
          <w:p w14:paraId="71D21619" w14:textId="75AA0FF7" w:rsidR="00020BB4" w:rsidRPr="005E3C4C" w:rsidRDefault="00486CB2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47</w:t>
            </w:r>
            <w:r w:rsidR="00020BB4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top w:val="single" w:sz="4" w:space="0" w:color="44546A" w:themeColor="text2"/>
              <w:bottom w:val="none" w:sz="0" w:space="0" w:color="auto"/>
            </w:tcBorders>
            <w:noWrap/>
            <w:hideMark/>
          </w:tcPr>
          <w:p w14:paraId="23A6B63E" w14:textId="62E5C91B" w:rsidR="00020BB4" w:rsidRPr="000A28AD" w:rsidRDefault="00486CB2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16</w:t>
            </w:r>
            <w:r w:rsidR="00020BB4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top w:val="single" w:sz="4" w:space="0" w:color="44546A" w:themeColor="text2"/>
              <w:bottom w:val="none" w:sz="0" w:space="0" w:color="auto"/>
            </w:tcBorders>
          </w:tcPr>
          <w:p w14:paraId="4DAA376C" w14:textId="38A02B3D" w:rsidR="00020BB4" w:rsidRPr="003B2FD3" w:rsidRDefault="00486CB2" w:rsidP="00AF53F7">
            <w:pPr>
              <w:jc w:val="center"/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60" w:type="dxa"/>
            <w:tcBorders>
              <w:top w:val="single" w:sz="4" w:space="0" w:color="44546A" w:themeColor="text2"/>
              <w:bottom w:val="none" w:sz="0" w:space="0" w:color="auto"/>
            </w:tcBorders>
            <w:noWrap/>
            <w:hideMark/>
          </w:tcPr>
          <w:p w14:paraId="161D0E57" w14:textId="011C30B8" w:rsidR="00020BB4" w:rsidRPr="000A28AD" w:rsidRDefault="00020BB4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</w:t>
            </w:r>
            <w:r w:rsidR="00486CB2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5" w:type="dxa"/>
            <w:tcBorders>
              <w:top w:val="single" w:sz="4" w:space="0" w:color="44546A" w:themeColor="text2"/>
              <w:bottom w:val="none" w:sz="0" w:space="0" w:color="auto"/>
            </w:tcBorders>
            <w:noWrap/>
            <w:hideMark/>
          </w:tcPr>
          <w:p w14:paraId="73BBECDB" w14:textId="0BB68195" w:rsidR="00020BB4" w:rsidRPr="00486CB2" w:rsidRDefault="003673A3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FF0000"/>
                <w:sz w:val="18"/>
                <w:szCs w:val="18"/>
              </w:rPr>
            </w:pPr>
            <w:r w:rsidRPr="003673A3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55</w:t>
            </w:r>
          </w:p>
        </w:tc>
      </w:tr>
      <w:tr w:rsidR="00020BB4" w:rsidRPr="00C2294E" w14:paraId="1B168122" w14:textId="77777777" w:rsidTr="00020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736D13E6" w14:textId="3E8CCD22" w:rsidR="00020BB4" w:rsidRPr="000A28AD" w:rsidRDefault="00692DDC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Employment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3AA14881" w14:textId="74FAD544" w:rsidR="00020BB4" w:rsidRPr="000A28AD" w:rsidRDefault="00020BB4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</w:t>
            </w:r>
            <w:r w:rsidR="00486CB2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</w:t>
            </w: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586750B5" w14:textId="53E06634" w:rsidR="00020BB4" w:rsidRPr="005E3C4C" w:rsidRDefault="00020BB4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</w:t>
            </w:r>
            <w:r w:rsidR="00486CB2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</w:t>
            </w: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0E901369" w14:textId="1BF7299B" w:rsidR="00020BB4" w:rsidRPr="000A28AD" w:rsidRDefault="00486CB2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19</w:t>
            </w:r>
            <w:r w:rsidR="00020BB4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48456CF3" w14:textId="53D3C282" w:rsidR="00020BB4" w:rsidRPr="00486CB2" w:rsidRDefault="00486CB2" w:rsidP="00AF53F7">
            <w:pPr>
              <w:jc w:val="center"/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486CB2"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  <w:hideMark/>
          </w:tcPr>
          <w:p w14:paraId="2A717CE5" w14:textId="474EE4CB" w:rsidR="00020BB4" w:rsidRPr="000A28AD" w:rsidRDefault="00486CB2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  <w:hideMark/>
          </w:tcPr>
          <w:p w14:paraId="5ED13621" w14:textId="55BB68EE" w:rsidR="00020BB4" w:rsidRPr="00486CB2" w:rsidRDefault="003673A3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FF0000"/>
                <w:sz w:val="18"/>
                <w:szCs w:val="18"/>
              </w:rPr>
            </w:pPr>
            <w:r w:rsidRPr="003673A3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56</w:t>
            </w:r>
          </w:p>
        </w:tc>
      </w:tr>
      <w:tr w:rsidR="00020BB4" w:rsidRPr="00C2294E" w14:paraId="6FFD5DF3" w14:textId="77777777" w:rsidTr="00020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4964B378" w14:textId="6C142D71" w:rsidR="00020BB4" w:rsidRPr="000A28AD" w:rsidRDefault="00692DDC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Consumer spending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3745CC53" w14:textId="7C24A2A4" w:rsidR="00020BB4" w:rsidRPr="000A28AD" w:rsidRDefault="00486CB2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34</w:t>
            </w:r>
            <w:r w:rsidR="00020BB4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0BBC5BCE" w14:textId="77777777" w:rsidR="00020BB4" w:rsidRPr="005E3C4C" w:rsidRDefault="00020BB4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45%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541AA488" w14:textId="6EF79847" w:rsidR="00020BB4" w:rsidRPr="000A28AD" w:rsidRDefault="00020BB4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</w:t>
            </w:r>
            <w:r w:rsidR="00486CB2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0</w:t>
            </w: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1D26E62D" w14:textId="4834FBD6" w:rsidR="00020BB4" w:rsidRPr="00486CB2" w:rsidRDefault="00486CB2" w:rsidP="00AF53F7">
            <w:pPr>
              <w:jc w:val="center"/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486CB2"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  <w:hideMark/>
          </w:tcPr>
          <w:p w14:paraId="78590DFB" w14:textId="26C91DF0" w:rsidR="00020BB4" w:rsidRPr="000A28AD" w:rsidRDefault="00486CB2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</w:t>
            </w:r>
            <w:r w:rsidR="00F61F1A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  <w:hideMark/>
          </w:tcPr>
          <w:p w14:paraId="0B7A5AE3" w14:textId="2B4C55E6" w:rsidR="00020BB4" w:rsidRPr="00486CB2" w:rsidRDefault="003673A3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FF0000"/>
                <w:sz w:val="18"/>
                <w:szCs w:val="18"/>
              </w:rPr>
            </w:pPr>
            <w:r w:rsidRPr="003673A3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55</w:t>
            </w:r>
          </w:p>
        </w:tc>
      </w:tr>
      <w:tr w:rsidR="00020BB4" w:rsidRPr="00C2294E" w14:paraId="6DB09DA5" w14:textId="77777777" w:rsidTr="00020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660A28EA" w14:textId="5DACDED2" w:rsidR="00020BB4" w:rsidRPr="000A28AD" w:rsidRDefault="00020BB4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In</w:t>
            </w:r>
            <w:r w:rsidR="00692DD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flation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2ED079BE" w14:textId="2606338D" w:rsidR="00020BB4" w:rsidRPr="000A28AD" w:rsidRDefault="00486CB2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91</w:t>
            </w:r>
            <w:r w:rsidR="00020BB4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0EDB349C" w14:textId="5CDFC728" w:rsidR="00020BB4" w:rsidRPr="005E3C4C" w:rsidRDefault="00486CB2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7</w:t>
            </w:r>
            <w:r w:rsidR="00020BB4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0A7DFC33" w14:textId="0FE82FF6" w:rsidR="00020BB4" w:rsidRPr="000A28AD" w:rsidRDefault="00020BB4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1E40D47F" w14:textId="524BF318" w:rsidR="00020BB4" w:rsidRPr="00486CB2" w:rsidRDefault="00486CB2" w:rsidP="00AF53F7">
            <w:pPr>
              <w:jc w:val="center"/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486CB2"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  <w:hideMark/>
          </w:tcPr>
          <w:p w14:paraId="3824C6CE" w14:textId="3034C679" w:rsidR="00020BB4" w:rsidRPr="000A28AD" w:rsidRDefault="00486CB2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  <w:hideMark/>
          </w:tcPr>
          <w:p w14:paraId="75EBAF4A" w14:textId="0551BA0A" w:rsidR="00020BB4" w:rsidRPr="00486CB2" w:rsidRDefault="003673A3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FF0000"/>
                <w:sz w:val="18"/>
                <w:szCs w:val="18"/>
              </w:rPr>
            </w:pPr>
            <w:r w:rsidRPr="003673A3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68</w:t>
            </w:r>
          </w:p>
        </w:tc>
      </w:tr>
      <w:tr w:rsidR="00020BB4" w:rsidRPr="00C2294E" w14:paraId="7DA6B354" w14:textId="77777777" w:rsidTr="00020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2B9CB535" w14:textId="5AC5C543" w:rsidR="00020BB4" w:rsidRPr="000A28AD" w:rsidRDefault="0046490E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Economic growth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35E08C3E" w14:textId="5F8A42B4" w:rsidR="00020BB4" w:rsidRPr="000A28AD" w:rsidRDefault="00486CB2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34</w:t>
            </w:r>
            <w:r w:rsidR="00020BB4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02710623" w14:textId="2D7FC53F" w:rsidR="00020BB4" w:rsidRPr="005E3C4C" w:rsidRDefault="00486CB2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39</w:t>
            </w:r>
            <w:r w:rsidR="00020BB4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45051780" w14:textId="482B2670" w:rsidR="00020BB4" w:rsidRPr="000A28AD" w:rsidRDefault="00486CB2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27</w:t>
            </w:r>
            <w:r w:rsidR="00020BB4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6F635879" w14:textId="373F1AFA" w:rsidR="00020BB4" w:rsidRPr="00486CB2" w:rsidRDefault="00486CB2" w:rsidP="00AF53F7">
            <w:pPr>
              <w:jc w:val="center"/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486CB2"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  <w:hideMark/>
          </w:tcPr>
          <w:p w14:paraId="51461C08" w14:textId="51C296CA" w:rsidR="00020BB4" w:rsidRPr="000A28AD" w:rsidRDefault="00020BB4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</w:t>
            </w:r>
            <w:r w:rsidR="00486CB2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  <w:hideMark/>
          </w:tcPr>
          <w:p w14:paraId="09AE4556" w14:textId="7B735727" w:rsidR="00020BB4" w:rsidRPr="00486CB2" w:rsidRDefault="003673A3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FF0000"/>
                <w:sz w:val="18"/>
                <w:szCs w:val="18"/>
              </w:rPr>
            </w:pPr>
            <w:r w:rsidRPr="003673A3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57</w:t>
            </w:r>
          </w:p>
        </w:tc>
      </w:tr>
      <w:tr w:rsidR="00020BB4" w:rsidRPr="00C2294E" w14:paraId="2C0FA4DE" w14:textId="77777777" w:rsidTr="00020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7F3A9B77" w14:textId="6B4F81BB" w:rsidR="00020BB4" w:rsidRPr="000A28AD" w:rsidRDefault="0046490E" w:rsidP="00AF53F7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Corporate p</w:t>
            </w:r>
            <w:r w:rsidR="00020BB4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rofits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066B3179" w14:textId="25861DE1" w:rsidR="00020BB4" w:rsidRPr="000A28AD" w:rsidRDefault="00486CB2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</w:t>
            </w:r>
            <w:r w:rsidR="00020BB4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5955B191" w14:textId="7FE50178" w:rsidR="00020BB4" w:rsidRPr="005E3C4C" w:rsidRDefault="00020BB4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</w:t>
            </w:r>
            <w:r w:rsidR="00486CB2"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</w:t>
            </w:r>
            <w:r w:rsidRPr="005E3C4C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4789F3DF" w14:textId="50604183" w:rsidR="00020BB4" w:rsidRPr="000A28AD" w:rsidRDefault="00486CB2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40</w:t>
            </w:r>
            <w:r w:rsidR="00020BB4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125D96F1" w14:textId="73881C73" w:rsidR="00020BB4" w:rsidRPr="00486CB2" w:rsidRDefault="00486CB2" w:rsidP="00AF53F7">
            <w:pPr>
              <w:jc w:val="center"/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5E3C4C">
              <w:rPr>
                <w:rFonts w:eastAsia="Times New Roman" w:cs="Times New Roman"/>
                <w:i w:val="0"/>
                <w:iCs w:val="0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  <w:hideMark/>
          </w:tcPr>
          <w:p w14:paraId="2B7468BA" w14:textId="0F69E933" w:rsidR="00020BB4" w:rsidRPr="000A28AD" w:rsidRDefault="00486CB2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  <w:hideMark/>
          </w:tcPr>
          <w:p w14:paraId="2BE284DC" w14:textId="3A9CF788" w:rsidR="00020BB4" w:rsidRPr="00486CB2" w:rsidRDefault="00020BB4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FF0000"/>
                <w:sz w:val="18"/>
                <w:szCs w:val="18"/>
              </w:rPr>
            </w:pPr>
            <w:r w:rsidRPr="003673A3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</w:t>
            </w:r>
            <w:r w:rsidR="003673A3" w:rsidRPr="003673A3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3</w:t>
            </w:r>
          </w:p>
        </w:tc>
      </w:tr>
    </w:tbl>
    <w:p w14:paraId="6D9E61EF" w14:textId="1C1D9966" w:rsidR="00020BB4" w:rsidRDefault="00244841" w:rsidP="00797604">
      <w:pPr>
        <w:spacing w:after="0" w:line="120" w:lineRule="auto"/>
      </w:pPr>
      <w:r w:rsidRPr="00244841">
        <w:rPr>
          <w:rFonts w:eastAsia="Times New Roman" w:cstheme="minorHAnsi"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D04F5C" wp14:editId="35089661">
                <wp:simplePos x="0" y="0"/>
                <wp:positionH relativeFrom="margin">
                  <wp:posOffset>2887362</wp:posOffset>
                </wp:positionH>
                <wp:positionV relativeFrom="page">
                  <wp:posOffset>7216346</wp:posOffset>
                </wp:positionV>
                <wp:extent cx="3954145" cy="543560"/>
                <wp:effectExtent l="0" t="0" r="8255" b="8890"/>
                <wp:wrapTight wrapText="bothSides">
                  <wp:wrapPolygon edited="0">
                    <wp:start x="0" y="0"/>
                    <wp:lineTo x="0" y="21196"/>
                    <wp:lineTo x="21541" y="21196"/>
                    <wp:lineTo x="2154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4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DB52F" w14:textId="33D98F6D" w:rsidR="00244841" w:rsidRPr="000C4230" w:rsidRDefault="00244841" w:rsidP="00244841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C423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*Respondents were asked to provide comments related to supply chain </w:t>
                            </w:r>
                            <w:r w:rsidR="00B9353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issues</w:t>
                            </w:r>
                            <w:r w:rsidRPr="000C423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 The most common issues were inflation, labor shortages</w:t>
                            </w:r>
                            <w:r w:rsidRPr="000C4230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B93533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the political climate. </w:t>
                            </w:r>
                          </w:p>
                          <w:p w14:paraId="42BCB0DA" w14:textId="77777777" w:rsidR="00244841" w:rsidRDefault="00244841" w:rsidP="00244841">
                            <w:pPr>
                              <w:spacing w:after="0" w:line="240" w:lineRule="auto"/>
                            </w:pPr>
                          </w:p>
                          <w:p w14:paraId="2F65E02B" w14:textId="319BE144" w:rsidR="00244841" w:rsidRDefault="002448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04F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35pt;margin-top:568.2pt;width:311.35pt;height:42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" stroked="f">
                <v:textbox>
                  <w:txbxContent>
                    <w:p w14:paraId="441DB52F" w14:textId="33D98F6D" w:rsidR="00244841" w:rsidRPr="000C4230" w:rsidRDefault="00244841" w:rsidP="00244841">
                      <w:pPr>
                        <w:spacing w:after="0" w:line="24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C4230">
                        <w:rPr>
                          <w:i/>
                          <w:iCs/>
                          <w:sz w:val="18"/>
                          <w:szCs w:val="18"/>
                        </w:rPr>
                        <w:t xml:space="preserve">*Respondents were asked to provide comments related to supply chain </w:t>
                      </w:r>
                      <w:r w:rsidR="00B93533">
                        <w:rPr>
                          <w:i/>
                          <w:iCs/>
                          <w:sz w:val="18"/>
                          <w:szCs w:val="18"/>
                        </w:rPr>
                        <w:t>issues</w:t>
                      </w:r>
                      <w:r w:rsidRPr="000C4230">
                        <w:rPr>
                          <w:i/>
                          <w:iCs/>
                          <w:sz w:val="18"/>
                          <w:szCs w:val="18"/>
                        </w:rPr>
                        <w:t>. The most common issues were inflation, labor shortages</w:t>
                      </w:r>
                      <w:r w:rsidRPr="000C4230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 and </w:t>
                      </w:r>
                      <w:r w:rsidR="00B93533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the political climate. </w:t>
                      </w:r>
                    </w:p>
                    <w:p w14:paraId="42BCB0DA" w14:textId="77777777" w:rsidR="00244841" w:rsidRDefault="00244841" w:rsidP="00244841">
                      <w:pPr>
                        <w:spacing w:after="0" w:line="240" w:lineRule="auto"/>
                      </w:pPr>
                    </w:p>
                    <w:p w14:paraId="2F65E02B" w14:textId="319BE144" w:rsidR="00244841" w:rsidRDefault="00244841"/>
                  </w:txbxContent>
                </v:textbox>
                <w10:wrap type="tight" anchorx="margin" anchory="page"/>
              </v:shape>
            </w:pict>
          </mc:Fallback>
        </mc:AlternateContent>
      </w:r>
    </w:p>
    <w:tbl>
      <w:tblPr>
        <w:tblStyle w:val="PlainTable5"/>
        <w:tblW w:w="4159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620" w:firstRow="1" w:lastRow="0" w:firstColumn="0" w:lastColumn="0" w:noHBand="1" w:noVBand="1"/>
        <w:tblCaption w:val="Business Comparison Indicators: 2014-2015"/>
        <w:tblDescription w:val="Table coparing business indicators between 2014 and 2015."/>
      </w:tblPr>
      <w:tblGrid>
        <w:gridCol w:w="3367"/>
        <w:gridCol w:w="792"/>
      </w:tblGrid>
      <w:tr w:rsidR="0046490E" w:rsidRPr="00623BC4" w14:paraId="722A6215" w14:textId="77777777" w:rsidTr="00272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5C7F9B26" w14:textId="2BDA84E9" w:rsidR="0046490E" w:rsidRPr="000A28AD" w:rsidRDefault="00364C1F" w:rsidP="00AF53F7">
            <w:pP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Supply chain</w:t>
            </w:r>
            <w:r w:rsidR="00B93533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 xml:space="preserve"> issues</w:t>
            </w:r>
            <w:r w:rsidR="00244841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*</w:t>
            </w:r>
          </w:p>
        </w:tc>
        <w:tc>
          <w:tcPr>
            <w:tcW w:w="792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BDD6EE" w:themeFill="accent1" w:themeFillTint="66"/>
            <w:noWrap/>
            <w:hideMark/>
          </w:tcPr>
          <w:p w14:paraId="266FF1CC" w14:textId="59824C6A" w:rsidR="0046490E" w:rsidRPr="000A28AD" w:rsidRDefault="002727C4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Percent</w:t>
            </w:r>
          </w:p>
        </w:tc>
      </w:tr>
      <w:tr w:rsidR="0046490E" w:rsidRPr="00C2294E" w14:paraId="0F15E780" w14:textId="77777777" w:rsidTr="00272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tcBorders>
              <w:top w:val="single" w:sz="4" w:space="0" w:color="44546A" w:themeColor="text2"/>
            </w:tcBorders>
            <w:noWrap/>
            <w:hideMark/>
          </w:tcPr>
          <w:p w14:paraId="5F01C154" w14:textId="6B5ED013" w:rsidR="0046490E" w:rsidRPr="00644828" w:rsidRDefault="00797604" w:rsidP="00AF53F7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644828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Raw materials availability</w:t>
            </w:r>
          </w:p>
        </w:tc>
        <w:tc>
          <w:tcPr>
            <w:tcW w:w="792" w:type="dxa"/>
            <w:tcBorders>
              <w:top w:val="single" w:sz="4" w:space="0" w:color="44546A" w:themeColor="text2"/>
            </w:tcBorders>
            <w:noWrap/>
            <w:hideMark/>
          </w:tcPr>
          <w:p w14:paraId="61629D8A" w14:textId="2140C707" w:rsidR="0046490E" w:rsidRPr="000A28AD" w:rsidRDefault="00364C1F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88</w:t>
            </w:r>
            <w:r w:rsidR="0046490E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</w:tr>
      <w:tr w:rsidR="0046490E" w:rsidRPr="00C2294E" w14:paraId="4A368BE9" w14:textId="77777777" w:rsidTr="00272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noWrap/>
            <w:hideMark/>
          </w:tcPr>
          <w:p w14:paraId="565EC243" w14:textId="228D5B4E" w:rsidR="0046490E" w:rsidRPr="00644828" w:rsidRDefault="00797604" w:rsidP="00AF53F7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644828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Domestic supplier issues</w:t>
            </w:r>
          </w:p>
        </w:tc>
        <w:tc>
          <w:tcPr>
            <w:tcW w:w="792" w:type="dxa"/>
            <w:noWrap/>
            <w:hideMark/>
          </w:tcPr>
          <w:p w14:paraId="0C4F56FD" w14:textId="396B46F0" w:rsidR="0046490E" w:rsidRPr="000A28AD" w:rsidRDefault="00797604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82</w:t>
            </w:r>
            <w:r w:rsidR="0046490E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</w:tr>
      <w:tr w:rsidR="0046490E" w:rsidRPr="00C2294E" w14:paraId="01AFA295" w14:textId="77777777" w:rsidTr="00272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noWrap/>
            <w:hideMark/>
          </w:tcPr>
          <w:p w14:paraId="29A24090" w14:textId="7929B7E2" w:rsidR="0046490E" w:rsidRPr="00644828" w:rsidRDefault="00797604" w:rsidP="00AF53F7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644828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Labor issues</w:t>
            </w:r>
          </w:p>
        </w:tc>
        <w:tc>
          <w:tcPr>
            <w:tcW w:w="792" w:type="dxa"/>
            <w:noWrap/>
            <w:hideMark/>
          </w:tcPr>
          <w:p w14:paraId="5093A2C3" w14:textId="137836BA" w:rsidR="0046490E" w:rsidRPr="000A28AD" w:rsidRDefault="00797604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80</w:t>
            </w:r>
            <w:r w:rsidR="0046490E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</w:tr>
      <w:tr w:rsidR="0046490E" w:rsidRPr="00C2294E" w14:paraId="5C41EA55" w14:textId="77777777" w:rsidTr="00272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noWrap/>
            <w:hideMark/>
          </w:tcPr>
          <w:p w14:paraId="49FCD34B" w14:textId="50803FC1" w:rsidR="0046490E" w:rsidRPr="00644828" w:rsidRDefault="00797604" w:rsidP="00AF53F7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644828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Transportation/</w:t>
            </w:r>
            <w:r w:rsidR="00B93533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l</w:t>
            </w:r>
            <w:r w:rsidRPr="00644828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ogistic</w:t>
            </w:r>
            <w:r w:rsidR="00B93533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s</w:t>
            </w:r>
            <w:r w:rsidRPr="00644828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 xml:space="preserve"> Issues</w:t>
            </w:r>
          </w:p>
        </w:tc>
        <w:tc>
          <w:tcPr>
            <w:tcW w:w="792" w:type="dxa"/>
            <w:noWrap/>
            <w:hideMark/>
          </w:tcPr>
          <w:p w14:paraId="0342C1B0" w14:textId="26687607" w:rsidR="0046490E" w:rsidRPr="000A28AD" w:rsidRDefault="00797604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78</w:t>
            </w:r>
            <w:r w:rsidR="0046490E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</w:tr>
      <w:tr w:rsidR="0046490E" w:rsidRPr="00C2294E" w14:paraId="147BE035" w14:textId="77777777" w:rsidTr="00272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noWrap/>
            <w:hideMark/>
          </w:tcPr>
          <w:p w14:paraId="67C7B14B" w14:textId="40386C57" w:rsidR="0046490E" w:rsidRPr="00644828" w:rsidRDefault="00797604" w:rsidP="00AF53F7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644828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Overseas supplier issues</w:t>
            </w:r>
          </w:p>
        </w:tc>
        <w:tc>
          <w:tcPr>
            <w:tcW w:w="792" w:type="dxa"/>
            <w:noWrap/>
            <w:hideMark/>
          </w:tcPr>
          <w:p w14:paraId="72E97218" w14:textId="4208432E" w:rsidR="0046490E" w:rsidRPr="000A28AD" w:rsidRDefault="00797604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68</w:t>
            </w:r>
            <w:r w:rsidR="0046490E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</w:tr>
      <w:tr w:rsidR="0046490E" w:rsidRPr="00C2294E" w14:paraId="56B3A81E" w14:textId="77777777" w:rsidTr="00272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noWrap/>
            <w:hideMark/>
          </w:tcPr>
          <w:p w14:paraId="6F5513F0" w14:textId="58FD9240" w:rsidR="0046490E" w:rsidRPr="00644828" w:rsidRDefault="00797604" w:rsidP="00AF53F7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644828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COVID-19 issues</w:t>
            </w:r>
          </w:p>
        </w:tc>
        <w:tc>
          <w:tcPr>
            <w:tcW w:w="792" w:type="dxa"/>
            <w:noWrap/>
            <w:hideMark/>
          </w:tcPr>
          <w:p w14:paraId="2DEAD15B" w14:textId="0A296281" w:rsidR="0046490E" w:rsidRPr="000A28AD" w:rsidRDefault="00797604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56</w:t>
            </w:r>
            <w:r w:rsidR="0046490E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</w:tr>
      <w:tr w:rsidR="00797604" w:rsidRPr="00C2294E" w14:paraId="73B3067B" w14:textId="77777777" w:rsidTr="00272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noWrap/>
          </w:tcPr>
          <w:p w14:paraId="17E2213A" w14:textId="3B5005D6" w:rsidR="00797604" w:rsidRPr="00644828" w:rsidRDefault="00797604" w:rsidP="00AF53F7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644828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Production process issues</w:t>
            </w:r>
          </w:p>
        </w:tc>
        <w:tc>
          <w:tcPr>
            <w:tcW w:w="792" w:type="dxa"/>
            <w:noWrap/>
          </w:tcPr>
          <w:p w14:paraId="592175DA" w14:textId="2EF73641" w:rsidR="00797604" w:rsidRDefault="00797604" w:rsidP="00AF53F7">
            <w:pPr>
              <w:jc w:val="center"/>
              <w:rPr>
                <w:rFonts w:eastAsia="Times New Roman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 w:val="0"/>
                <w:color w:val="000000"/>
                <w:sz w:val="18"/>
                <w:szCs w:val="18"/>
              </w:rPr>
              <w:t>43%</w:t>
            </w:r>
          </w:p>
        </w:tc>
      </w:tr>
      <w:tr w:rsidR="00797604" w:rsidRPr="00C2294E" w14:paraId="080AB8DB" w14:textId="77777777" w:rsidTr="00272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noWrap/>
          </w:tcPr>
          <w:p w14:paraId="6E9842FD" w14:textId="31D5F6A1" w:rsidR="00797604" w:rsidRPr="00644828" w:rsidRDefault="00797604" w:rsidP="00AF53F7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644828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Software malfunction</w:t>
            </w:r>
          </w:p>
        </w:tc>
        <w:tc>
          <w:tcPr>
            <w:tcW w:w="792" w:type="dxa"/>
            <w:noWrap/>
          </w:tcPr>
          <w:p w14:paraId="624EE742" w14:textId="166B7E40" w:rsidR="00797604" w:rsidRDefault="00797604" w:rsidP="00AF53F7">
            <w:pPr>
              <w:jc w:val="center"/>
              <w:rPr>
                <w:rFonts w:eastAsia="Times New Roman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 w:val="0"/>
                <w:color w:val="000000"/>
                <w:sz w:val="18"/>
                <w:szCs w:val="18"/>
              </w:rPr>
              <w:t>7%</w:t>
            </w:r>
          </w:p>
        </w:tc>
      </w:tr>
      <w:tr w:rsidR="00797604" w:rsidRPr="00C2294E" w14:paraId="7087C038" w14:textId="77777777" w:rsidTr="00272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noWrap/>
          </w:tcPr>
          <w:p w14:paraId="3E38E833" w14:textId="0B939972" w:rsidR="00797604" w:rsidRPr="00644828" w:rsidRDefault="00797604" w:rsidP="00AF53F7">
            <w:pPr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</w:pPr>
            <w:r w:rsidRPr="00644828">
              <w:rPr>
                <w:rFonts w:asciiTheme="minorHAnsi" w:eastAsia="Times New Roman" w:hAnsiTheme="minorHAnsi" w:cstheme="minorHAnsi"/>
                <w:i w:val="0"/>
                <w:color w:val="000000"/>
                <w:sz w:val="18"/>
                <w:szCs w:val="18"/>
              </w:rPr>
              <w:t>No supply chain issues</w:t>
            </w:r>
          </w:p>
        </w:tc>
        <w:tc>
          <w:tcPr>
            <w:tcW w:w="792" w:type="dxa"/>
            <w:noWrap/>
          </w:tcPr>
          <w:p w14:paraId="2830BB22" w14:textId="132983BA" w:rsidR="00797604" w:rsidRDefault="00797604" w:rsidP="00AF53F7">
            <w:pPr>
              <w:jc w:val="center"/>
              <w:rPr>
                <w:rFonts w:eastAsia="Times New Roman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 w:val="0"/>
                <w:color w:val="000000"/>
                <w:sz w:val="18"/>
                <w:szCs w:val="18"/>
              </w:rPr>
              <w:t>2%</w:t>
            </w:r>
          </w:p>
        </w:tc>
      </w:tr>
    </w:tbl>
    <w:p w14:paraId="77BF32EE" w14:textId="16106974" w:rsidR="008917AD" w:rsidRPr="00500E37" w:rsidRDefault="002727C4" w:rsidP="00162FEF">
      <w:pPr>
        <w:spacing w:after="0" w:line="240" w:lineRule="auto"/>
      </w:pPr>
      <w:r w:rsidRPr="00877E6A">
        <w:rPr>
          <w:sz w:val="14"/>
          <w:szCs w:val="14"/>
        </w:rPr>
        <w:t xml:space="preserve">1) </w:t>
      </w:r>
      <w:r>
        <w:rPr>
          <w:sz w:val="14"/>
          <w:szCs w:val="14"/>
        </w:rPr>
        <w:t>Based on responses from 261</w:t>
      </w:r>
      <w:r w:rsidRPr="009B7A08">
        <w:rPr>
          <w:sz w:val="14"/>
          <w:szCs w:val="14"/>
        </w:rPr>
        <w:t xml:space="preserve"> </w:t>
      </w:r>
      <w:r>
        <w:rPr>
          <w:sz w:val="14"/>
          <w:szCs w:val="14"/>
        </w:rPr>
        <w:t>Minnesota manufacturing firms, for a response rate of 26.1%</w:t>
      </w:r>
      <w:r w:rsidRPr="00877E6A">
        <w:rPr>
          <w:sz w:val="14"/>
          <w:szCs w:val="14"/>
        </w:rPr>
        <w:t>. The samp</w:t>
      </w:r>
      <w:r>
        <w:rPr>
          <w:sz w:val="14"/>
          <w:szCs w:val="14"/>
        </w:rPr>
        <w:t>ling error is plus or minus 5.2 percent at a 95%</w:t>
      </w:r>
      <w:r w:rsidRPr="00877E6A">
        <w:rPr>
          <w:sz w:val="14"/>
          <w:szCs w:val="14"/>
        </w:rPr>
        <w:t xml:space="preserve"> confidence level. P</w:t>
      </w:r>
      <w:r>
        <w:rPr>
          <w:sz w:val="14"/>
          <w:szCs w:val="14"/>
        </w:rPr>
        <w:t>ercentages might not add up to 100%</w:t>
      </w:r>
      <w:r w:rsidRPr="00877E6A">
        <w:rPr>
          <w:sz w:val="14"/>
          <w:szCs w:val="14"/>
        </w:rPr>
        <w:t xml:space="preserve"> due to rounding. </w:t>
      </w:r>
      <w:r w:rsidRPr="00877E6A">
        <w:rPr>
          <w:sz w:val="14"/>
          <w:szCs w:val="14"/>
        </w:rPr>
        <w:br/>
        <w:t xml:space="preserve">(2) A diffusion index greater than 50 indicates expansion, lower than 50 indicates contraction. </w:t>
      </w:r>
      <w:r w:rsidRPr="00877E6A">
        <w:rPr>
          <w:sz w:val="14"/>
          <w:szCs w:val="14"/>
        </w:rPr>
        <w:br/>
        <w:t>Prepar</w:t>
      </w:r>
      <w:r>
        <w:rPr>
          <w:sz w:val="14"/>
          <w:szCs w:val="14"/>
        </w:rPr>
        <w:t>ed by the Economic Analysis Unit</w:t>
      </w:r>
      <w:r w:rsidRPr="00877E6A">
        <w:rPr>
          <w:sz w:val="14"/>
          <w:szCs w:val="14"/>
        </w:rPr>
        <w:t xml:space="preserve">, Minnesota Department of Employment and Economic </w:t>
      </w:r>
      <w:r>
        <w:rPr>
          <w:sz w:val="14"/>
          <w:szCs w:val="14"/>
        </w:rPr>
        <w:t>Development, January 2</w:t>
      </w:r>
      <w:r w:rsidR="009F5AAB">
        <w:rPr>
          <w:sz w:val="14"/>
          <w:szCs w:val="14"/>
        </w:rPr>
        <w:t>02</w:t>
      </w:r>
      <w:r w:rsidR="00626719">
        <w:rPr>
          <w:sz w:val="14"/>
          <w:szCs w:val="14"/>
        </w:rPr>
        <w:t>2.</w:t>
      </w:r>
    </w:p>
    <w:sectPr w:rsidR="008917AD" w:rsidRPr="00500E37" w:rsidSect="00BE1B8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BD57D" w14:textId="77777777" w:rsidR="00A81232" w:rsidRDefault="00A81232" w:rsidP="00722892">
      <w:pPr>
        <w:spacing w:after="0" w:line="240" w:lineRule="auto"/>
      </w:pPr>
      <w:r>
        <w:separator/>
      </w:r>
    </w:p>
  </w:endnote>
  <w:endnote w:type="continuationSeparator" w:id="0">
    <w:p w14:paraId="4D24C8EF" w14:textId="77777777" w:rsidR="00A81232" w:rsidRDefault="00A81232" w:rsidP="0072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D354C" w14:textId="77777777" w:rsidR="00A81232" w:rsidRDefault="00A81232" w:rsidP="00722892">
      <w:pPr>
        <w:spacing w:after="0" w:line="240" w:lineRule="auto"/>
      </w:pPr>
      <w:r>
        <w:separator/>
      </w:r>
    </w:p>
  </w:footnote>
  <w:footnote w:type="continuationSeparator" w:id="0">
    <w:p w14:paraId="3FE46053" w14:textId="77777777" w:rsidR="00A81232" w:rsidRDefault="00A81232" w:rsidP="00722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9792C"/>
    <w:multiLevelType w:val="hybridMultilevel"/>
    <w:tmpl w:val="4F46C5A4"/>
    <w:lvl w:ilvl="0" w:tplc="7EC49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4002"/>
    <w:multiLevelType w:val="hybridMultilevel"/>
    <w:tmpl w:val="90360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0DA1"/>
    <w:multiLevelType w:val="hybridMultilevel"/>
    <w:tmpl w:val="B8CE587E"/>
    <w:lvl w:ilvl="0" w:tplc="C19634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2D4075"/>
    <w:multiLevelType w:val="hybridMultilevel"/>
    <w:tmpl w:val="77DE0E20"/>
    <w:lvl w:ilvl="0" w:tplc="FEC443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73C2"/>
    <w:multiLevelType w:val="hybridMultilevel"/>
    <w:tmpl w:val="C54C98A6"/>
    <w:lvl w:ilvl="0" w:tplc="710E8D2E">
      <w:start w:val="1"/>
      <w:numFmt w:val="decimal"/>
      <w:lvlText w:val="(%1)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3AAD4C75"/>
    <w:multiLevelType w:val="hybridMultilevel"/>
    <w:tmpl w:val="D97AB74E"/>
    <w:lvl w:ilvl="0" w:tplc="593A9BF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229547C"/>
    <w:multiLevelType w:val="hybridMultilevel"/>
    <w:tmpl w:val="63AE7CF0"/>
    <w:lvl w:ilvl="0" w:tplc="16A4D16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C3162D5"/>
    <w:multiLevelType w:val="hybridMultilevel"/>
    <w:tmpl w:val="2B5E2D2E"/>
    <w:lvl w:ilvl="0" w:tplc="18A02B5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FF4843"/>
    <w:multiLevelType w:val="hybridMultilevel"/>
    <w:tmpl w:val="CA0CEBC6"/>
    <w:lvl w:ilvl="0" w:tplc="EC82D616">
      <w:start w:val="1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FA"/>
    <w:rsid w:val="000017A0"/>
    <w:rsid w:val="000055EB"/>
    <w:rsid w:val="00006BCD"/>
    <w:rsid w:val="000102FA"/>
    <w:rsid w:val="0001635B"/>
    <w:rsid w:val="00020BB4"/>
    <w:rsid w:val="00023BB3"/>
    <w:rsid w:val="000251AA"/>
    <w:rsid w:val="00043367"/>
    <w:rsid w:val="000530CD"/>
    <w:rsid w:val="0005336B"/>
    <w:rsid w:val="000547A3"/>
    <w:rsid w:val="000631E3"/>
    <w:rsid w:val="00064F89"/>
    <w:rsid w:val="000715D1"/>
    <w:rsid w:val="00085CB5"/>
    <w:rsid w:val="00085F89"/>
    <w:rsid w:val="00093843"/>
    <w:rsid w:val="00096E85"/>
    <w:rsid w:val="00097993"/>
    <w:rsid w:val="000A0BC3"/>
    <w:rsid w:val="000A28AD"/>
    <w:rsid w:val="000A65D8"/>
    <w:rsid w:val="000B4D88"/>
    <w:rsid w:val="000B68D5"/>
    <w:rsid w:val="000B7992"/>
    <w:rsid w:val="000C04EE"/>
    <w:rsid w:val="000C0B66"/>
    <w:rsid w:val="000C107F"/>
    <w:rsid w:val="000C1BCF"/>
    <w:rsid w:val="000C4230"/>
    <w:rsid w:val="000D53DE"/>
    <w:rsid w:val="000E746C"/>
    <w:rsid w:val="000F78D5"/>
    <w:rsid w:val="00100C21"/>
    <w:rsid w:val="001215A7"/>
    <w:rsid w:val="00126400"/>
    <w:rsid w:val="00130B1B"/>
    <w:rsid w:val="0013508B"/>
    <w:rsid w:val="00141598"/>
    <w:rsid w:val="001429B3"/>
    <w:rsid w:val="00144626"/>
    <w:rsid w:val="0015193C"/>
    <w:rsid w:val="00157FEC"/>
    <w:rsid w:val="00162FEF"/>
    <w:rsid w:val="00170768"/>
    <w:rsid w:val="00174C4B"/>
    <w:rsid w:val="00174D79"/>
    <w:rsid w:val="00180F16"/>
    <w:rsid w:val="00181E11"/>
    <w:rsid w:val="001873F4"/>
    <w:rsid w:val="00196671"/>
    <w:rsid w:val="001A1D64"/>
    <w:rsid w:val="001A70BD"/>
    <w:rsid w:val="001D0139"/>
    <w:rsid w:val="001D1D2A"/>
    <w:rsid w:val="001D489B"/>
    <w:rsid w:val="001D7C7A"/>
    <w:rsid w:val="001E385C"/>
    <w:rsid w:val="001E5A34"/>
    <w:rsid w:val="001E5E26"/>
    <w:rsid w:val="001F0C8E"/>
    <w:rsid w:val="001F26CC"/>
    <w:rsid w:val="001F4C74"/>
    <w:rsid w:val="001F7133"/>
    <w:rsid w:val="00200309"/>
    <w:rsid w:val="002054F5"/>
    <w:rsid w:val="00225875"/>
    <w:rsid w:val="0023223B"/>
    <w:rsid w:val="00235D13"/>
    <w:rsid w:val="00236C0B"/>
    <w:rsid w:val="00243472"/>
    <w:rsid w:val="002439E6"/>
    <w:rsid w:val="0024440C"/>
    <w:rsid w:val="00244841"/>
    <w:rsid w:val="00245A31"/>
    <w:rsid w:val="0025036B"/>
    <w:rsid w:val="002557E3"/>
    <w:rsid w:val="00263477"/>
    <w:rsid w:val="00266F95"/>
    <w:rsid w:val="002727C4"/>
    <w:rsid w:val="00273A9B"/>
    <w:rsid w:val="00273DC2"/>
    <w:rsid w:val="00280798"/>
    <w:rsid w:val="00286A99"/>
    <w:rsid w:val="002934A2"/>
    <w:rsid w:val="00293720"/>
    <w:rsid w:val="00294C47"/>
    <w:rsid w:val="00297604"/>
    <w:rsid w:val="002A39E0"/>
    <w:rsid w:val="002A419E"/>
    <w:rsid w:val="002A4627"/>
    <w:rsid w:val="002A54B0"/>
    <w:rsid w:val="002C0DF7"/>
    <w:rsid w:val="002C1301"/>
    <w:rsid w:val="002C48DC"/>
    <w:rsid w:val="002C5461"/>
    <w:rsid w:val="002C784F"/>
    <w:rsid w:val="002D0924"/>
    <w:rsid w:val="002D20C8"/>
    <w:rsid w:val="002E0F6D"/>
    <w:rsid w:val="002E4C76"/>
    <w:rsid w:val="002E60AC"/>
    <w:rsid w:val="002F1C66"/>
    <w:rsid w:val="002F2803"/>
    <w:rsid w:val="003058BA"/>
    <w:rsid w:val="00311D39"/>
    <w:rsid w:val="00322627"/>
    <w:rsid w:val="003368D3"/>
    <w:rsid w:val="00337ABD"/>
    <w:rsid w:val="00346D0D"/>
    <w:rsid w:val="00351D1F"/>
    <w:rsid w:val="003549BF"/>
    <w:rsid w:val="00364C1F"/>
    <w:rsid w:val="00367060"/>
    <w:rsid w:val="003673A3"/>
    <w:rsid w:val="00373ED3"/>
    <w:rsid w:val="003774CD"/>
    <w:rsid w:val="003809EF"/>
    <w:rsid w:val="003844D4"/>
    <w:rsid w:val="00391C69"/>
    <w:rsid w:val="003942C0"/>
    <w:rsid w:val="00394DB6"/>
    <w:rsid w:val="003B032B"/>
    <w:rsid w:val="003B28DB"/>
    <w:rsid w:val="003B2FD3"/>
    <w:rsid w:val="003B59F7"/>
    <w:rsid w:val="003B5D7E"/>
    <w:rsid w:val="003C059D"/>
    <w:rsid w:val="003C1F68"/>
    <w:rsid w:val="003E0958"/>
    <w:rsid w:val="003E3664"/>
    <w:rsid w:val="003E50F2"/>
    <w:rsid w:val="003E5789"/>
    <w:rsid w:val="003F33BB"/>
    <w:rsid w:val="003F5F27"/>
    <w:rsid w:val="003F62BE"/>
    <w:rsid w:val="003F67FA"/>
    <w:rsid w:val="00411327"/>
    <w:rsid w:val="00413D79"/>
    <w:rsid w:val="0041750B"/>
    <w:rsid w:val="004262DB"/>
    <w:rsid w:val="0042686B"/>
    <w:rsid w:val="00427A28"/>
    <w:rsid w:val="0043194C"/>
    <w:rsid w:val="00444F06"/>
    <w:rsid w:val="004569DA"/>
    <w:rsid w:val="00457917"/>
    <w:rsid w:val="004609C7"/>
    <w:rsid w:val="0046490E"/>
    <w:rsid w:val="004662B5"/>
    <w:rsid w:val="0047340A"/>
    <w:rsid w:val="00483587"/>
    <w:rsid w:val="00486CB2"/>
    <w:rsid w:val="00490F2E"/>
    <w:rsid w:val="00492659"/>
    <w:rsid w:val="0049334A"/>
    <w:rsid w:val="004A770C"/>
    <w:rsid w:val="004B002E"/>
    <w:rsid w:val="004B3D02"/>
    <w:rsid w:val="004B46A0"/>
    <w:rsid w:val="004C194A"/>
    <w:rsid w:val="004C508D"/>
    <w:rsid w:val="004D5B1E"/>
    <w:rsid w:val="004E068C"/>
    <w:rsid w:val="004E12F2"/>
    <w:rsid w:val="004E3C39"/>
    <w:rsid w:val="004F502B"/>
    <w:rsid w:val="00500E37"/>
    <w:rsid w:val="00503CFE"/>
    <w:rsid w:val="0051195F"/>
    <w:rsid w:val="00514988"/>
    <w:rsid w:val="005252B0"/>
    <w:rsid w:val="00531B2D"/>
    <w:rsid w:val="00550643"/>
    <w:rsid w:val="0055748C"/>
    <w:rsid w:val="00565C48"/>
    <w:rsid w:val="00567732"/>
    <w:rsid w:val="00584451"/>
    <w:rsid w:val="005A24D4"/>
    <w:rsid w:val="005A2834"/>
    <w:rsid w:val="005A45F6"/>
    <w:rsid w:val="005B6565"/>
    <w:rsid w:val="005B6BED"/>
    <w:rsid w:val="005C5C85"/>
    <w:rsid w:val="005C75EA"/>
    <w:rsid w:val="005D05C5"/>
    <w:rsid w:val="005D072B"/>
    <w:rsid w:val="005D393F"/>
    <w:rsid w:val="005D442B"/>
    <w:rsid w:val="005E3C4C"/>
    <w:rsid w:val="005F0E3F"/>
    <w:rsid w:val="005F3E68"/>
    <w:rsid w:val="006179E9"/>
    <w:rsid w:val="00626719"/>
    <w:rsid w:val="00627309"/>
    <w:rsid w:val="006301CA"/>
    <w:rsid w:val="006309E6"/>
    <w:rsid w:val="006327BB"/>
    <w:rsid w:val="0063644F"/>
    <w:rsid w:val="00644828"/>
    <w:rsid w:val="006449F7"/>
    <w:rsid w:val="00645D18"/>
    <w:rsid w:val="00646650"/>
    <w:rsid w:val="00646763"/>
    <w:rsid w:val="0065167F"/>
    <w:rsid w:val="0065730A"/>
    <w:rsid w:val="00663DCC"/>
    <w:rsid w:val="006659C8"/>
    <w:rsid w:val="00671474"/>
    <w:rsid w:val="00671D12"/>
    <w:rsid w:val="00692DDC"/>
    <w:rsid w:val="006A1085"/>
    <w:rsid w:val="006A387C"/>
    <w:rsid w:val="006A44DF"/>
    <w:rsid w:val="006B0B3E"/>
    <w:rsid w:val="006B28F7"/>
    <w:rsid w:val="006B3637"/>
    <w:rsid w:val="006B4564"/>
    <w:rsid w:val="006B6F5E"/>
    <w:rsid w:val="006C6700"/>
    <w:rsid w:val="006D3884"/>
    <w:rsid w:val="006D3B3F"/>
    <w:rsid w:val="006F7EFC"/>
    <w:rsid w:val="00702D96"/>
    <w:rsid w:val="0070375F"/>
    <w:rsid w:val="0070546F"/>
    <w:rsid w:val="007075DF"/>
    <w:rsid w:val="007145B2"/>
    <w:rsid w:val="007171B2"/>
    <w:rsid w:val="007178EA"/>
    <w:rsid w:val="00722892"/>
    <w:rsid w:val="007242DF"/>
    <w:rsid w:val="00726C57"/>
    <w:rsid w:val="0073212E"/>
    <w:rsid w:val="007339B7"/>
    <w:rsid w:val="00742BA0"/>
    <w:rsid w:val="00743632"/>
    <w:rsid w:val="0075193C"/>
    <w:rsid w:val="00752148"/>
    <w:rsid w:val="00756DD3"/>
    <w:rsid w:val="007579D5"/>
    <w:rsid w:val="00762DAF"/>
    <w:rsid w:val="00765F50"/>
    <w:rsid w:val="00771521"/>
    <w:rsid w:val="00772584"/>
    <w:rsid w:val="007850A1"/>
    <w:rsid w:val="00786854"/>
    <w:rsid w:val="007874B0"/>
    <w:rsid w:val="00795376"/>
    <w:rsid w:val="00797604"/>
    <w:rsid w:val="007B16BB"/>
    <w:rsid w:val="007C3754"/>
    <w:rsid w:val="007C629F"/>
    <w:rsid w:val="007D7CFA"/>
    <w:rsid w:val="007E2463"/>
    <w:rsid w:val="007F04CE"/>
    <w:rsid w:val="007F61A9"/>
    <w:rsid w:val="008051D0"/>
    <w:rsid w:val="00810157"/>
    <w:rsid w:val="00811679"/>
    <w:rsid w:val="00814ED5"/>
    <w:rsid w:val="00814F86"/>
    <w:rsid w:val="00820241"/>
    <w:rsid w:val="00825F3C"/>
    <w:rsid w:val="00831B82"/>
    <w:rsid w:val="00835E20"/>
    <w:rsid w:val="00836269"/>
    <w:rsid w:val="00836305"/>
    <w:rsid w:val="008417ED"/>
    <w:rsid w:val="0084634F"/>
    <w:rsid w:val="008505F9"/>
    <w:rsid w:val="00853F8F"/>
    <w:rsid w:val="00855892"/>
    <w:rsid w:val="00866AE5"/>
    <w:rsid w:val="00872472"/>
    <w:rsid w:val="0087386F"/>
    <w:rsid w:val="00873CE5"/>
    <w:rsid w:val="00875E22"/>
    <w:rsid w:val="00877E6A"/>
    <w:rsid w:val="00881A20"/>
    <w:rsid w:val="00881C43"/>
    <w:rsid w:val="008917AD"/>
    <w:rsid w:val="0089194E"/>
    <w:rsid w:val="008959F9"/>
    <w:rsid w:val="008A3741"/>
    <w:rsid w:val="008A3B5D"/>
    <w:rsid w:val="008A7B58"/>
    <w:rsid w:val="008B00D4"/>
    <w:rsid w:val="008B2E6E"/>
    <w:rsid w:val="008B388C"/>
    <w:rsid w:val="008B5D54"/>
    <w:rsid w:val="008C0851"/>
    <w:rsid w:val="008C6664"/>
    <w:rsid w:val="008C6794"/>
    <w:rsid w:val="008C7C93"/>
    <w:rsid w:val="008D3F64"/>
    <w:rsid w:val="008D6DDD"/>
    <w:rsid w:val="008E015A"/>
    <w:rsid w:val="008E7E58"/>
    <w:rsid w:val="008F3959"/>
    <w:rsid w:val="008F3AB3"/>
    <w:rsid w:val="00902FE2"/>
    <w:rsid w:val="00930B60"/>
    <w:rsid w:val="0093264D"/>
    <w:rsid w:val="0093302A"/>
    <w:rsid w:val="00933559"/>
    <w:rsid w:val="00937AC5"/>
    <w:rsid w:val="00941384"/>
    <w:rsid w:val="0094164D"/>
    <w:rsid w:val="009468D5"/>
    <w:rsid w:val="00955E99"/>
    <w:rsid w:val="0095690F"/>
    <w:rsid w:val="00961887"/>
    <w:rsid w:val="00961CE3"/>
    <w:rsid w:val="00962FBB"/>
    <w:rsid w:val="00965C6D"/>
    <w:rsid w:val="009713A3"/>
    <w:rsid w:val="00972D5C"/>
    <w:rsid w:val="009768AE"/>
    <w:rsid w:val="00995CB9"/>
    <w:rsid w:val="009969EB"/>
    <w:rsid w:val="009A0736"/>
    <w:rsid w:val="009A1D8F"/>
    <w:rsid w:val="009A1F63"/>
    <w:rsid w:val="009A7E27"/>
    <w:rsid w:val="009B07B0"/>
    <w:rsid w:val="009B3DF5"/>
    <w:rsid w:val="009B70AB"/>
    <w:rsid w:val="009B7995"/>
    <w:rsid w:val="009B7A08"/>
    <w:rsid w:val="009C0451"/>
    <w:rsid w:val="009C245E"/>
    <w:rsid w:val="009C2E72"/>
    <w:rsid w:val="009D2102"/>
    <w:rsid w:val="009D6A9C"/>
    <w:rsid w:val="009D720D"/>
    <w:rsid w:val="009E4192"/>
    <w:rsid w:val="009E438F"/>
    <w:rsid w:val="009E5174"/>
    <w:rsid w:val="009F13ED"/>
    <w:rsid w:val="009F1D58"/>
    <w:rsid w:val="009F26AA"/>
    <w:rsid w:val="009F568F"/>
    <w:rsid w:val="009F5AAB"/>
    <w:rsid w:val="009F7D57"/>
    <w:rsid w:val="00A02317"/>
    <w:rsid w:val="00A075E0"/>
    <w:rsid w:val="00A121AF"/>
    <w:rsid w:val="00A257DB"/>
    <w:rsid w:val="00A2646F"/>
    <w:rsid w:val="00A31665"/>
    <w:rsid w:val="00A32042"/>
    <w:rsid w:val="00A41AC1"/>
    <w:rsid w:val="00A43276"/>
    <w:rsid w:val="00A447BD"/>
    <w:rsid w:val="00A448E3"/>
    <w:rsid w:val="00A45FA5"/>
    <w:rsid w:val="00A47279"/>
    <w:rsid w:val="00A516F3"/>
    <w:rsid w:val="00A5586F"/>
    <w:rsid w:val="00A561F7"/>
    <w:rsid w:val="00A60C3F"/>
    <w:rsid w:val="00A66699"/>
    <w:rsid w:val="00A66C22"/>
    <w:rsid w:val="00A67406"/>
    <w:rsid w:val="00A70BA3"/>
    <w:rsid w:val="00A71C3F"/>
    <w:rsid w:val="00A7507C"/>
    <w:rsid w:val="00A774BE"/>
    <w:rsid w:val="00A81232"/>
    <w:rsid w:val="00A908BB"/>
    <w:rsid w:val="00A94D17"/>
    <w:rsid w:val="00A979C6"/>
    <w:rsid w:val="00A97C01"/>
    <w:rsid w:val="00AA4D66"/>
    <w:rsid w:val="00AB54BD"/>
    <w:rsid w:val="00AB5A0D"/>
    <w:rsid w:val="00AB6F70"/>
    <w:rsid w:val="00AC6BEA"/>
    <w:rsid w:val="00AD38E8"/>
    <w:rsid w:val="00AD5C32"/>
    <w:rsid w:val="00AE0EFF"/>
    <w:rsid w:val="00AE2D5B"/>
    <w:rsid w:val="00AE5AA1"/>
    <w:rsid w:val="00B22064"/>
    <w:rsid w:val="00B22FAE"/>
    <w:rsid w:val="00B31C93"/>
    <w:rsid w:val="00B354AB"/>
    <w:rsid w:val="00B4100B"/>
    <w:rsid w:val="00B42CDA"/>
    <w:rsid w:val="00B5399B"/>
    <w:rsid w:val="00B76A86"/>
    <w:rsid w:val="00B76C4D"/>
    <w:rsid w:val="00B81B7A"/>
    <w:rsid w:val="00B86180"/>
    <w:rsid w:val="00B86E7E"/>
    <w:rsid w:val="00B87284"/>
    <w:rsid w:val="00B93533"/>
    <w:rsid w:val="00BA5968"/>
    <w:rsid w:val="00BB4D26"/>
    <w:rsid w:val="00BC0C4D"/>
    <w:rsid w:val="00BC5DD8"/>
    <w:rsid w:val="00BD5061"/>
    <w:rsid w:val="00BE1B88"/>
    <w:rsid w:val="00BE474F"/>
    <w:rsid w:val="00BE7561"/>
    <w:rsid w:val="00BF2600"/>
    <w:rsid w:val="00C016FB"/>
    <w:rsid w:val="00C02858"/>
    <w:rsid w:val="00C0363D"/>
    <w:rsid w:val="00C067E2"/>
    <w:rsid w:val="00C10313"/>
    <w:rsid w:val="00C1258E"/>
    <w:rsid w:val="00C1455B"/>
    <w:rsid w:val="00C163DF"/>
    <w:rsid w:val="00C2607A"/>
    <w:rsid w:val="00C310C5"/>
    <w:rsid w:val="00C33B94"/>
    <w:rsid w:val="00C33C45"/>
    <w:rsid w:val="00C34B1A"/>
    <w:rsid w:val="00C35CB2"/>
    <w:rsid w:val="00C37A2C"/>
    <w:rsid w:val="00C4627B"/>
    <w:rsid w:val="00C46B75"/>
    <w:rsid w:val="00C47D27"/>
    <w:rsid w:val="00C50ABC"/>
    <w:rsid w:val="00C5553E"/>
    <w:rsid w:val="00C570D5"/>
    <w:rsid w:val="00C6136E"/>
    <w:rsid w:val="00C62FD9"/>
    <w:rsid w:val="00C633BF"/>
    <w:rsid w:val="00C707A3"/>
    <w:rsid w:val="00C74624"/>
    <w:rsid w:val="00C74737"/>
    <w:rsid w:val="00C80C65"/>
    <w:rsid w:val="00C82881"/>
    <w:rsid w:val="00C927EB"/>
    <w:rsid w:val="00CA167D"/>
    <w:rsid w:val="00CA4F8E"/>
    <w:rsid w:val="00CA5832"/>
    <w:rsid w:val="00CB586B"/>
    <w:rsid w:val="00CC2FD0"/>
    <w:rsid w:val="00CD106C"/>
    <w:rsid w:val="00CE1510"/>
    <w:rsid w:val="00CE28CD"/>
    <w:rsid w:val="00CE3E64"/>
    <w:rsid w:val="00CE70D6"/>
    <w:rsid w:val="00CF0F48"/>
    <w:rsid w:val="00CF304A"/>
    <w:rsid w:val="00CF5F34"/>
    <w:rsid w:val="00D016CA"/>
    <w:rsid w:val="00D056A9"/>
    <w:rsid w:val="00D101D6"/>
    <w:rsid w:val="00D12E13"/>
    <w:rsid w:val="00D12EE2"/>
    <w:rsid w:val="00D21E21"/>
    <w:rsid w:val="00D33609"/>
    <w:rsid w:val="00D3621B"/>
    <w:rsid w:val="00D40EDB"/>
    <w:rsid w:val="00D47417"/>
    <w:rsid w:val="00D50991"/>
    <w:rsid w:val="00D52CFB"/>
    <w:rsid w:val="00D53E18"/>
    <w:rsid w:val="00D57F6C"/>
    <w:rsid w:val="00D60273"/>
    <w:rsid w:val="00D606DD"/>
    <w:rsid w:val="00D656A2"/>
    <w:rsid w:val="00D939BA"/>
    <w:rsid w:val="00DA18EA"/>
    <w:rsid w:val="00DB159E"/>
    <w:rsid w:val="00DB1BE2"/>
    <w:rsid w:val="00DC0856"/>
    <w:rsid w:val="00DD0D08"/>
    <w:rsid w:val="00DD1D04"/>
    <w:rsid w:val="00DD39EC"/>
    <w:rsid w:val="00DE60D0"/>
    <w:rsid w:val="00DE7AC6"/>
    <w:rsid w:val="00E168E6"/>
    <w:rsid w:val="00E2110F"/>
    <w:rsid w:val="00E43901"/>
    <w:rsid w:val="00E5009B"/>
    <w:rsid w:val="00E50B04"/>
    <w:rsid w:val="00E5354B"/>
    <w:rsid w:val="00E55E81"/>
    <w:rsid w:val="00E647F4"/>
    <w:rsid w:val="00E66525"/>
    <w:rsid w:val="00E66A72"/>
    <w:rsid w:val="00E6747E"/>
    <w:rsid w:val="00E7356E"/>
    <w:rsid w:val="00E83520"/>
    <w:rsid w:val="00E841AC"/>
    <w:rsid w:val="00E8710E"/>
    <w:rsid w:val="00E91C23"/>
    <w:rsid w:val="00EA2AE1"/>
    <w:rsid w:val="00EC4760"/>
    <w:rsid w:val="00EC6FBE"/>
    <w:rsid w:val="00EE271E"/>
    <w:rsid w:val="00EE2D4D"/>
    <w:rsid w:val="00EE6084"/>
    <w:rsid w:val="00EF2617"/>
    <w:rsid w:val="00F0687F"/>
    <w:rsid w:val="00F069A3"/>
    <w:rsid w:val="00F10ED0"/>
    <w:rsid w:val="00F15348"/>
    <w:rsid w:val="00F267EF"/>
    <w:rsid w:val="00F332C2"/>
    <w:rsid w:val="00F573FD"/>
    <w:rsid w:val="00F60B34"/>
    <w:rsid w:val="00F61F1A"/>
    <w:rsid w:val="00F62FD1"/>
    <w:rsid w:val="00F648C0"/>
    <w:rsid w:val="00F65394"/>
    <w:rsid w:val="00F6539A"/>
    <w:rsid w:val="00F76D55"/>
    <w:rsid w:val="00F82F8E"/>
    <w:rsid w:val="00F86309"/>
    <w:rsid w:val="00F97D05"/>
    <w:rsid w:val="00FA15BD"/>
    <w:rsid w:val="00FB3065"/>
    <w:rsid w:val="00FB474B"/>
    <w:rsid w:val="00FC11C8"/>
    <w:rsid w:val="00FD40A7"/>
    <w:rsid w:val="00FD429A"/>
    <w:rsid w:val="00FD4BBE"/>
    <w:rsid w:val="00FD5052"/>
    <w:rsid w:val="00FD51F6"/>
    <w:rsid w:val="00FE0621"/>
    <w:rsid w:val="00FE2083"/>
    <w:rsid w:val="00FF5EB2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FD48E"/>
  <w15:chartTrackingRefBased/>
  <w15:docId w15:val="{1B52D937-C38F-41B4-9481-0129100F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7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F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07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85589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14E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969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B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F61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5">
    <w:name w:val="Plain Table 5"/>
    <w:basedOn w:val="TableNormal"/>
    <w:uiPriority w:val="45"/>
    <w:rsid w:val="00A97C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7C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80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9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8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8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89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A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r>
              <a:rPr lang="en-US" sz="800" b="1" i="0" u="none" strike="noStrike" baseline="0">
                <a:effectLst/>
              </a:rPr>
              <a:t>Economic Performance for Minnesota's Manufacturing Industry --</a:t>
            </a:r>
          </a:p>
          <a:p>
            <a:pPr>
              <a:defRPr sz="900">
                <a:latin typeface="Arial" pitchFamily="34" charset="0"/>
                <a:cs typeface="Arial" pitchFamily="34" charset="0"/>
              </a:defRPr>
            </a:pPr>
            <a:r>
              <a:rPr lang="en-US" sz="800" b="1" i="0" u="none" strike="noStrike" baseline="0">
                <a:effectLst/>
              </a:rPr>
              <a:t>2021, Compared to 2020</a:t>
            </a:r>
            <a:endParaRPr lang="en-US" sz="8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7771154091241477E-2"/>
          <c:y val="0.2315086040866052"/>
          <c:w val="0.8701994877758924"/>
          <c:h val="0.63870134720985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Up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Orders</c:v>
                </c:pt>
                <c:pt idx="1">
                  <c:v>Produc- tion</c:v>
                </c:pt>
                <c:pt idx="2">
                  <c:v>Employ- ment</c:v>
                </c:pt>
                <c:pt idx="3">
                  <c:v>Invest- ment</c:v>
                </c:pt>
                <c:pt idx="4">
                  <c:v>Prices</c:v>
                </c:pt>
                <c:pt idx="5">
                  <c:v>Profits</c:v>
                </c:pt>
                <c:pt idx="6">
                  <c:v>Produc- tivity</c:v>
                </c:pt>
                <c:pt idx="7">
                  <c:v>Exports</c:v>
                </c:pt>
              </c:strCache>
            </c:strRef>
          </c:cat>
          <c:val>
            <c:numRef>
              <c:f>Sheet1!$B$2:$B$9</c:f>
              <c:numCache>
                <c:formatCode>0%</c:formatCode>
                <c:ptCount val="8"/>
                <c:pt idx="0">
                  <c:v>0.63</c:v>
                </c:pt>
                <c:pt idx="1">
                  <c:v>0.53</c:v>
                </c:pt>
                <c:pt idx="2">
                  <c:v>0.36</c:v>
                </c:pt>
                <c:pt idx="3">
                  <c:v>0.4</c:v>
                </c:pt>
                <c:pt idx="4">
                  <c:v>0.77</c:v>
                </c:pt>
                <c:pt idx="5">
                  <c:v>0.34</c:v>
                </c:pt>
                <c:pt idx="6">
                  <c:v>0.38</c:v>
                </c:pt>
                <c:pt idx="7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68-4DAA-83DE-081A98FD6D3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Same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Orders</c:v>
                </c:pt>
                <c:pt idx="1">
                  <c:v>Produc- tion</c:v>
                </c:pt>
                <c:pt idx="2">
                  <c:v>Employ- ment</c:v>
                </c:pt>
                <c:pt idx="3">
                  <c:v>Invest- ment</c:v>
                </c:pt>
                <c:pt idx="4">
                  <c:v>Prices</c:v>
                </c:pt>
                <c:pt idx="5">
                  <c:v>Profits</c:v>
                </c:pt>
                <c:pt idx="6">
                  <c:v>Produc- tivity</c:v>
                </c:pt>
                <c:pt idx="7">
                  <c:v>Exports</c:v>
                </c:pt>
              </c:strCache>
            </c:strRef>
          </c:cat>
          <c:val>
            <c:numRef>
              <c:f>Sheet1!$C$2:$C$9</c:f>
              <c:numCache>
                <c:formatCode>0%</c:formatCode>
                <c:ptCount val="8"/>
                <c:pt idx="0">
                  <c:v>0.17</c:v>
                </c:pt>
                <c:pt idx="1">
                  <c:v>0.21</c:v>
                </c:pt>
                <c:pt idx="2">
                  <c:v>0.36</c:v>
                </c:pt>
                <c:pt idx="3">
                  <c:v>0.46</c:v>
                </c:pt>
                <c:pt idx="4">
                  <c:v>0.21</c:v>
                </c:pt>
                <c:pt idx="5">
                  <c:v>0.28999999999999998</c:v>
                </c:pt>
                <c:pt idx="6">
                  <c:v>0.34</c:v>
                </c:pt>
                <c:pt idx="7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68-4DAA-83DE-081A98FD6D3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Down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Orders</c:v>
                </c:pt>
                <c:pt idx="1">
                  <c:v>Produc- tion</c:v>
                </c:pt>
                <c:pt idx="2">
                  <c:v>Employ- ment</c:v>
                </c:pt>
                <c:pt idx="3">
                  <c:v>Invest- ment</c:v>
                </c:pt>
                <c:pt idx="4">
                  <c:v>Prices</c:v>
                </c:pt>
                <c:pt idx="5">
                  <c:v>Profits</c:v>
                </c:pt>
                <c:pt idx="6">
                  <c:v>Produc- tivity</c:v>
                </c:pt>
                <c:pt idx="7">
                  <c:v>Exports</c:v>
                </c:pt>
              </c:strCache>
            </c:strRef>
          </c:cat>
          <c:val>
            <c:numRef>
              <c:f>Sheet1!$D$2:$D$9</c:f>
              <c:numCache>
                <c:formatCode>0%</c:formatCode>
                <c:ptCount val="8"/>
                <c:pt idx="0">
                  <c:v>0.19</c:v>
                </c:pt>
                <c:pt idx="1">
                  <c:v>0.26</c:v>
                </c:pt>
                <c:pt idx="2">
                  <c:v>0.28000000000000003</c:v>
                </c:pt>
                <c:pt idx="3">
                  <c:v>0.15</c:v>
                </c:pt>
                <c:pt idx="4">
                  <c:v>0.02</c:v>
                </c:pt>
                <c:pt idx="5">
                  <c:v>0.37</c:v>
                </c:pt>
                <c:pt idx="6">
                  <c:v>0.28999999999999998</c:v>
                </c:pt>
                <c:pt idx="7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68-4DAA-83DE-081A98FD6D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5525480"/>
        <c:axId val="375525088"/>
      </c:barChart>
      <c:catAx>
        <c:axId val="375525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550" baseline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375525088"/>
        <c:crosses val="autoZero"/>
        <c:auto val="1"/>
        <c:lblAlgn val="ctr"/>
        <c:lblOffset val="100"/>
        <c:noMultiLvlLbl val="0"/>
      </c:catAx>
      <c:valAx>
        <c:axId val="375525088"/>
        <c:scaling>
          <c:orientation val="minMax"/>
          <c:max val="0.70000000000000007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755254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9813857087106093"/>
          <c:y val="0.24140398712296884"/>
          <c:w val="0.312383635419754"/>
          <c:h val="7.3936167508604378E-2"/>
        </c:manualLayout>
      </c:layout>
      <c:overlay val="0"/>
      <c:spPr>
        <a:ln>
          <a:solidFill>
            <a:schemeClr val="accent1"/>
          </a:solidFill>
        </a:ln>
      </c:spPr>
      <c:txPr>
        <a:bodyPr/>
        <a:lstStyle/>
        <a:p>
          <a:pPr>
            <a:defRPr sz="7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r>
              <a:rPr lang="en-US" sz="800" b="1" i="0" u="none" strike="noStrike" baseline="0">
                <a:effectLst/>
              </a:rPr>
              <a:t>Outlook on Economic Performance for Minnesota's Manufacturing Industry --</a:t>
            </a:r>
          </a:p>
          <a:p>
            <a:pPr>
              <a:defRPr sz="900">
                <a:latin typeface="Arial" pitchFamily="34" charset="0"/>
                <a:cs typeface="Arial" pitchFamily="34" charset="0"/>
              </a:defRPr>
            </a:pPr>
            <a:r>
              <a:rPr lang="en-US" sz="800" b="1" i="0" u="none" strike="noStrike" baseline="0">
                <a:effectLst/>
              </a:rPr>
              <a:t>2022, Compared to 2021</a:t>
            </a:r>
            <a:endParaRPr lang="en-US" sz="8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7771154091241477E-2"/>
          <c:y val="0.2315086040866052"/>
          <c:w val="0.84062156768714325"/>
          <c:h val="0.63870134720985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Up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Orders</c:v>
                </c:pt>
                <c:pt idx="1">
                  <c:v>Produc- tion</c:v>
                </c:pt>
                <c:pt idx="2">
                  <c:v>Employ- ment</c:v>
                </c:pt>
                <c:pt idx="3">
                  <c:v>Invest- ment</c:v>
                </c:pt>
                <c:pt idx="4">
                  <c:v>Prices</c:v>
                </c:pt>
                <c:pt idx="5">
                  <c:v>Profits</c:v>
                </c:pt>
                <c:pt idx="6">
                  <c:v>Produc- tivity</c:v>
                </c:pt>
                <c:pt idx="7">
                  <c:v>Exports</c:v>
                </c:pt>
              </c:strCache>
            </c:strRef>
          </c:cat>
          <c:val>
            <c:numRef>
              <c:f>Sheet1!$B$2:$B$9</c:f>
              <c:numCache>
                <c:formatCode>0%</c:formatCode>
                <c:ptCount val="8"/>
                <c:pt idx="0">
                  <c:v>0.56000000000000005</c:v>
                </c:pt>
                <c:pt idx="1">
                  <c:v>0.56000000000000005</c:v>
                </c:pt>
                <c:pt idx="2">
                  <c:v>0.5</c:v>
                </c:pt>
                <c:pt idx="3">
                  <c:v>0.39</c:v>
                </c:pt>
                <c:pt idx="4">
                  <c:v>0.78</c:v>
                </c:pt>
                <c:pt idx="5">
                  <c:v>0.4</c:v>
                </c:pt>
                <c:pt idx="6">
                  <c:v>0.46</c:v>
                </c:pt>
                <c:pt idx="7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0E-4F5A-9C70-EAB220DBDCB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Same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Orders</c:v>
                </c:pt>
                <c:pt idx="1">
                  <c:v>Produc- tion</c:v>
                </c:pt>
                <c:pt idx="2">
                  <c:v>Employ- ment</c:v>
                </c:pt>
                <c:pt idx="3">
                  <c:v>Invest- ment</c:v>
                </c:pt>
                <c:pt idx="4">
                  <c:v>Prices</c:v>
                </c:pt>
                <c:pt idx="5">
                  <c:v>Profits</c:v>
                </c:pt>
                <c:pt idx="6">
                  <c:v>Produc- tivity</c:v>
                </c:pt>
                <c:pt idx="7">
                  <c:v>Exports</c:v>
                </c:pt>
              </c:strCache>
            </c:strRef>
          </c:cat>
          <c:val>
            <c:numRef>
              <c:f>Sheet1!$C$2:$C$9</c:f>
              <c:numCache>
                <c:formatCode>0%</c:formatCode>
                <c:ptCount val="8"/>
                <c:pt idx="0">
                  <c:v>0.34</c:v>
                </c:pt>
                <c:pt idx="1">
                  <c:v>0.35</c:v>
                </c:pt>
                <c:pt idx="2">
                  <c:v>0.42</c:v>
                </c:pt>
                <c:pt idx="3">
                  <c:v>0.5</c:v>
                </c:pt>
                <c:pt idx="4">
                  <c:v>0.16</c:v>
                </c:pt>
                <c:pt idx="5">
                  <c:v>0.4</c:v>
                </c:pt>
                <c:pt idx="6">
                  <c:v>0.42</c:v>
                </c:pt>
                <c:pt idx="7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0E-4F5A-9C70-EAB220DBDCB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Down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Orders</c:v>
                </c:pt>
                <c:pt idx="1">
                  <c:v>Produc- tion</c:v>
                </c:pt>
                <c:pt idx="2">
                  <c:v>Employ- ment</c:v>
                </c:pt>
                <c:pt idx="3">
                  <c:v>Invest- ment</c:v>
                </c:pt>
                <c:pt idx="4">
                  <c:v>Prices</c:v>
                </c:pt>
                <c:pt idx="5">
                  <c:v>Profits</c:v>
                </c:pt>
                <c:pt idx="6">
                  <c:v>Produc- tivity</c:v>
                </c:pt>
                <c:pt idx="7">
                  <c:v>Exports</c:v>
                </c:pt>
              </c:strCache>
            </c:strRef>
          </c:cat>
          <c:val>
            <c:numRef>
              <c:f>Sheet1!$D$2:$D$9</c:f>
              <c:numCache>
                <c:formatCode>0%</c:formatCode>
                <c:ptCount val="8"/>
                <c:pt idx="0">
                  <c:v>0.1</c:v>
                </c:pt>
                <c:pt idx="1">
                  <c:v>0.09</c:v>
                </c:pt>
                <c:pt idx="2">
                  <c:v>0.08</c:v>
                </c:pt>
                <c:pt idx="3">
                  <c:v>0.11</c:v>
                </c:pt>
                <c:pt idx="4">
                  <c:v>0.06</c:v>
                </c:pt>
                <c:pt idx="5">
                  <c:v>0.21</c:v>
                </c:pt>
                <c:pt idx="6">
                  <c:v>0.12</c:v>
                </c:pt>
                <c:pt idx="7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0E-4F5A-9C70-EAB220DBDC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5524304"/>
        <c:axId val="375523912"/>
      </c:barChart>
      <c:catAx>
        <c:axId val="37552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610" baseline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375523912"/>
        <c:crosses val="autoZero"/>
        <c:auto val="1"/>
        <c:lblAlgn val="ctr"/>
        <c:lblOffset val="100"/>
        <c:noMultiLvlLbl val="0"/>
      </c:catAx>
      <c:valAx>
        <c:axId val="375523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7552430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64402412464399394"/>
          <c:y val="0.2417621053182305"/>
          <c:w val="0.312383635419754"/>
          <c:h val="7.3936167508604378E-2"/>
        </c:manualLayout>
      </c:layout>
      <c:overlay val="0"/>
      <c:spPr>
        <a:ln>
          <a:solidFill>
            <a:schemeClr val="accent1"/>
          </a:solidFill>
        </a:ln>
      </c:spPr>
      <c:txPr>
        <a:bodyPr/>
        <a:lstStyle/>
        <a:p>
          <a:pPr>
            <a:defRPr sz="7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05E1E-698F-4F45-92E1-3A91BBF659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59308-1D8D-45FF-8F46-126F2DEF0A61}"/>
</file>

<file path=customXml/itemProps3.xml><?xml version="1.0" encoding="utf-8"?>
<ds:datastoreItem xmlns:ds="http://schemas.openxmlformats.org/officeDocument/2006/customXml" ds:itemID="{2B0E5D45-240F-4A07-934D-523073988980}"/>
</file>

<file path=customXml/itemProps4.xml><?xml version="1.0" encoding="utf-8"?>
<ds:datastoreItem xmlns:ds="http://schemas.openxmlformats.org/officeDocument/2006/customXml" ds:itemID="{AD68F50D-3566-4E72-9603-758242F35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Olson</dc:creator>
  <cp:keywords/>
  <dc:description/>
  <cp:lastModifiedBy>Olson, Magda (DEED)</cp:lastModifiedBy>
  <cp:revision>2</cp:revision>
  <cp:lastPrinted>2019-07-02T17:16:00Z</cp:lastPrinted>
  <dcterms:created xsi:type="dcterms:W3CDTF">2022-01-14T19:24:00Z</dcterms:created>
  <dcterms:modified xsi:type="dcterms:W3CDTF">2022-01-14T19:24:00Z</dcterms:modified>
</cp:coreProperties>
</file>