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imes New Roman"/>
          <w:b/>
          <w:bCs/>
          <w:color w:val="003865"/>
          <w:spacing w:val="0"/>
          <w:sz w:val="22"/>
          <w:szCs w:val="22"/>
        </w:rPr>
        <w:id w:val="10729564"/>
        <w:docPartObj>
          <w:docPartGallery w:val="Cover Pages"/>
          <w:docPartUnique/>
        </w:docPartObj>
      </w:sdtPr>
      <w:sdtEndPr>
        <w:rPr>
          <w:rFonts w:eastAsiaTheme="majorEastAsia"/>
          <w:b w:val="0"/>
          <w:iCs/>
          <w:color w:val="auto"/>
          <w:sz w:val="32"/>
        </w:rPr>
      </w:sdtEndPr>
      <w:sdtContent>
        <w:p w14:paraId="621AE38F" w14:textId="5EC4648C" w:rsidR="00C61688" w:rsidRPr="00814C62" w:rsidRDefault="00B62E7B" w:rsidP="00F41511">
          <w:pPr>
            <w:pStyle w:val="Title"/>
            <w:rPr>
              <w:color w:val="003865"/>
            </w:rPr>
          </w:pPr>
          <w:r>
            <w:rPr>
              <w:color w:val="003865"/>
            </w:rPr>
            <w:t xml:space="preserve">Report of the </w:t>
          </w:r>
          <w:r w:rsidR="00F41511">
            <w:rPr>
              <w:color w:val="003865"/>
            </w:rPr>
            <w:t>Main Street COVID-19 Relief Grant Program</w:t>
          </w:r>
        </w:p>
        <w:p w14:paraId="3C98E288" w14:textId="1CD3149D" w:rsidR="00C61688" w:rsidRDefault="00B62E7B" w:rsidP="00EF7D8D">
          <w:pPr>
            <w:pStyle w:val="Title2"/>
            <w:rPr>
              <w:rFonts w:asciiTheme="minorHAnsi" w:hAnsiTheme="minorHAnsi"/>
              <w:sz w:val="36"/>
              <w:szCs w:val="36"/>
            </w:rPr>
          </w:pPr>
          <w:r>
            <w:rPr>
              <w:rFonts w:asciiTheme="minorHAnsi" w:hAnsiTheme="minorHAnsi"/>
              <w:sz w:val="36"/>
              <w:szCs w:val="36"/>
            </w:rPr>
            <w:t xml:space="preserve">Office of </w:t>
          </w:r>
          <w:r w:rsidR="00D739D7">
            <w:rPr>
              <w:rFonts w:asciiTheme="minorHAnsi" w:hAnsiTheme="minorHAnsi"/>
              <w:sz w:val="36"/>
              <w:szCs w:val="36"/>
            </w:rPr>
            <w:t>Small</w:t>
          </w:r>
          <w:r w:rsidR="00B46E01">
            <w:rPr>
              <w:rFonts w:asciiTheme="minorHAnsi" w:hAnsiTheme="minorHAnsi"/>
              <w:sz w:val="36"/>
              <w:szCs w:val="36"/>
            </w:rPr>
            <w:t xml:space="preserve"> </w:t>
          </w:r>
          <w:r w:rsidR="00F41511">
            <w:rPr>
              <w:rFonts w:asciiTheme="minorHAnsi" w:hAnsiTheme="minorHAnsi"/>
              <w:sz w:val="36"/>
              <w:szCs w:val="36"/>
            </w:rPr>
            <w:t>Business Partnerships</w:t>
          </w:r>
        </w:p>
        <w:p w14:paraId="50373F5E" w14:textId="7BEDB09E" w:rsidR="00D724A0" w:rsidRPr="00D724A0" w:rsidRDefault="00F41511" w:rsidP="00D724A0">
          <w:pPr>
            <w:pStyle w:val="Title2"/>
            <w:rPr>
              <w:rFonts w:asciiTheme="minorHAnsi" w:hAnsiTheme="minorHAnsi"/>
              <w:sz w:val="36"/>
              <w:szCs w:val="36"/>
            </w:rPr>
          </w:pPr>
          <w:r>
            <w:rPr>
              <w:rFonts w:asciiTheme="minorHAnsi" w:hAnsiTheme="minorHAnsi"/>
              <w:sz w:val="36"/>
              <w:szCs w:val="36"/>
            </w:rPr>
            <w:t>3/1/2023</w:t>
          </w:r>
        </w:p>
        <w:p w14:paraId="7286C952" w14:textId="77777777" w:rsidR="00D724A0" w:rsidRDefault="00D724A0" w:rsidP="00C61688">
          <w:pPr>
            <w:pStyle w:val="BodyText"/>
          </w:pPr>
        </w:p>
        <w:p w14:paraId="37E63644" w14:textId="77777777" w:rsidR="00D724A0" w:rsidRDefault="00D724A0" w:rsidP="00C61688">
          <w:pPr>
            <w:pStyle w:val="BodyText"/>
          </w:pPr>
        </w:p>
        <w:p w14:paraId="15BCA2B3" w14:textId="77777777" w:rsidR="00D724A0" w:rsidRDefault="00D724A0" w:rsidP="00C61688">
          <w:pPr>
            <w:pStyle w:val="BodyText"/>
          </w:pPr>
        </w:p>
        <w:p w14:paraId="00BA7842" w14:textId="77777777" w:rsidR="00FE4DC4" w:rsidRDefault="00FE4DC4" w:rsidP="00C61688">
          <w:pPr>
            <w:pStyle w:val="BodyText"/>
          </w:pPr>
        </w:p>
        <w:p w14:paraId="0CA43D8B" w14:textId="0C4D7295" w:rsidR="00D724A0" w:rsidRPr="001E0724" w:rsidRDefault="00D724A0" w:rsidP="00D724A0">
          <w:pPr>
            <w:jc w:val="right"/>
            <w:rPr>
              <w:rFonts w:asciiTheme="minorHAnsi" w:hAnsiTheme="minorHAnsi" w:cs="Arial"/>
            </w:rPr>
            <w:sectPr w:rsidR="00D724A0" w:rsidRPr="001E0724" w:rsidSect="00A81130">
              <w:footerReference w:type="default" r:id="rId8"/>
              <w:headerReference w:type="first" r:id="rId9"/>
              <w:footerReference w:type="first" r:id="rId10"/>
              <w:type w:val="continuous"/>
              <w:pgSz w:w="12240" w:h="15840" w:code="1"/>
              <w:pgMar w:top="5760" w:right="1080" w:bottom="1080" w:left="1080" w:header="576" w:footer="504" w:gutter="0"/>
              <w:cols w:space="720"/>
              <w:titlePg/>
              <w:docGrid w:linePitch="326"/>
            </w:sectPr>
          </w:pPr>
          <w:r w:rsidRPr="001E0724">
            <w:rPr>
              <w:rFonts w:asciiTheme="minorHAnsi" w:hAnsiTheme="minorHAnsi" w:cs="Arial"/>
            </w:rPr>
            <w:t xml:space="preserve">Total cost of salaries, printing, and supplies in </w:t>
          </w:r>
          <w:r w:rsidRPr="001E0724">
            <w:rPr>
              <w:rFonts w:asciiTheme="minorHAnsi" w:hAnsiTheme="minorHAnsi" w:cs="Arial"/>
            </w:rPr>
            <w:br/>
            <w:t xml:space="preserve">developing/preparing this report is </w:t>
          </w:r>
          <w:r w:rsidRPr="007E6733">
            <w:rPr>
              <w:rFonts w:asciiTheme="minorHAnsi" w:hAnsiTheme="minorHAnsi" w:cs="Arial"/>
            </w:rPr>
            <w:t>$</w:t>
          </w:r>
          <w:r w:rsidR="00970892">
            <w:rPr>
              <w:rFonts w:asciiTheme="minorHAnsi" w:hAnsiTheme="minorHAnsi" w:cs="Arial"/>
            </w:rPr>
            <w:t>321</w:t>
          </w:r>
          <w:r w:rsidR="000361FB">
            <w:rPr>
              <w:rFonts w:asciiTheme="minorHAnsi" w:hAnsiTheme="minorHAnsi" w:cs="Arial"/>
            </w:rPr>
            <w:t>.</w:t>
          </w:r>
          <w:r w:rsidR="00970892">
            <w:rPr>
              <w:rFonts w:asciiTheme="minorHAnsi" w:hAnsiTheme="minorHAnsi" w:cs="Arial"/>
            </w:rPr>
            <w:t>24</w:t>
          </w:r>
          <w:r w:rsidRPr="001E0724">
            <w:rPr>
              <w:rFonts w:asciiTheme="minorHAnsi" w:hAnsiTheme="minorHAnsi" w:cs="Arial"/>
            </w:rPr>
            <w:br/>
            <w:t>(reported as</w:t>
          </w:r>
          <w:r w:rsidR="00FE4DC4">
            <w:rPr>
              <w:rFonts w:asciiTheme="minorHAnsi" w:hAnsiTheme="minorHAnsi" w:cs="Arial"/>
            </w:rPr>
            <w:t xml:space="preserve"> required by Minn. Stat. 3.197)</w:t>
          </w:r>
        </w:p>
        <w:p w14:paraId="13D9AE81" w14:textId="77777777" w:rsidR="00D724A0" w:rsidRPr="00504805" w:rsidRDefault="00D724A0" w:rsidP="00504805">
          <w:pPr>
            <w:sectPr w:rsidR="00D724A0" w:rsidRPr="00504805" w:rsidSect="00A8113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0" w:right="1080" w:bottom="1080" w:left="1080" w:header="576" w:footer="504" w:gutter="0"/>
              <w:cols w:space="720"/>
              <w:titlePg/>
              <w:docGrid w:linePitch="326"/>
            </w:sectPr>
          </w:pPr>
        </w:p>
        <w:p w14:paraId="210841E6" w14:textId="77777777" w:rsidR="00C61688" w:rsidRDefault="00C61688" w:rsidP="00EC24AF">
          <w:pPr>
            <w:pStyle w:val="TableofContentsHeader"/>
          </w:pPr>
          <w:bookmarkStart w:id="0" w:name="_Toc461105256"/>
          <w:bookmarkStart w:id="1" w:name="_Toc525641099"/>
          <w:bookmarkStart w:id="2" w:name="_Toc18571269"/>
          <w:bookmarkStart w:id="3" w:name="_Toc128997604"/>
          <w:r>
            <w:lastRenderedPageBreak/>
            <w:t>Table of Contents</w:t>
          </w:r>
          <w:bookmarkEnd w:id="0"/>
          <w:bookmarkEnd w:id="1"/>
          <w:bookmarkEnd w:id="2"/>
          <w:bookmarkEnd w:id="3"/>
        </w:p>
        <w:sdt>
          <w:sdtPr>
            <w:rPr>
              <w:rFonts w:cs="Times New Roman"/>
              <w:b w:val="0"/>
              <w:bCs w:val="0"/>
            </w:rPr>
            <w:id w:val="597834883"/>
            <w:docPartObj>
              <w:docPartGallery w:val="Table of Contents"/>
              <w:docPartUnique/>
            </w:docPartObj>
          </w:sdtPr>
          <w:sdtEndPr>
            <w:rPr>
              <w:noProof/>
            </w:rPr>
          </w:sdtEndPr>
          <w:sdtContent>
            <w:p w14:paraId="6E989BF2" w14:textId="16A1AE9C" w:rsidR="00647E2C" w:rsidRDefault="00EB7593">
              <w:pPr>
                <w:pStyle w:val="TOC1"/>
                <w:tabs>
                  <w:tab w:val="right" w:leader="dot" w:pos="9831"/>
                </w:tabs>
                <w:rPr>
                  <w:rFonts w:asciiTheme="minorHAnsi" w:eastAsiaTheme="minorEastAsia" w:hAnsiTheme="minorHAnsi" w:cstheme="minorBidi"/>
                  <w:b w:val="0"/>
                  <w:bCs w:val="0"/>
                  <w:noProof/>
                  <w:lang w:bidi="ar-SA"/>
                </w:rPr>
              </w:pPr>
              <w:r>
                <w:rPr>
                  <w:rFonts w:asciiTheme="majorHAnsi" w:eastAsiaTheme="majorEastAsia" w:hAnsiTheme="majorHAnsi" w:cstheme="majorBidi"/>
                  <w:color w:val="00294B" w:themeColor="accent1" w:themeShade="BF"/>
                  <w:sz w:val="28"/>
                  <w:szCs w:val="28"/>
                </w:rPr>
                <w:fldChar w:fldCharType="begin"/>
              </w:r>
              <w:r>
                <w:instrText xml:space="preserve"> TOC \o "1-3" \h \z \u </w:instrText>
              </w:r>
              <w:r>
                <w:rPr>
                  <w:rFonts w:asciiTheme="majorHAnsi" w:eastAsiaTheme="majorEastAsia" w:hAnsiTheme="majorHAnsi" w:cstheme="majorBidi"/>
                  <w:color w:val="00294B" w:themeColor="accent1" w:themeShade="BF"/>
                  <w:sz w:val="28"/>
                  <w:szCs w:val="28"/>
                </w:rPr>
                <w:fldChar w:fldCharType="separate"/>
              </w:r>
              <w:hyperlink w:anchor="_Toc128997604" w:history="1">
                <w:r w:rsidR="00647E2C" w:rsidRPr="00BC3DE5">
                  <w:rPr>
                    <w:rStyle w:val="Hyperlink"/>
                    <w:rFonts w:eastAsiaTheme="majorEastAsia"/>
                    <w:noProof/>
                  </w:rPr>
                  <w:t>Table of Contents</w:t>
                </w:r>
                <w:r w:rsidR="00647E2C">
                  <w:rPr>
                    <w:noProof/>
                    <w:webHidden/>
                  </w:rPr>
                  <w:tab/>
                </w:r>
                <w:r w:rsidR="00647E2C">
                  <w:rPr>
                    <w:noProof/>
                    <w:webHidden/>
                  </w:rPr>
                  <w:fldChar w:fldCharType="begin"/>
                </w:r>
                <w:r w:rsidR="00647E2C">
                  <w:rPr>
                    <w:noProof/>
                    <w:webHidden/>
                  </w:rPr>
                  <w:instrText xml:space="preserve"> PAGEREF _Toc128997604 \h </w:instrText>
                </w:r>
                <w:r w:rsidR="00647E2C">
                  <w:rPr>
                    <w:noProof/>
                    <w:webHidden/>
                  </w:rPr>
                </w:r>
                <w:r w:rsidR="00647E2C">
                  <w:rPr>
                    <w:noProof/>
                    <w:webHidden/>
                  </w:rPr>
                  <w:fldChar w:fldCharType="separate"/>
                </w:r>
                <w:r w:rsidR="00647E2C">
                  <w:rPr>
                    <w:noProof/>
                    <w:webHidden/>
                  </w:rPr>
                  <w:t>2</w:t>
                </w:r>
                <w:r w:rsidR="00647E2C">
                  <w:rPr>
                    <w:noProof/>
                    <w:webHidden/>
                  </w:rPr>
                  <w:fldChar w:fldCharType="end"/>
                </w:r>
              </w:hyperlink>
            </w:p>
            <w:p w14:paraId="6FA383C1" w14:textId="514600D2" w:rsidR="00647E2C" w:rsidRDefault="00000000">
              <w:pPr>
                <w:pStyle w:val="TOC2"/>
                <w:tabs>
                  <w:tab w:val="right" w:leader="dot" w:pos="9831"/>
                </w:tabs>
                <w:rPr>
                  <w:rFonts w:asciiTheme="minorHAnsi" w:eastAsiaTheme="minorEastAsia" w:hAnsiTheme="minorHAnsi" w:cstheme="minorBidi"/>
                  <w:noProof/>
                  <w:lang w:bidi="ar-SA"/>
                </w:rPr>
              </w:pPr>
              <w:hyperlink w:anchor="_Toc128997605" w:history="1">
                <w:r w:rsidR="00647E2C" w:rsidRPr="00BC3DE5">
                  <w:rPr>
                    <w:rStyle w:val="Hyperlink"/>
                    <w:rFonts w:eastAsiaTheme="majorEastAsia"/>
                    <w:noProof/>
                  </w:rPr>
                  <w:t>Authorizing Appropriation</w:t>
                </w:r>
                <w:r w:rsidR="00647E2C">
                  <w:rPr>
                    <w:noProof/>
                    <w:webHidden/>
                  </w:rPr>
                  <w:tab/>
                </w:r>
                <w:r w:rsidR="00647E2C">
                  <w:rPr>
                    <w:noProof/>
                    <w:webHidden/>
                  </w:rPr>
                  <w:fldChar w:fldCharType="begin"/>
                </w:r>
                <w:r w:rsidR="00647E2C">
                  <w:rPr>
                    <w:noProof/>
                    <w:webHidden/>
                  </w:rPr>
                  <w:instrText xml:space="preserve"> PAGEREF _Toc128997605 \h </w:instrText>
                </w:r>
                <w:r w:rsidR="00647E2C">
                  <w:rPr>
                    <w:noProof/>
                    <w:webHidden/>
                  </w:rPr>
                </w:r>
                <w:r w:rsidR="00647E2C">
                  <w:rPr>
                    <w:noProof/>
                    <w:webHidden/>
                  </w:rPr>
                  <w:fldChar w:fldCharType="separate"/>
                </w:r>
                <w:r w:rsidR="00647E2C">
                  <w:rPr>
                    <w:noProof/>
                    <w:webHidden/>
                  </w:rPr>
                  <w:t>3</w:t>
                </w:r>
                <w:r w:rsidR="00647E2C">
                  <w:rPr>
                    <w:noProof/>
                    <w:webHidden/>
                  </w:rPr>
                  <w:fldChar w:fldCharType="end"/>
                </w:r>
              </w:hyperlink>
            </w:p>
            <w:p w14:paraId="6F02723B" w14:textId="6014110F" w:rsidR="00647E2C" w:rsidRDefault="00000000">
              <w:pPr>
                <w:pStyle w:val="TOC2"/>
                <w:tabs>
                  <w:tab w:val="right" w:leader="dot" w:pos="9831"/>
                </w:tabs>
                <w:rPr>
                  <w:rFonts w:asciiTheme="minorHAnsi" w:eastAsiaTheme="minorEastAsia" w:hAnsiTheme="minorHAnsi" w:cstheme="minorBidi"/>
                  <w:noProof/>
                  <w:lang w:bidi="ar-SA"/>
                </w:rPr>
              </w:pPr>
              <w:hyperlink w:anchor="_Toc128997606" w:history="1">
                <w:r w:rsidR="00647E2C" w:rsidRPr="00BC3DE5">
                  <w:rPr>
                    <w:rStyle w:val="Hyperlink"/>
                    <w:rFonts w:eastAsiaTheme="majorEastAsia"/>
                    <w:noProof/>
                  </w:rPr>
                  <w:t>Main Street COVID-19 Relief Grant Program</w:t>
                </w:r>
                <w:r w:rsidR="00647E2C">
                  <w:rPr>
                    <w:noProof/>
                    <w:webHidden/>
                  </w:rPr>
                  <w:tab/>
                </w:r>
                <w:r w:rsidR="00647E2C">
                  <w:rPr>
                    <w:noProof/>
                    <w:webHidden/>
                  </w:rPr>
                  <w:fldChar w:fldCharType="begin"/>
                </w:r>
                <w:r w:rsidR="00647E2C">
                  <w:rPr>
                    <w:noProof/>
                    <w:webHidden/>
                  </w:rPr>
                  <w:instrText xml:space="preserve"> PAGEREF _Toc128997606 \h </w:instrText>
                </w:r>
                <w:r w:rsidR="00647E2C">
                  <w:rPr>
                    <w:noProof/>
                    <w:webHidden/>
                  </w:rPr>
                </w:r>
                <w:r w:rsidR="00647E2C">
                  <w:rPr>
                    <w:noProof/>
                    <w:webHidden/>
                  </w:rPr>
                  <w:fldChar w:fldCharType="separate"/>
                </w:r>
                <w:r w:rsidR="00647E2C">
                  <w:rPr>
                    <w:noProof/>
                    <w:webHidden/>
                  </w:rPr>
                  <w:t>3</w:t>
                </w:r>
                <w:r w:rsidR="00647E2C">
                  <w:rPr>
                    <w:noProof/>
                    <w:webHidden/>
                  </w:rPr>
                  <w:fldChar w:fldCharType="end"/>
                </w:r>
              </w:hyperlink>
            </w:p>
            <w:p w14:paraId="4BE529A9" w14:textId="29393641" w:rsidR="00647E2C" w:rsidRDefault="00000000">
              <w:pPr>
                <w:pStyle w:val="TOC3"/>
                <w:tabs>
                  <w:tab w:val="right" w:leader="dot" w:pos="9831"/>
                </w:tabs>
                <w:rPr>
                  <w:rFonts w:asciiTheme="minorHAnsi" w:eastAsiaTheme="minorEastAsia" w:hAnsiTheme="minorHAnsi" w:cstheme="minorBidi"/>
                  <w:noProof/>
                  <w:lang w:bidi="ar-SA"/>
                </w:rPr>
              </w:pPr>
              <w:hyperlink w:anchor="_Toc128997607" w:history="1">
                <w:r w:rsidR="00647E2C" w:rsidRPr="00BC3DE5">
                  <w:rPr>
                    <w:rStyle w:val="Hyperlink"/>
                    <w:rFonts w:eastAsiaTheme="majorEastAsia"/>
                    <w:noProof/>
                  </w:rPr>
                  <w:t>Participating Grant Administrators</w:t>
                </w:r>
                <w:r w:rsidR="00647E2C">
                  <w:rPr>
                    <w:noProof/>
                    <w:webHidden/>
                  </w:rPr>
                  <w:tab/>
                </w:r>
                <w:r w:rsidR="00647E2C">
                  <w:rPr>
                    <w:noProof/>
                    <w:webHidden/>
                  </w:rPr>
                  <w:fldChar w:fldCharType="begin"/>
                </w:r>
                <w:r w:rsidR="00647E2C">
                  <w:rPr>
                    <w:noProof/>
                    <w:webHidden/>
                  </w:rPr>
                  <w:instrText xml:space="preserve"> PAGEREF _Toc128997607 \h </w:instrText>
                </w:r>
                <w:r w:rsidR="00647E2C">
                  <w:rPr>
                    <w:noProof/>
                    <w:webHidden/>
                  </w:rPr>
                </w:r>
                <w:r w:rsidR="00647E2C">
                  <w:rPr>
                    <w:noProof/>
                    <w:webHidden/>
                  </w:rPr>
                  <w:fldChar w:fldCharType="separate"/>
                </w:r>
                <w:r w:rsidR="00647E2C">
                  <w:rPr>
                    <w:noProof/>
                    <w:webHidden/>
                  </w:rPr>
                  <w:t>4</w:t>
                </w:r>
                <w:r w:rsidR="00647E2C">
                  <w:rPr>
                    <w:noProof/>
                    <w:webHidden/>
                  </w:rPr>
                  <w:fldChar w:fldCharType="end"/>
                </w:r>
              </w:hyperlink>
            </w:p>
            <w:p w14:paraId="317C0559" w14:textId="49957DBF" w:rsidR="00647E2C" w:rsidRDefault="00000000">
              <w:pPr>
                <w:pStyle w:val="TOC3"/>
                <w:tabs>
                  <w:tab w:val="right" w:leader="dot" w:pos="9831"/>
                </w:tabs>
                <w:rPr>
                  <w:rFonts w:asciiTheme="minorHAnsi" w:eastAsiaTheme="minorEastAsia" w:hAnsiTheme="minorHAnsi" w:cstheme="minorBidi"/>
                  <w:noProof/>
                  <w:lang w:bidi="ar-SA"/>
                </w:rPr>
              </w:pPr>
              <w:hyperlink w:anchor="_Toc128997608" w:history="1">
                <w:r w:rsidR="00647E2C" w:rsidRPr="00BC3DE5">
                  <w:rPr>
                    <w:rStyle w:val="Hyperlink"/>
                    <w:rFonts w:eastAsiaTheme="majorEastAsia"/>
                    <w:noProof/>
                  </w:rPr>
                  <w:t>Application Process</w:t>
                </w:r>
                <w:r w:rsidR="00647E2C">
                  <w:rPr>
                    <w:noProof/>
                    <w:webHidden/>
                  </w:rPr>
                  <w:tab/>
                </w:r>
                <w:r w:rsidR="00647E2C">
                  <w:rPr>
                    <w:noProof/>
                    <w:webHidden/>
                  </w:rPr>
                  <w:fldChar w:fldCharType="begin"/>
                </w:r>
                <w:r w:rsidR="00647E2C">
                  <w:rPr>
                    <w:noProof/>
                    <w:webHidden/>
                  </w:rPr>
                  <w:instrText xml:space="preserve"> PAGEREF _Toc128997608 \h </w:instrText>
                </w:r>
                <w:r w:rsidR="00647E2C">
                  <w:rPr>
                    <w:noProof/>
                    <w:webHidden/>
                  </w:rPr>
                </w:r>
                <w:r w:rsidR="00647E2C">
                  <w:rPr>
                    <w:noProof/>
                    <w:webHidden/>
                  </w:rPr>
                  <w:fldChar w:fldCharType="separate"/>
                </w:r>
                <w:r w:rsidR="00647E2C">
                  <w:rPr>
                    <w:noProof/>
                    <w:webHidden/>
                  </w:rPr>
                  <w:t>5</w:t>
                </w:r>
                <w:r w:rsidR="00647E2C">
                  <w:rPr>
                    <w:noProof/>
                    <w:webHidden/>
                  </w:rPr>
                  <w:fldChar w:fldCharType="end"/>
                </w:r>
              </w:hyperlink>
            </w:p>
            <w:p w14:paraId="7DE5EFB6" w14:textId="5703C0E0" w:rsidR="00647E2C" w:rsidRDefault="00000000">
              <w:pPr>
                <w:pStyle w:val="TOC3"/>
                <w:tabs>
                  <w:tab w:val="right" w:leader="dot" w:pos="9831"/>
                </w:tabs>
                <w:rPr>
                  <w:rFonts w:asciiTheme="minorHAnsi" w:eastAsiaTheme="minorEastAsia" w:hAnsiTheme="minorHAnsi" w:cstheme="minorBidi"/>
                  <w:noProof/>
                  <w:lang w:bidi="ar-SA"/>
                </w:rPr>
              </w:pPr>
              <w:hyperlink w:anchor="_Toc128997609" w:history="1">
                <w:r w:rsidR="00647E2C" w:rsidRPr="00BC3DE5">
                  <w:rPr>
                    <w:rStyle w:val="Hyperlink"/>
                    <w:rFonts w:eastAsiaTheme="majorEastAsia"/>
                    <w:noProof/>
                  </w:rPr>
                  <w:t>Randomized Selection Process</w:t>
                </w:r>
                <w:r w:rsidR="00647E2C">
                  <w:rPr>
                    <w:noProof/>
                    <w:webHidden/>
                  </w:rPr>
                  <w:tab/>
                </w:r>
                <w:r w:rsidR="00647E2C">
                  <w:rPr>
                    <w:noProof/>
                    <w:webHidden/>
                  </w:rPr>
                  <w:fldChar w:fldCharType="begin"/>
                </w:r>
                <w:r w:rsidR="00647E2C">
                  <w:rPr>
                    <w:noProof/>
                    <w:webHidden/>
                  </w:rPr>
                  <w:instrText xml:space="preserve"> PAGEREF _Toc128997609 \h </w:instrText>
                </w:r>
                <w:r w:rsidR="00647E2C">
                  <w:rPr>
                    <w:noProof/>
                    <w:webHidden/>
                  </w:rPr>
                </w:r>
                <w:r w:rsidR="00647E2C">
                  <w:rPr>
                    <w:noProof/>
                    <w:webHidden/>
                  </w:rPr>
                  <w:fldChar w:fldCharType="separate"/>
                </w:r>
                <w:r w:rsidR="00647E2C">
                  <w:rPr>
                    <w:noProof/>
                    <w:webHidden/>
                  </w:rPr>
                  <w:t>5</w:t>
                </w:r>
                <w:r w:rsidR="00647E2C">
                  <w:rPr>
                    <w:noProof/>
                    <w:webHidden/>
                  </w:rPr>
                  <w:fldChar w:fldCharType="end"/>
                </w:r>
              </w:hyperlink>
            </w:p>
            <w:p w14:paraId="792A04C9" w14:textId="2C0E0571" w:rsidR="00647E2C" w:rsidRDefault="00000000">
              <w:pPr>
                <w:pStyle w:val="TOC3"/>
                <w:tabs>
                  <w:tab w:val="right" w:leader="dot" w:pos="9831"/>
                </w:tabs>
                <w:rPr>
                  <w:rFonts w:asciiTheme="minorHAnsi" w:eastAsiaTheme="minorEastAsia" w:hAnsiTheme="minorHAnsi" w:cstheme="minorBidi"/>
                  <w:noProof/>
                  <w:lang w:bidi="ar-SA"/>
                </w:rPr>
              </w:pPr>
              <w:hyperlink w:anchor="_Toc128997610" w:history="1">
                <w:r w:rsidR="00647E2C" w:rsidRPr="00BC3DE5">
                  <w:rPr>
                    <w:rStyle w:val="Hyperlink"/>
                    <w:rFonts w:eastAsiaTheme="majorEastAsia"/>
                    <w:noProof/>
                  </w:rPr>
                  <w:t>Program Activity</w:t>
                </w:r>
                <w:r w:rsidR="00647E2C">
                  <w:rPr>
                    <w:noProof/>
                    <w:webHidden/>
                  </w:rPr>
                  <w:tab/>
                </w:r>
                <w:r w:rsidR="00647E2C">
                  <w:rPr>
                    <w:noProof/>
                    <w:webHidden/>
                  </w:rPr>
                  <w:fldChar w:fldCharType="begin"/>
                </w:r>
                <w:r w:rsidR="00647E2C">
                  <w:rPr>
                    <w:noProof/>
                    <w:webHidden/>
                  </w:rPr>
                  <w:instrText xml:space="preserve"> PAGEREF _Toc128997610 \h </w:instrText>
                </w:r>
                <w:r w:rsidR="00647E2C">
                  <w:rPr>
                    <w:noProof/>
                    <w:webHidden/>
                  </w:rPr>
                </w:r>
                <w:r w:rsidR="00647E2C">
                  <w:rPr>
                    <w:noProof/>
                    <w:webHidden/>
                  </w:rPr>
                  <w:fldChar w:fldCharType="separate"/>
                </w:r>
                <w:r w:rsidR="00647E2C">
                  <w:rPr>
                    <w:noProof/>
                    <w:webHidden/>
                  </w:rPr>
                  <w:t>7</w:t>
                </w:r>
                <w:r w:rsidR="00647E2C">
                  <w:rPr>
                    <w:noProof/>
                    <w:webHidden/>
                  </w:rPr>
                  <w:fldChar w:fldCharType="end"/>
                </w:r>
              </w:hyperlink>
            </w:p>
            <w:p w14:paraId="5C0693F8" w14:textId="5DA668CA" w:rsidR="00647E2C" w:rsidRDefault="00000000">
              <w:pPr>
                <w:pStyle w:val="TOC2"/>
                <w:tabs>
                  <w:tab w:val="right" w:leader="dot" w:pos="9831"/>
                </w:tabs>
                <w:rPr>
                  <w:rFonts w:asciiTheme="minorHAnsi" w:eastAsiaTheme="minorEastAsia" w:hAnsiTheme="minorHAnsi" w:cstheme="minorBidi"/>
                  <w:noProof/>
                  <w:lang w:bidi="ar-SA"/>
                </w:rPr>
              </w:pPr>
              <w:hyperlink w:anchor="_Toc128997611" w:history="1">
                <w:r w:rsidR="00647E2C" w:rsidRPr="00BC3DE5">
                  <w:rPr>
                    <w:rStyle w:val="Hyperlink"/>
                    <w:rFonts w:eastAsiaTheme="majorEastAsia"/>
                    <w:noProof/>
                  </w:rPr>
                  <w:t>Cultural Mall Operator Grant Program</w:t>
                </w:r>
                <w:r w:rsidR="00647E2C">
                  <w:rPr>
                    <w:noProof/>
                    <w:webHidden/>
                  </w:rPr>
                  <w:tab/>
                </w:r>
                <w:r w:rsidR="00647E2C">
                  <w:rPr>
                    <w:noProof/>
                    <w:webHidden/>
                  </w:rPr>
                  <w:fldChar w:fldCharType="begin"/>
                </w:r>
                <w:r w:rsidR="00647E2C">
                  <w:rPr>
                    <w:noProof/>
                    <w:webHidden/>
                  </w:rPr>
                  <w:instrText xml:space="preserve"> PAGEREF _Toc128997611 \h </w:instrText>
                </w:r>
                <w:r w:rsidR="00647E2C">
                  <w:rPr>
                    <w:noProof/>
                    <w:webHidden/>
                  </w:rPr>
                </w:r>
                <w:r w:rsidR="00647E2C">
                  <w:rPr>
                    <w:noProof/>
                    <w:webHidden/>
                  </w:rPr>
                  <w:fldChar w:fldCharType="separate"/>
                </w:r>
                <w:r w:rsidR="00647E2C">
                  <w:rPr>
                    <w:noProof/>
                    <w:webHidden/>
                  </w:rPr>
                  <w:t>9</w:t>
                </w:r>
                <w:r w:rsidR="00647E2C">
                  <w:rPr>
                    <w:noProof/>
                    <w:webHidden/>
                  </w:rPr>
                  <w:fldChar w:fldCharType="end"/>
                </w:r>
              </w:hyperlink>
            </w:p>
            <w:p w14:paraId="1C684BC7" w14:textId="0367822A" w:rsidR="00EB7593" w:rsidRDefault="00EB7593">
              <w:r>
                <w:rPr>
                  <w:b/>
                  <w:bCs/>
                  <w:noProof/>
                </w:rPr>
                <w:fldChar w:fldCharType="end"/>
              </w:r>
            </w:p>
          </w:sdtContent>
        </w:sdt>
        <w:p w14:paraId="682FC464" w14:textId="77777777" w:rsidR="00C61688" w:rsidRPr="00A435E7" w:rsidRDefault="00C61688" w:rsidP="00C61688">
          <w:pPr>
            <w:pStyle w:val="BodyText"/>
          </w:pPr>
        </w:p>
        <w:p w14:paraId="0B8E2BE3" w14:textId="77777777" w:rsidR="00C61688" w:rsidRDefault="00C61688" w:rsidP="00C61688">
          <w:r>
            <w:br w:type="page"/>
          </w:r>
        </w:p>
        <w:p w14:paraId="68366B18" w14:textId="769A803F" w:rsidR="0072799D" w:rsidRPr="00E41BD2" w:rsidRDefault="001E33C1" w:rsidP="0072799D">
          <w:pPr>
            <w:pStyle w:val="Heading2"/>
          </w:pPr>
          <w:bookmarkStart w:id="4" w:name="_Toc128997605"/>
          <w:bookmarkStart w:id="5" w:name="_Toc461105258"/>
          <w:r>
            <w:lastRenderedPageBreak/>
            <w:t>Authorizing Appropriation</w:t>
          </w:r>
          <w:bookmarkEnd w:id="4"/>
          <w:r>
            <w:t xml:space="preserve"> </w:t>
          </w:r>
        </w:p>
        <w:p w14:paraId="201A471A" w14:textId="06EEE1AF" w:rsidR="001E33C1" w:rsidRDefault="00FE4DC4" w:rsidP="00B46E01">
          <w:pPr>
            <w:spacing w:before="360"/>
          </w:pPr>
          <w:r>
            <w:t xml:space="preserve">The Minnesota </w:t>
          </w:r>
          <w:r w:rsidR="00F21BC5">
            <w:t>Main Street COVID-19 Relief Grant</w:t>
          </w:r>
          <w:r w:rsidR="002C629B">
            <w:t xml:space="preserve"> (</w:t>
          </w:r>
          <w:r w:rsidR="00F21BC5">
            <w:t>MSCRG</w:t>
          </w:r>
          <w:r w:rsidR="002C629B">
            <w:t>)</w:t>
          </w:r>
          <w:r w:rsidR="003967CE">
            <w:t xml:space="preserve"> Program is authorized </w:t>
          </w:r>
          <w:r w:rsidR="009B7DCA" w:rsidRPr="009B7DCA">
            <w:t>Laws of Minnesota 2021, First Special Session, chapter 10, art. 2, sec. 22</w:t>
          </w:r>
          <w:r w:rsidR="009B7DCA">
            <w:t xml:space="preserve"> </w:t>
          </w:r>
          <w:r w:rsidR="00515693">
            <w:t>appropriating</w:t>
          </w:r>
          <w:r w:rsidR="00A10D06">
            <w:t xml:space="preserve"> </w:t>
          </w:r>
          <w:r w:rsidR="00B46E01">
            <w:t>$</w:t>
          </w:r>
          <w:r w:rsidR="009B7DCA">
            <w:t>70</w:t>
          </w:r>
          <w:r w:rsidR="00B46E01">
            <w:t xml:space="preserve"> million </w:t>
          </w:r>
          <w:r w:rsidR="009B7DCA">
            <w:t>in State General Fund</w:t>
          </w:r>
          <w:r w:rsidR="00B46E01">
            <w:t xml:space="preserve">. </w:t>
          </w:r>
          <w:r w:rsidR="009D1B8A">
            <w:t>By law</w:t>
          </w:r>
          <w:r w:rsidR="00914D3F">
            <w:t>,</w:t>
          </w:r>
          <w:r w:rsidR="009D1B8A">
            <w:t xml:space="preserve"> funding was distributed across the following </w:t>
          </w:r>
          <w:r w:rsidR="00515693">
            <w:t>categories</w:t>
          </w:r>
          <w:r w:rsidR="009D1B8A">
            <w:t>:</w:t>
          </w:r>
        </w:p>
        <w:p w14:paraId="07DA27DA" w14:textId="48B2CED3" w:rsidR="009D1B8A" w:rsidRDefault="001E33C1" w:rsidP="009D1B8A">
          <w:pPr>
            <w:pStyle w:val="ListParagraph"/>
            <w:numPr>
              <w:ilvl w:val="0"/>
              <w:numId w:val="34"/>
            </w:numPr>
            <w:spacing w:before="360"/>
          </w:pPr>
          <w:r>
            <w:t>$</w:t>
          </w:r>
          <w:r w:rsidR="00F21BC5">
            <w:t>64</w:t>
          </w:r>
          <w:r>
            <w:t>.</w:t>
          </w:r>
          <w:r w:rsidR="007C6E85">
            <w:t>2</w:t>
          </w:r>
          <w:r w:rsidR="00F21BC5">
            <w:t xml:space="preserve"> </w:t>
          </w:r>
          <w:r>
            <w:t xml:space="preserve">million for </w:t>
          </w:r>
          <w:r w:rsidR="00F21BC5">
            <w:t>Main Street COVID-19 Relief Grant</w:t>
          </w:r>
          <w:r>
            <w:t xml:space="preserve">s </w:t>
          </w:r>
        </w:p>
        <w:p w14:paraId="3E9A8CF7" w14:textId="4DE75C78" w:rsidR="001E33C1" w:rsidRDefault="001E33C1" w:rsidP="009D1B8A">
          <w:pPr>
            <w:pStyle w:val="ListParagraph"/>
            <w:numPr>
              <w:ilvl w:val="0"/>
              <w:numId w:val="34"/>
            </w:numPr>
            <w:spacing w:before="360"/>
          </w:pPr>
          <w:r>
            <w:t>$</w:t>
          </w:r>
          <w:r w:rsidR="00F21BC5">
            <w:t>3</w:t>
          </w:r>
          <w:r>
            <w:t xml:space="preserve"> million for </w:t>
          </w:r>
          <w:r w:rsidR="007C6E85">
            <w:t xml:space="preserve">Main Street </w:t>
          </w:r>
          <w:r w:rsidR="00515693">
            <w:t>Cultural</w:t>
          </w:r>
          <w:r>
            <w:t xml:space="preserve"> Mall Operator Grants </w:t>
          </w:r>
        </w:p>
        <w:p w14:paraId="36863E07" w14:textId="72CA7306" w:rsidR="001E33C1" w:rsidRDefault="001E33C1" w:rsidP="009D1B8A">
          <w:pPr>
            <w:pStyle w:val="ListParagraph"/>
            <w:numPr>
              <w:ilvl w:val="0"/>
              <w:numId w:val="34"/>
            </w:numPr>
            <w:spacing w:before="360"/>
          </w:pPr>
          <w:r>
            <w:t>$2.</w:t>
          </w:r>
          <w:r w:rsidR="00F21BC5">
            <w:t>8</w:t>
          </w:r>
          <w:r>
            <w:t xml:space="preserve"> million for ad</w:t>
          </w:r>
          <w:r w:rsidRPr="001E33C1">
            <w:t>ministrative costs incurred from making grants</w:t>
          </w:r>
          <w:r w:rsidR="00F21BC5">
            <w:t>.</w:t>
          </w:r>
        </w:p>
        <w:p w14:paraId="3B58F560" w14:textId="2C131709" w:rsidR="001E33C1" w:rsidRDefault="00F21BC5" w:rsidP="001E33C1">
          <w:pPr>
            <w:pStyle w:val="Heading2"/>
          </w:pPr>
          <w:bookmarkStart w:id="6" w:name="_Toc128997606"/>
          <w:r>
            <w:t>Main Street COVID-19 Relief Grant</w:t>
          </w:r>
          <w:r w:rsidR="00FE7083">
            <w:t xml:space="preserve"> Program</w:t>
          </w:r>
          <w:bookmarkEnd w:id="6"/>
        </w:p>
        <w:p w14:paraId="56562367" w14:textId="6A107A03" w:rsidR="00B46E01" w:rsidRDefault="00B46E01" w:rsidP="00B46E01">
          <w:pPr>
            <w:spacing w:before="360"/>
          </w:pPr>
          <w:r>
            <w:t>This program makes available up to $</w:t>
          </w:r>
          <w:r w:rsidR="009B7DCA">
            <w:t>25</w:t>
          </w:r>
          <w:r>
            <w:t xml:space="preserve">,000 </w:t>
          </w:r>
          <w:r w:rsidR="00F4494B">
            <w:t xml:space="preserve">in </w:t>
          </w:r>
          <w:r>
            <w:t xml:space="preserve">grants to Minnesotan owned and operated businesses that can demonstrate financial hardship </w:t>
          </w:r>
          <w:proofErr w:type="gramStart"/>
          <w:r>
            <w:t>as a result of</w:t>
          </w:r>
          <w:proofErr w:type="gramEnd"/>
          <w:r>
            <w:t xml:space="preserve"> the COVID-19 outbreak. A total of $</w:t>
          </w:r>
          <w:r w:rsidR="009B7DCA">
            <w:t xml:space="preserve">64.2 </w:t>
          </w:r>
          <w:r>
            <w:t>million is available for grant awards which will be selected through a computer-generated, randomized selection process.</w:t>
          </w:r>
        </w:p>
        <w:p w14:paraId="290BA0DF" w14:textId="5D3B5488" w:rsidR="00AE644E" w:rsidRDefault="00AE644E" w:rsidP="00AE644E">
          <w:pPr>
            <w:spacing w:before="360"/>
          </w:pPr>
          <w:r>
            <w:t>To qualify, an applicant must:</w:t>
          </w:r>
        </w:p>
        <w:p w14:paraId="3E2752B8" w14:textId="77777777" w:rsidR="00AE644E" w:rsidRDefault="00AE644E" w:rsidP="00AE644E">
          <w:pPr>
            <w:pStyle w:val="ListParagraph"/>
            <w:numPr>
              <w:ilvl w:val="0"/>
              <w:numId w:val="36"/>
            </w:numPr>
            <w:spacing w:before="360"/>
          </w:pPr>
          <w:r>
            <w:t xml:space="preserve">Be private for-profit business or non-profit organization (that earns revenue in ways </w:t>
          </w:r>
          <w:proofErr w:type="gramStart"/>
          <w:r>
            <w:t>similar to</w:t>
          </w:r>
          <w:proofErr w:type="gramEnd"/>
          <w:r>
            <w:t xml:space="preserve"> a business) with primary operations located in the state of Minnesota.</w:t>
          </w:r>
        </w:p>
        <w:p w14:paraId="059D302B" w14:textId="77777777" w:rsidR="00AE644E" w:rsidRDefault="00AE644E" w:rsidP="00AE644E">
          <w:pPr>
            <w:pStyle w:val="ListParagraph"/>
            <w:numPr>
              <w:ilvl w:val="0"/>
              <w:numId w:val="36"/>
            </w:numPr>
            <w:spacing w:before="360"/>
          </w:pPr>
          <w:r>
            <w:t>Be at least 50% owned by one or more resident(s) of Minnesota.</w:t>
          </w:r>
        </w:p>
        <w:p w14:paraId="7A4D947F" w14:textId="77777777" w:rsidR="00AE644E" w:rsidRDefault="00AE644E" w:rsidP="00AE644E">
          <w:pPr>
            <w:pStyle w:val="ListParagraph"/>
            <w:numPr>
              <w:ilvl w:val="0"/>
              <w:numId w:val="36"/>
            </w:numPr>
            <w:spacing w:before="360"/>
          </w:pPr>
          <w:r>
            <w:t>Employee the equivalent of 200 full-time workers or less.</w:t>
          </w:r>
        </w:p>
        <w:p w14:paraId="0D46B2CB" w14:textId="77777777" w:rsidR="00AE644E" w:rsidRDefault="00AE644E" w:rsidP="00AE644E">
          <w:pPr>
            <w:pStyle w:val="ListParagraph"/>
            <w:numPr>
              <w:ilvl w:val="0"/>
              <w:numId w:val="36"/>
            </w:numPr>
            <w:spacing w:before="360"/>
          </w:pPr>
          <w:r>
            <w:t xml:space="preserve">Be able to demonstrate financial hardship </w:t>
          </w:r>
          <w:proofErr w:type="gramStart"/>
          <w:r>
            <w:t>as a result of</w:t>
          </w:r>
          <w:proofErr w:type="gramEnd"/>
          <w:r>
            <w:t xml:space="preserve"> the COVID-19 outbreak.</w:t>
          </w:r>
        </w:p>
        <w:p w14:paraId="5FCE3016" w14:textId="77777777" w:rsidR="00AE644E" w:rsidRDefault="00AE644E" w:rsidP="00AE644E">
          <w:pPr>
            <w:pStyle w:val="ListParagraph"/>
            <w:numPr>
              <w:ilvl w:val="0"/>
              <w:numId w:val="36"/>
            </w:numPr>
            <w:spacing w:before="360"/>
          </w:pPr>
          <w:r>
            <w:t>Minimum total sales or revenue of at least $10,000 for the 2020 or 2019 tax year.</w:t>
          </w:r>
        </w:p>
        <w:p w14:paraId="7AB0074D" w14:textId="4B6AEB35" w:rsidR="00A10D06" w:rsidRDefault="00A10D06" w:rsidP="00AE644E">
          <w:pPr>
            <w:spacing w:before="360"/>
          </w:pPr>
          <w:r>
            <w:t>Grant funds received by individual businesses shall be used for working capital to support payroll expenses, rent, mortgage payments, utility bills, and other similar expenses that occur or have occurred since March 1, 2020, in the regular course of business. These are grants and no repayment will be required.</w:t>
          </w:r>
        </w:p>
        <w:p w14:paraId="318D4256" w14:textId="02335BA0" w:rsidR="00AE644E" w:rsidRDefault="00AE644E" w:rsidP="00AE644E">
          <w:pPr>
            <w:spacing w:before="360"/>
          </w:pPr>
          <w:proofErr w:type="gramStart"/>
          <w:r>
            <w:t>In making awards, there</w:t>
          </w:r>
          <w:proofErr w:type="gramEnd"/>
          <w:r>
            <w:t xml:space="preserve"> are minimum set asides for various targeted groups and categories of businesses.</w:t>
          </w:r>
        </w:p>
        <w:p w14:paraId="1336A075" w14:textId="77777777" w:rsidR="00AE644E" w:rsidRDefault="00AE644E" w:rsidP="00AE644E">
          <w:pPr>
            <w:pStyle w:val="ListParagraph"/>
            <w:numPr>
              <w:ilvl w:val="0"/>
              <w:numId w:val="37"/>
            </w:numPr>
            <w:spacing w:before="360"/>
          </w:pPr>
          <w:r>
            <w:t>50% of funds will be available for businesses based in Greater Minnesota.</w:t>
          </w:r>
        </w:p>
        <w:p w14:paraId="31B6595C" w14:textId="77777777" w:rsidR="00AE644E" w:rsidRDefault="00AE644E" w:rsidP="00AE644E">
          <w:pPr>
            <w:pStyle w:val="ListParagraph"/>
            <w:numPr>
              <w:ilvl w:val="0"/>
              <w:numId w:val="37"/>
            </w:numPr>
            <w:spacing w:before="360"/>
          </w:pPr>
          <w:r>
            <w:t>50% of funds will be available for businesses based in the 7-county metro area (Anoka, Carver, Dakota, Hennepin, Ramsey, Scott, and Washington counties).</w:t>
          </w:r>
        </w:p>
        <w:p w14:paraId="3B8EE262" w14:textId="77777777" w:rsidR="00AE644E" w:rsidRDefault="00AE644E" w:rsidP="00AE644E">
          <w:pPr>
            <w:pStyle w:val="ListParagraph"/>
            <w:numPr>
              <w:ilvl w:val="0"/>
              <w:numId w:val="37"/>
            </w:numPr>
            <w:spacing w:before="360"/>
          </w:pPr>
          <w:r>
            <w:t>A minimum amount of funds must be awarded as follows:</w:t>
          </w:r>
        </w:p>
        <w:p w14:paraId="738F99C6" w14:textId="77777777" w:rsidR="00AE644E" w:rsidRDefault="00AE644E" w:rsidP="00AE644E">
          <w:pPr>
            <w:pStyle w:val="ListParagraph"/>
            <w:numPr>
              <w:ilvl w:val="0"/>
              <w:numId w:val="37"/>
            </w:numPr>
            <w:spacing w:before="360"/>
          </w:pPr>
          <w:r>
            <w:t>$18 million for businesses with six or fewer full-time workers.</w:t>
          </w:r>
        </w:p>
        <w:p w14:paraId="670B2867" w14:textId="77777777" w:rsidR="00AE644E" w:rsidRDefault="00AE644E" w:rsidP="00AE644E">
          <w:pPr>
            <w:pStyle w:val="ListParagraph"/>
            <w:numPr>
              <w:ilvl w:val="0"/>
              <w:numId w:val="37"/>
            </w:numPr>
            <w:spacing w:before="360"/>
          </w:pPr>
          <w:r>
            <w:t>$10 million for businesses that are majority owned and operated by Black, Indigenous, or People of Color (BIPOC).</w:t>
          </w:r>
        </w:p>
        <w:p w14:paraId="3219F1C7" w14:textId="77777777" w:rsidR="00AE644E" w:rsidRDefault="00AE644E" w:rsidP="00AE644E">
          <w:pPr>
            <w:pStyle w:val="ListParagraph"/>
            <w:numPr>
              <w:ilvl w:val="0"/>
              <w:numId w:val="37"/>
            </w:numPr>
            <w:spacing w:before="360"/>
          </w:pPr>
          <w:r>
            <w:t>$2.5 million for businesses that are majority owned and operated by veterans.</w:t>
          </w:r>
        </w:p>
        <w:p w14:paraId="722D770C" w14:textId="77777777" w:rsidR="00AE644E" w:rsidRDefault="00AE644E" w:rsidP="00AE644E">
          <w:pPr>
            <w:pStyle w:val="ListParagraph"/>
            <w:numPr>
              <w:ilvl w:val="0"/>
              <w:numId w:val="37"/>
            </w:numPr>
            <w:spacing w:before="360"/>
          </w:pPr>
          <w:r>
            <w:t>$2.5 million for businesses that are majority owned and operated by women.</w:t>
          </w:r>
        </w:p>
        <w:p w14:paraId="6F8A03FC" w14:textId="565AD7C6" w:rsidR="00D739D7" w:rsidRDefault="00D739D7" w:rsidP="00AE644E">
          <w:pPr>
            <w:spacing w:before="360"/>
          </w:pPr>
          <w:r>
            <w:lastRenderedPageBreak/>
            <w:t>Grant applications that have been randomly selected in the lottery process conducted by DEED are</w:t>
          </w:r>
          <w:r w:rsidR="00B46E01">
            <w:t xml:space="preserve"> </w:t>
          </w:r>
          <w:r>
            <w:t xml:space="preserve">assigned to </w:t>
          </w:r>
          <w:r w:rsidR="00B46E01">
            <w:t>qualified local and regionally based nonprofit organizations</w:t>
          </w:r>
          <w:r>
            <w:t xml:space="preserve"> previously authorized as a lender under the </w:t>
          </w:r>
          <w:r w:rsidR="00F4494B">
            <w:t>S</w:t>
          </w:r>
          <w:r w:rsidRPr="00D739D7">
            <w:t xml:space="preserve">mall </w:t>
          </w:r>
          <w:r w:rsidR="00F4494B">
            <w:t>B</w:t>
          </w:r>
          <w:r w:rsidRPr="00D739D7">
            <w:t xml:space="preserve">usiness </w:t>
          </w:r>
          <w:r w:rsidR="00F4494B">
            <w:t>E</w:t>
          </w:r>
          <w:r w:rsidRPr="00D739D7">
            <w:t xml:space="preserve">mergency </w:t>
          </w:r>
          <w:r w:rsidR="00F4494B">
            <w:t>L</w:t>
          </w:r>
          <w:r w:rsidRPr="00D739D7">
            <w:t>oan program pursuant to Laws 2020, chapter 71, section 11</w:t>
          </w:r>
          <w:r>
            <w:t xml:space="preserve">. </w:t>
          </w:r>
          <w:r w:rsidR="00AE644E">
            <w:t xml:space="preserve"> </w:t>
          </w:r>
          <w:r>
            <w:t>Grant administrators received selected application</w:t>
          </w:r>
          <w:r w:rsidR="00A10D06">
            <w:t>s</w:t>
          </w:r>
          <w:r>
            <w:t xml:space="preserve"> from DEED</w:t>
          </w:r>
          <w:r w:rsidR="00A10D06">
            <w:t>,</w:t>
          </w:r>
          <w:r>
            <w:t xml:space="preserve"> review applications for eligibility, administer awards to eligible applicants, and request funds for transfer from DEED upon approval for relief grants. </w:t>
          </w:r>
        </w:p>
        <w:p w14:paraId="423FAB7F" w14:textId="1B3EB032" w:rsidR="00DC6653" w:rsidRDefault="00DC6653" w:rsidP="00FE7083">
          <w:pPr>
            <w:pStyle w:val="Heading3"/>
          </w:pPr>
          <w:bookmarkStart w:id="7" w:name="_Toc128997607"/>
          <w:bookmarkStart w:id="8" w:name="_Toc525641102"/>
          <w:bookmarkStart w:id="9" w:name="_Toc461105259"/>
          <w:bookmarkEnd w:id="5"/>
          <w:r>
            <w:t>Participating</w:t>
          </w:r>
          <w:r w:rsidR="00D739D7">
            <w:t xml:space="preserve"> Grant Administrators</w:t>
          </w:r>
          <w:bookmarkEnd w:id="7"/>
        </w:p>
        <w:p w14:paraId="69798782" w14:textId="3AA9EA98" w:rsidR="00090C5A" w:rsidRDefault="00A10D06" w:rsidP="00DC6653">
          <w:pPr>
            <w:pStyle w:val="BodyText"/>
          </w:pPr>
          <w:r>
            <w:t>1</w:t>
          </w:r>
          <w:r w:rsidR="00AE644E">
            <w:t>7</w:t>
          </w:r>
          <w:r w:rsidR="00E811A9">
            <w:t xml:space="preserve"> </w:t>
          </w:r>
          <w:r>
            <w:t>agencies have participated as administrators for this program. For Twin Cities based organizations</w:t>
          </w:r>
          <w:r w:rsidR="00F4494B">
            <w:t>,</w:t>
          </w:r>
          <w:r>
            <w:t xml:space="preserve"> which applications and the </w:t>
          </w:r>
          <w:r w:rsidR="00515693">
            <w:t>quantity</w:t>
          </w:r>
          <w:r>
            <w:t xml:space="preserve"> of applications assigned to administrators </w:t>
          </w:r>
          <w:r w:rsidR="00090C5A">
            <w:t xml:space="preserve">is </w:t>
          </w:r>
          <w:r>
            <w:t xml:space="preserve">based on </w:t>
          </w:r>
          <w:r w:rsidR="00090C5A">
            <w:t>the following criteria</w:t>
          </w:r>
          <w:r w:rsidR="00F4494B">
            <w:t>:</w:t>
          </w:r>
          <w:r w:rsidR="00090C5A">
            <w:t xml:space="preserve"> </w:t>
          </w:r>
          <w:r>
            <w:t>the (1) staffing and technical capacity of the administrator</w:t>
          </w:r>
          <w:r w:rsidR="0049218D">
            <w:t>,</w:t>
          </w:r>
          <w:r>
            <w:t xml:space="preserve"> (2) the preference of applica</w:t>
          </w:r>
          <w:r w:rsidR="00090C5A">
            <w:t>nt</w:t>
          </w:r>
          <w:r>
            <w:t xml:space="preserve"> if they have stated </w:t>
          </w:r>
          <w:r w:rsidR="00090C5A">
            <w:t>one in their application</w:t>
          </w:r>
          <w:r w:rsidR="0049218D">
            <w:t>,</w:t>
          </w:r>
          <w:r w:rsidR="00090C5A">
            <w:t xml:space="preserve"> (3) the agency mission’s if they have a specific mission to serve certain geographies, language, gender, ethnic, or racial groups</w:t>
          </w:r>
          <w:r w:rsidR="0049218D">
            <w:t>, and</w:t>
          </w:r>
          <w:r w:rsidR="00090C5A">
            <w:t xml:space="preserve"> (4) random assignment if all other applicants in those </w:t>
          </w:r>
          <w:r w:rsidR="00515693">
            <w:t>categories</w:t>
          </w:r>
          <w:r w:rsidR="00090C5A">
            <w:t xml:space="preserve"> are exhausted. </w:t>
          </w:r>
        </w:p>
        <w:p w14:paraId="75E77831" w14:textId="023248A8" w:rsidR="00090C5A" w:rsidRDefault="00090C5A" w:rsidP="00DC6653">
          <w:pPr>
            <w:pStyle w:val="BodyText"/>
          </w:pPr>
          <w:r>
            <w:t xml:space="preserve">For Greater Minnesota </w:t>
          </w:r>
          <w:r w:rsidR="00515693">
            <w:t>agencies</w:t>
          </w:r>
          <w:r>
            <w:t xml:space="preserve"> applications are assigned based on the location of the business within that organizations Minnesota Initiative Foundation (MIF) service area. </w:t>
          </w:r>
        </w:p>
        <w:p w14:paraId="5A84C30F" w14:textId="78A5451A" w:rsidR="00A10D06" w:rsidRPr="00A10D06" w:rsidRDefault="00A10D06" w:rsidP="00FE7083">
          <w:pPr>
            <w:pStyle w:val="Heading4"/>
          </w:pPr>
          <w:r w:rsidRPr="00A10D06">
            <w:t xml:space="preserve">Twin Cities </w:t>
          </w:r>
          <w:r>
            <w:t xml:space="preserve">Grant </w:t>
          </w:r>
          <w:r w:rsidRPr="00A10D06">
            <w:t xml:space="preserve">Administrators: </w:t>
          </w:r>
        </w:p>
        <w:p w14:paraId="109A9493"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NextStage</w:t>
          </w:r>
        </w:p>
        <w:p w14:paraId="15428181"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WomenVenture</w:t>
          </w:r>
        </w:p>
        <w:p w14:paraId="336EEAE3"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African Development Center</w:t>
          </w:r>
        </w:p>
        <w:p w14:paraId="4135C2B5" w14:textId="0F7C52EF"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Metropolitan Consortium of Community D</w:t>
          </w:r>
          <w:r>
            <w:rPr>
              <w:rFonts w:eastAsia="Times New Roman" w:cs="Times New Roman"/>
              <w:b w:val="0"/>
              <w:bCs w:val="0"/>
              <w:color w:val="auto"/>
              <w:sz w:val="22"/>
              <w:szCs w:val="22"/>
            </w:rPr>
            <w:t>evelopers</w:t>
          </w:r>
        </w:p>
        <w:p w14:paraId="467B7517"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African Economic Development Solutions</w:t>
          </w:r>
        </w:p>
        <w:p w14:paraId="0947DD4F"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HAP (Hmong American Partnership)</w:t>
          </w:r>
        </w:p>
        <w:p w14:paraId="2501CD08"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Neighborhood Development Center</w:t>
          </w:r>
        </w:p>
        <w:p w14:paraId="512381A0"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Metropolitan Economic Development Association</w:t>
          </w:r>
        </w:p>
        <w:p w14:paraId="5A30A92C"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New American Development Center (NADC)</w:t>
          </w:r>
        </w:p>
        <w:p w14:paraId="17D6D2DB" w14:textId="77777777" w:rsidR="00AE644E" w:rsidRP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Latino Economic Development Center</w:t>
          </w:r>
        </w:p>
        <w:p w14:paraId="4D4D807A" w14:textId="77777777" w:rsidR="00AE644E" w:rsidRDefault="00AE644E" w:rsidP="00AE644E">
          <w:pPr>
            <w:pStyle w:val="Heading4"/>
            <w:numPr>
              <w:ilvl w:val="0"/>
              <w:numId w:val="38"/>
            </w:numPr>
            <w:rPr>
              <w:rFonts w:eastAsia="Times New Roman" w:cs="Times New Roman"/>
              <w:b w:val="0"/>
              <w:bCs w:val="0"/>
              <w:color w:val="auto"/>
              <w:sz w:val="22"/>
              <w:szCs w:val="22"/>
            </w:rPr>
          </w:pPr>
          <w:r w:rsidRPr="00AE644E">
            <w:rPr>
              <w:rFonts w:eastAsia="Times New Roman" w:cs="Times New Roman"/>
              <w:b w:val="0"/>
              <w:bCs w:val="0"/>
              <w:color w:val="auto"/>
              <w:sz w:val="22"/>
              <w:szCs w:val="22"/>
            </w:rPr>
            <w:t>Northside Economic Opportunity Network (NEON) Inc.</w:t>
          </w:r>
        </w:p>
        <w:p w14:paraId="199868D1" w14:textId="2A81B6C6" w:rsidR="00A10D06" w:rsidRDefault="00A10D06" w:rsidP="00AE644E">
          <w:pPr>
            <w:pStyle w:val="Heading4"/>
          </w:pPr>
          <w:r>
            <w:t>Greater Minnesota Grant Administrators</w:t>
          </w:r>
        </w:p>
        <w:p w14:paraId="3E5AFB43" w14:textId="28F4EDEA" w:rsidR="00A10D06" w:rsidRDefault="00A10D06" w:rsidP="00A10D06">
          <w:pPr>
            <w:pStyle w:val="BodyText"/>
            <w:numPr>
              <w:ilvl w:val="0"/>
              <w:numId w:val="32"/>
            </w:numPr>
          </w:pPr>
          <w:r>
            <w:t>Initiative Foundation</w:t>
          </w:r>
          <w:r w:rsidR="00090C5A">
            <w:t xml:space="preserve"> (Central Region) </w:t>
          </w:r>
        </w:p>
        <w:p w14:paraId="436614D4" w14:textId="50C14FD7" w:rsidR="00A10D06" w:rsidRDefault="00A10D06" w:rsidP="00A10D06">
          <w:pPr>
            <w:pStyle w:val="BodyText"/>
            <w:numPr>
              <w:ilvl w:val="0"/>
              <w:numId w:val="32"/>
            </w:numPr>
          </w:pPr>
          <w:r>
            <w:t>Northland Foundation</w:t>
          </w:r>
          <w:r w:rsidR="00090C5A">
            <w:t xml:space="preserve"> (Northeast Region) </w:t>
          </w:r>
        </w:p>
        <w:p w14:paraId="3E39DA8A" w14:textId="5FB799E0" w:rsidR="00A10D06" w:rsidRDefault="00A10D06" w:rsidP="00A10D06">
          <w:pPr>
            <w:pStyle w:val="BodyText"/>
            <w:numPr>
              <w:ilvl w:val="0"/>
              <w:numId w:val="32"/>
            </w:numPr>
          </w:pPr>
          <w:r>
            <w:t>Northwest Minnesota Foundation</w:t>
          </w:r>
          <w:r w:rsidR="00090C5A">
            <w:t xml:space="preserve"> (Northwest Region)</w:t>
          </w:r>
        </w:p>
        <w:p w14:paraId="4C81AB96" w14:textId="56E897A8" w:rsidR="00A10D06" w:rsidRDefault="00A10D06" w:rsidP="00A10D06">
          <w:pPr>
            <w:pStyle w:val="BodyText"/>
            <w:numPr>
              <w:ilvl w:val="0"/>
              <w:numId w:val="32"/>
            </w:numPr>
          </w:pPr>
          <w:r>
            <w:lastRenderedPageBreak/>
            <w:t>Southern Minnesota Initiative Foundation</w:t>
          </w:r>
          <w:r w:rsidR="00090C5A">
            <w:t xml:space="preserve"> (Southeast Region)</w:t>
          </w:r>
        </w:p>
        <w:p w14:paraId="25A06FF6" w14:textId="1304D08F" w:rsidR="00A10D06" w:rsidRDefault="00A10D06" w:rsidP="00A10D06">
          <w:pPr>
            <w:pStyle w:val="BodyText"/>
            <w:numPr>
              <w:ilvl w:val="0"/>
              <w:numId w:val="32"/>
            </w:numPr>
          </w:pPr>
          <w:r>
            <w:t>Southwest Initiative Foundation</w:t>
          </w:r>
          <w:r w:rsidR="00090C5A">
            <w:t xml:space="preserve"> (Southwest Region) </w:t>
          </w:r>
        </w:p>
        <w:p w14:paraId="0E243294" w14:textId="373F15DB" w:rsidR="00E811A9" w:rsidRPr="00DC6653" w:rsidRDefault="00A10D06" w:rsidP="00E811A9">
          <w:pPr>
            <w:pStyle w:val="BodyText"/>
            <w:numPr>
              <w:ilvl w:val="0"/>
              <w:numId w:val="32"/>
            </w:numPr>
          </w:pPr>
          <w:r>
            <w:t>West Central Initiative</w:t>
          </w:r>
          <w:r w:rsidR="00090C5A">
            <w:t xml:space="preserve"> (West Central Region)</w:t>
          </w:r>
        </w:p>
        <w:p w14:paraId="7302A2C7" w14:textId="7B8D0A05" w:rsidR="00090C5A" w:rsidRDefault="00090C5A" w:rsidP="00FE7083">
          <w:pPr>
            <w:pStyle w:val="Heading3"/>
          </w:pPr>
          <w:bookmarkStart w:id="10" w:name="_Toc128997608"/>
          <w:r>
            <w:t>Application Process</w:t>
          </w:r>
          <w:bookmarkEnd w:id="10"/>
        </w:p>
        <w:p w14:paraId="4E9FF969" w14:textId="3AA085C6" w:rsidR="00090C5A" w:rsidRPr="00AE644E" w:rsidRDefault="00090C5A" w:rsidP="00090C5A">
          <w:pPr>
            <w:pStyle w:val="BodyText"/>
          </w:pPr>
          <w:r w:rsidRPr="00AE644E">
            <w:t>Application</w:t>
          </w:r>
          <w:r w:rsidR="00F461FE" w:rsidRPr="00AE644E">
            <w:t>s</w:t>
          </w:r>
          <w:r w:rsidRPr="00AE644E">
            <w:t xml:space="preserve"> were received online on DEED’s website between </w:t>
          </w:r>
          <w:r w:rsidR="00AE644E" w:rsidRPr="00AE644E">
            <w:t>September 20</w:t>
          </w:r>
          <w:r w:rsidRPr="00AE644E">
            <w:t xml:space="preserve"> 8:00am and </w:t>
          </w:r>
          <w:r w:rsidR="00AE644E" w:rsidRPr="00AE644E">
            <w:t>September 29</w:t>
          </w:r>
          <w:r w:rsidRPr="00AE644E">
            <w:t xml:space="preserve"> 5:00pm</w:t>
          </w:r>
          <w:r w:rsidR="00F461FE" w:rsidRPr="00AE644E">
            <w:t>. By law applications could be collect</w:t>
          </w:r>
          <w:r w:rsidR="009D1B8A" w:rsidRPr="00AE644E">
            <w:t>ed</w:t>
          </w:r>
          <w:r w:rsidR="00F461FE" w:rsidRPr="00AE644E">
            <w:t xml:space="preserve"> for no more than 10 days. </w:t>
          </w:r>
        </w:p>
        <w:p w14:paraId="3994545A" w14:textId="3B38C4C9" w:rsidR="00F461FE" w:rsidRDefault="00F461FE" w:rsidP="00090C5A">
          <w:pPr>
            <w:pStyle w:val="BodyText"/>
          </w:pPr>
          <w:r w:rsidRPr="00AE644E">
            <w:t xml:space="preserve">DEED collected </w:t>
          </w:r>
          <w:r w:rsidR="001A132F" w:rsidRPr="00AE644E">
            <w:t>18,632</w:t>
          </w:r>
          <w:r w:rsidRPr="00AE644E">
            <w:t xml:space="preserve"> applications</w:t>
          </w:r>
          <w:r w:rsidR="001A132F" w:rsidRPr="00AE644E">
            <w:t>.</w:t>
          </w:r>
        </w:p>
        <w:p w14:paraId="3DF0E276" w14:textId="1C1CC604" w:rsidR="00F461FE" w:rsidRDefault="00F461FE" w:rsidP="00FE7083">
          <w:pPr>
            <w:pStyle w:val="Heading3"/>
          </w:pPr>
          <w:bookmarkStart w:id="11" w:name="_Toc128997609"/>
          <w:r>
            <w:t>Randomized Selection Process</w:t>
          </w:r>
          <w:bookmarkEnd w:id="11"/>
        </w:p>
        <w:p w14:paraId="47AEB3FA" w14:textId="77777777" w:rsidR="000503B7" w:rsidRDefault="00F461FE" w:rsidP="000503B7">
          <w:pPr>
            <w:pStyle w:val="BodyText"/>
          </w:pPr>
          <w:r>
            <w:t xml:space="preserve">A total of </w:t>
          </w:r>
          <w:r w:rsidR="001A132F">
            <w:t>8987</w:t>
          </w:r>
          <w:r>
            <w:t xml:space="preserve"> applications were selected through a computer-based randomized selection process to receive a grant award </w:t>
          </w:r>
          <w:r w:rsidR="001A132F">
            <w:t xml:space="preserve">ranging from </w:t>
          </w:r>
          <w:r>
            <w:t>$10,000</w:t>
          </w:r>
          <w:r w:rsidR="001A132F">
            <w:t xml:space="preserve"> to $25,000 depending on the employee count of the business</w:t>
          </w:r>
          <w:r>
            <w:t xml:space="preserve">. </w:t>
          </w:r>
        </w:p>
        <w:p w14:paraId="611742BD" w14:textId="6754366A" w:rsidR="000503B7" w:rsidRDefault="000503B7" w:rsidP="000503B7">
          <w:pPr>
            <w:pStyle w:val="BodyText"/>
            <w:numPr>
              <w:ilvl w:val="0"/>
              <w:numId w:val="40"/>
            </w:numPr>
            <w:rPr>
              <w:rStyle w:val="eop"/>
              <w:rFonts w:ascii="Calibri" w:eastAsiaTheme="majorEastAsia" w:hAnsi="Calibri" w:cs="Calibri"/>
            </w:rPr>
          </w:pPr>
          <w:r>
            <w:rPr>
              <w:rStyle w:val="contextualspellingandgrammarerror"/>
              <w:rFonts w:ascii="Calibri" w:eastAsiaTheme="majorEastAsia" w:hAnsi="Calibri" w:cs="Calibri"/>
            </w:rPr>
            <w:t>0</w:t>
          </w:r>
          <w:r>
            <w:rPr>
              <w:rStyle w:val="normaltextrun"/>
              <w:rFonts w:ascii="Calibri" w:eastAsiaTheme="majorEastAsia" w:hAnsi="Calibri" w:cs="Calibri"/>
            </w:rPr>
            <w:t>-6 FTE, award is $10,000 </w:t>
          </w:r>
          <w:r>
            <w:rPr>
              <w:rStyle w:val="eop"/>
              <w:rFonts w:ascii="Calibri" w:eastAsiaTheme="majorEastAsia" w:hAnsi="Calibri" w:cs="Calibri"/>
            </w:rPr>
            <w:t> </w:t>
          </w:r>
        </w:p>
        <w:p w14:paraId="316CD295" w14:textId="24B87DCA" w:rsidR="000503B7" w:rsidRDefault="000503B7" w:rsidP="000503B7">
          <w:pPr>
            <w:pStyle w:val="BodyText"/>
            <w:numPr>
              <w:ilvl w:val="0"/>
              <w:numId w:val="40"/>
            </w:numPr>
            <w:rPr>
              <w:rStyle w:val="eop"/>
              <w:rFonts w:ascii="Calibri" w:eastAsiaTheme="majorEastAsia" w:hAnsi="Calibri" w:cs="Calibri"/>
            </w:rPr>
          </w:pPr>
          <w:r>
            <w:rPr>
              <w:rStyle w:val="contextualspellingandgrammarerror"/>
              <w:rFonts w:ascii="Calibri" w:eastAsiaTheme="majorEastAsia" w:hAnsi="Calibri" w:cs="Calibri"/>
            </w:rPr>
            <w:t>7</w:t>
          </w:r>
          <w:r>
            <w:rPr>
              <w:rStyle w:val="normaltextrun"/>
              <w:rFonts w:ascii="Calibri" w:eastAsiaTheme="majorEastAsia" w:hAnsi="Calibri" w:cs="Calibri"/>
            </w:rPr>
            <w:t>-49 FTE, award is $15,000 </w:t>
          </w:r>
          <w:r>
            <w:rPr>
              <w:rStyle w:val="eop"/>
              <w:rFonts w:ascii="Calibri" w:eastAsiaTheme="majorEastAsia" w:hAnsi="Calibri" w:cs="Calibri"/>
            </w:rPr>
            <w:t> </w:t>
          </w:r>
        </w:p>
        <w:p w14:paraId="12C33EFD" w14:textId="54BE7CD5" w:rsidR="000503B7" w:rsidRDefault="000503B7" w:rsidP="000503B7">
          <w:pPr>
            <w:pStyle w:val="BodyText"/>
            <w:numPr>
              <w:ilvl w:val="0"/>
              <w:numId w:val="40"/>
            </w:numPr>
            <w:rPr>
              <w:rStyle w:val="eop"/>
              <w:rFonts w:ascii="Calibri" w:eastAsiaTheme="majorEastAsia" w:hAnsi="Calibri" w:cs="Calibri"/>
            </w:rPr>
          </w:pPr>
          <w:r>
            <w:rPr>
              <w:rStyle w:val="contextualspellingandgrammarerror"/>
              <w:rFonts w:ascii="Calibri" w:eastAsiaTheme="majorEastAsia" w:hAnsi="Calibri" w:cs="Calibri"/>
            </w:rPr>
            <w:t>50</w:t>
          </w:r>
          <w:r>
            <w:rPr>
              <w:rStyle w:val="normaltextrun"/>
              <w:rFonts w:ascii="Calibri" w:eastAsiaTheme="majorEastAsia" w:hAnsi="Calibri" w:cs="Calibri"/>
            </w:rPr>
            <w:t>-99 FTE, award is $20,000 </w:t>
          </w:r>
          <w:r>
            <w:rPr>
              <w:rStyle w:val="eop"/>
              <w:rFonts w:ascii="Calibri" w:eastAsiaTheme="majorEastAsia" w:hAnsi="Calibri" w:cs="Calibri"/>
            </w:rPr>
            <w:t> </w:t>
          </w:r>
        </w:p>
        <w:p w14:paraId="7395A7B7" w14:textId="36C81C8E" w:rsidR="000503B7" w:rsidRDefault="000503B7" w:rsidP="00F461FE">
          <w:pPr>
            <w:pStyle w:val="BodyText"/>
            <w:numPr>
              <w:ilvl w:val="0"/>
              <w:numId w:val="40"/>
            </w:numPr>
          </w:pPr>
          <w:r>
            <w:rPr>
              <w:rStyle w:val="contextualspellingandgrammarerror"/>
              <w:rFonts w:ascii="Calibri" w:eastAsiaTheme="majorEastAsia" w:hAnsi="Calibri" w:cs="Calibri"/>
            </w:rPr>
            <w:t>100</w:t>
          </w:r>
          <w:r>
            <w:rPr>
              <w:rStyle w:val="normaltextrun"/>
              <w:rFonts w:ascii="Calibri" w:eastAsiaTheme="majorEastAsia" w:hAnsi="Calibri" w:cs="Calibri"/>
            </w:rPr>
            <w:t>-200 FTE, award is $25,000.</w:t>
          </w:r>
          <w:r>
            <w:rPr>
              <w:rStyle w:val="eop"/>
              <w:rFonts w:ascii="Calibri" w:eastAsiaTheme="majorEastAsia" w:hAnsi="Calibri" w:cs="Calibri"/>
            </w:rPr>
            <w:t> </w:t>
          </w:r>
        </w:p>
        <w:p w14:paraId="18BB092C" w14:textId="6F5F2831" w:rsidR="00F461FE" w:rsidRDefault="00F461FE" w:rsidP="00F461FE">
          <w:pPr>
            <w:pStyle w:val="BodyText"/>
          </w:pPr>
          <w:r>
            <w:t>Per the enacting legislation, three criteria influenced the prioritization of applicants in the lottery:</w:t>
          </w:r>
        </w:p>
        <w:p w14:paraId="5A5B9EFF" w14:textId="77F09229" w:rsidR="00F461FE" w:rsidRDefault="00F461FE" w:rsidP="00F461FE">
          <w:pPr>
            <w:pStyle w:val="BodyText"/>
          </w:pPr>
          <w:r w:rsidRPr="00F461FE">
            <w:rPr>
              <w:rStyle w:val="Heading4Char"/>
            </w:rPr>
            <w:t>Targeted groups:</w:t>
          </w:r>
          <w:r>
            <w:t xml:space="preserve"> A minimum number of </w:t>
          </w:r>
          <w:r w:rsidR="001A132F">
            <w:t>dollars</w:t>
          </w:r>
          <w:r>
            <w:t xml:space="preserve"> will be issued to business in the following targeted groups, regardless of geographic region:</w:t>
          </w:r>
        </w:p>
        <w:p w14:paraId="07EF7774" w14:textId="51103D8D" w:rsidR="00F461FE" w:rsidRDefault="00F461FE" w:rsidP="00F461FE">
          <w:pPr>
            <w:pStyle w:val="BodyText"/>
            <w:numPr>
              <w:ilvl w:val="0"/>
              <w:numId w:val="33"/>
            </w:numPr>
          </w:pPr>
          <w:r>
            <w:t xml:space="preserve">Veteran-owned: </w:t>
          </w:r>
          <w:r w:rsidR="001A132F">
            <w:t>$2,500,000</w:t>
          </w:r>
        </w:p>
        <w:p w14:paraId="08C65651" w14:textId="30A42804" w:rsidR="00F461FE" w:rsidRDefault="00F461FE" w:rsidP="00F461FE">
          <w:pPr>
            <w:pStyle w:val="BodyText"/>
            <w:numPr>
              <w:ilvl w:val="0"/>
              <w:numId w:val="33"/>
            </w:numPr>
          </w:pPr>
          <w:r>
            <w:t xml:space="preserve">Woman-owned: </w:t>
          </w:r>
          <w:r w:rsidR="001A132F">
            <w:t>$2,500,000</w:t>
          </w:r>
        </w:p>
        <w:p w14:paraId="3BEA053E" w14:textId="66B8711B" w:rsidR="00F461FE" w:rsidRDefault="00F461FE" w:rsidP="00F461FE">
          <w:pPr>
            <w:pStyle w:val="BodyText"/>
            <w:numPr>
              <w:ilvl w:val="0"/>
              <w:numId w:val="33"/>
            </w:numPr>
          </w:pPr>
          <w:r>
            <w:t xml:space="preserve">Minority-owned: </w:t>
          </w:r>
          <w:r w:rsidR="001A132F">
            <w:t>$10,000,000</w:t>
          </w:r>
        </w:p>
        <w:p w14:paraId="1BD7EE9F" w14:textId="529E3127" w:rsidR="00F461FE" w:rsidRDefault="00F461FE" w:rsidP="00F461FE">
          <w:pPr>
            <w:pStyle w:val="BodyText"/>
            <w:numPr>
              <w:ilvl w:val="0"/>
              <w:numId w:val="33"/>
            </w:numPr>
          </w:pPr>
          <w:r>
            <w:t xml:space="preserve">Microbusinesses (under 6 FTE): </w:t>
          </w:r>
          <w:r w:rsidR="001A132F">
            <w:t>$18,000,000</w:t>
          </w:r>
        </w:p>
        <w:p w14:paraId="45EA0E19" w14:textId="35FC4423" w:rsidR="00F461FE" w:rsidRDefault="00F461FE" w:rsidP="00F461FE">
          <w:pPr>
            <w:pStyle w:val="BodyText"/>
          </w:pPr>
          <w:r w:rsidRPr="00F461FE">
            <w:rPr>
              <w:rStyle w:val="Heading4Char"/>
            </w:rPr>
            <w:t>Geography:</w:t>
          </w:r>
          <w:r>
            <w:t xml:space="preserve"> Total funding for the </w:t>
          </w:r>
          <w:r w:rsidR="00F21BC5">
            <w:t>Main Street COVID-19 Relief Grant</w:t>
          </w:r>
          <w:r>
            <w:t xml:space="preserve"> program and the related (but separately administered) Cultural Mall program must be split evenly between Greater Minnesota and the 7-county Twin Cities metro area. Because </w:t>
          </w:r>
          <w:proofErr w:type="gramStart"/>
          <w:r>
            <w:t>the majority of</w:t>
          </w:r>
          <w:proofErr w:type="gramEnd"/>
          <w:r>
            <w:t xml:space="preserve"> funding set aside for the Cultural Mall program went to metro-based facilities, more relief grants were awarded to businesses based in Greater Minnesota than to businesses in the Twin Cities</w:t>
          </w:r>
          <w:r w:rsidR="001A132F">
            <w:t>.</w:t>
          </w:r>
        </w:p>
        <w:p w14:paraId="29CEB04F" w14:textId="794E8603" w:rsidR="000503B7" w:rsidRDefault="000503B7" w:rsidP="00F461FE">
          <w:pPr>
            <w:pStyle w:val="BodyText"/>
          </w:pPr>
        </w:p>
        <w:p w14:paraId="54780D96" w14:textId="7F410CEE" w:rsidR="000503B7" w:rsidRDefault="000503B7" w:rsidP="000503B7">
          <w:pPr>
            <w:pStyle w:val="Heading4"/>
          </w:pPr>
          <w:r>
            <w:t>Non-</w:t>
          </w:r>
          <w:proofErr w:type="spellStart"/>
          <w:r>
            <w:t>participipation</w:t>
          </w:r>
          <w:proofErr w:type="spellEnd"/>
          <w:r>
            <w:t xml:space="preserve"> in previous relief grant programs: </w:t>
          </w:r>
        </w:p>
        <w:p w14:paraId="71529916" w14:textId="14FE4DE1" w:rsidR="000503B7" w:rsidRDefault="000503B7" w:rsidP="000503B7">
          <w:pPr>
            <w:pStyle w:val="BodyText"/>
          </w:pPr>
          <w:r>
            <w:t xml:space="preserve">In making awards, priority shall be given to businesses that did not receive previous assistance from the state </w:t>
          </w:r>
          <w:r w:rsidRPr="000503B7">
            <w:t xml:space="preserve">under from the following programs: </w:t>
          </w:r>
        </w:p>
        <w:p w14:paraId="08BA8DDD" w14:textId="77777777" w:rsidR="000503B7" w:rsidRDefault="000503B7" w:rsidP="000503B7">
          <w:pPr>
            <w:pStyle w:val="BodyText"/>
            <w:numPr>
              <w:ilvl w:val="0"/>
              <w:numId w:val="42"/>
            </w:numPr>
          </w:pPr>
          <w:r>
            <w:lastRenderedPageBreak/>
            <w:t xml:space="preserve">Small Business Emergency Loans (SBEL) </w:t>
          </w:r>
        </w:p>
        <w:p w14:paraId="77E10AC2" w14:textId="77777777" w:rsidR="000503B7" w:rsidRDefault="000503B7" w:rsidP="000503B7">
          <w:pPr>
            <w:pStyle w:val="BodyText"/>
            <w:numPr>
              <w:ilvl w:val="0"/>
              <w:numId w:val="42"/>
            </w:numPr>
          </w:pPr>
          <w:r>
            <w:t xml:space="preserve">Small Business Relief Grants (SBRG) </w:t>
          </w:r>
        </w:p>
        <w:p w14:paraId="0F66AC84" w14:textId="77777777" w:rsidR="000503B7" w:rsidRDefault="000503B7" w:rsidP="000503B7">
          <w:pPr>
            <w:pStyle w:val="BodyText"/>
            <w:numPr>
              <w:ilvl w:val="0"/>
              <w:numId w:val="42"/>
            </w:numPr>
          </w:pPr>
          <w:r>
            <w:t xml:space="preserve">Movie Theater and Convention Center Grants (MTCC) </w:t>
          </w:r>
        </w:p>
        <w:p w14:paraId="7AFE7AEA" w14:textId="70F4F720" w:rsidR="000503B7" w:rsidRPr="000503B7" w:rsidRDefault="000503B7" w:rsidP="000503B7">
          <w:pPr>
            <w:pStyle w:val="BodyText"/>
            <w:numPr>
              <w:ilvl w:val="0"/>
              <w:numId w:val="42"/>
            </w:numPr>
          </w:pPr>
          <w:r>
            <w:t xml:space="preserve">County Relief Grants  </w:t>
          </w:r>
        </w:p>
        <w:p w14:paraId="07E87C2C" w14:textId="77777777" w:rsidR="00F461FE" w:rsidRDefault="00F461FE" w:rsidP="00FE7083">
          <w:pPr>
            <w:pStyle w:val="Heading4"/>
          </w:pPr>
          <w:r>
            <w:t>Lottery Process</w:t>
          </w:r>
        </w:p>
        <w:p w14:paraId="2ABCE286" w14:textId="53EFF6A7" w:rsidR="00F461FE" w:rsidRDefault="00F461FE" w:rsidP="00F461FE">
          <w:pPr>
            <w:pStyle w:val="BodyText"/>
          </w:pPr>
          <w:r>
            <w:t xml:space="preserve">The lottery process consisted of five rounds of randomized award selections prioritized by the targeted categories and by whether the applicants </w:t>
          </w:r>
          <w:r w:rsidR="000503B7">
            <w:t>participated in previous relief programs.</w:t>
          </w:r>
        </w:p>
        <w:p w14:paraId="775C35F4" w14:textId="2955508F" w:rsidR="00F461FE" w:rsidRDefault="00F461FE" w:rsidP="00F461FE">
          <w:pPr>
            <w:pStyle w:val="BodyText"/>
          </w:pPr>
          <w:r>
            <w:t>Rounds 1-4 each focused on one of the targeted business groups and were conducted in a pre-determined order based on the total number of Minnesota businesses in those targeted groups (see Table 1). This allowed the lottery to proceed from hardest-to-fill to easiest-to-fill target groups and gave businesses in harder-to-fill pools the fairest chance of winning an award. After each round, winners were removed from the pool and non-winners advanced either to the next selection round for which they were eligible or to the Round 5 general pool.</w:t>
          </w:r>
        </w:p>
        <w:p w14:paraId="7F9AE791" w14:textId="4D93828F" w:rsidR="00D1692C" w:rsidRPr="00D1692C" w:rsidRDefault="00D1692C" w:rsidP="00D1692C">
          <w:pPr>
            <w:pStyle w:val="BodyText"/>
            <w:jc w:val="center"/>
            <w:rPr>
              <w:b/>
              <w:bCs/>
            </w:rPr>
          </w:pPr>
          <w:r w:rsidRPr="00D1692C">
            <w:rPr>
              <w:b/>
              <w:bCs/>
            </w:rPr>
            <w:t xml:space="preserve">Figure 1 – Minimum Award </w:t>
          </w:r>
          <w:r w:rsidR="00264668" w:rsidRPr="00D1692C">
            <w:rPr>
              <w:b/>
              <w:bCs/>
            </w:rPr>
            <w:t>Categories</w:t>
          </w:r>
        </w:p>
        <w:tbl>
          <w:tblPr>
            <w:tblStyle w:val="TableGrid1"/>
            <w:tblW w:w="0" w:type="auto"/>
            <w:tblLook w:val="04A0" w:firstRow="1" w:lastRow="0" w:firstColumn="1" w:lastColumn="0" w:noHBand="0" w:noVBand="1"/>
          </w:tblPr>
          <w:tblGrid>
            <w:gridCol w:w="813"/>
            <w:gridCol w:w="1536"/>
            <w:gridCol w:w="2596"/>
            <w:gridCol w:w="4886"/>
          </w:tblGrid>
          <w:tr w:rsidR="00F461FE" w:rsidRPr="00F461FE" w14:paraId="1BF2DDD9" w14:textId="77777777" w:rsidTr="00F461FE">
            <w:trPr>
              <w:cnfStyle w:val="100000000000" w:firstRow="1" w:lastRow="0" w:firstColumn="0" w:lastColumn="0" w:oddVBand="0" w:evenVBand="0" w:oddHBand="0" w:evenHBand="0" w:firstRowFirstColumn="0" w:firstRowLastColumn="0" w:lastRowFirstColumn="0" w:lastRowLastColumn="0"/>
            </w:trPr>
            <w:tc>
              <w:tcPr>
                <w:tcW w:w="0" w:type="auto"/>
                <w:hideMark/>
              </w:tcPr>
              <w:p w14:paraId="2B10FF18" w14:textId="0A3638C5" w:rsidR="00F461FE" w:rsidRPr="00F461FE" w:rsidRDefault="00F461FE" w:rsidP="00F461FE">
                <w:pPr>
                  <w:spacing w:before="0" w:after="300"/>
                  <w:rPr>
                    <w:rFonts w:asciiTheme="minorHAnsi" w:hAnsiTheme="minorHAnsi" w:cstheme="minorHAnsi"/>
                    <w:bCs/>
                    <w:color w:val="333333"/>
                    <w:lang w:bidi="ar-SA"/>
                  </w:rPr>
                </w:pPr>
                <w:r>
                  <w:rPr>
                    <w:rFonts w:asciiTheme="minorHAnsi" w:hAnsiTheme="minorHAnsi" w:cstheme="minorHAnsi"/>
                    <w:bCs/>
                    <w:color w:val="333333"/>
                    <w:lang w:bidi="ar-SA"/>
                  </w:rPr>
                  <w:t>R</w:t>
                </w:r>
                <w:r w:rsidRPr="00F461FE">
                  <w:rPr>
                    <w:rFonts w:asciiTheme="minorHAnsi" w:hAnsiTheme="minorHAnsi" w:cstheme="minorHAnsi"/>
                    <w:bCs/>
                    <w:color w:val="333333"/>
                    <w:lang w:bidi="ar-SA"/>
                  </w:rPr>
                  <w:t>ound</w:t>
                </w:r>
              </w:p>
            </w:tc>
            <w:tc>
              <w:tcPr>
                <w:tcW w:w="0" w:type="auto"/>
                <w:hideMark/>
              </w:tcPr>
              <w:p w14:paraId="461714F5" w14:textId="77777777" w:rsidR="00F461FE" w:rsidRPr="00F461FE" w:rsidRDefault="00F461FE" w:rsidP="00F461FE">
                <w:pPr>
                  <w:spacing w:before="0" w:after="300"/>
                  <w:rPr>
                    <w:rFonts w:asciiTheme="minorHAnsi" w:hAnsiTheme="minorHAnsi" w:cstheme="minorHAnsi"/>
                    <w:bCs/>
                    <w:color w:val="333333"/>
                    <w:lang w:bidi="ar-SA"/>
                  </w:rPr>
                </w:pPr>
                <w:r w:rsidRPr="00F461FE">
                  <w:rPr>
                    <w:rFonts w:asciiTheme="minorHAnsi" w:hAnsiTheme="minorHAnsi" w:cstheme="minorHAnsi"/>
                    <w:bCs/>
                    <w:color w:val="333333"/>
                    <w:lang w:bidi="ar-SA"/>
                  </w:rPr>
                  <w:t>Target Category</w:t>
                </w:r>
              </w:p>
            </w:tc>
            <w:tc>
              <w:tcPr>
                <w:tcW w:w="2596" w:type="dxa"/>
                <w:hideMark/>
              </w:tcPr>
              <w:p w14:paraId="7E8BE1A7" w14:textId="04B0059D" w:rsidR="00F461FE" w:rsidRPr="00F461FE" w:rsidRDefault="00F461FE" w:rsidP="00F461FE">
                <w:pPr>
                  <w:spacing w:before="0" w:after="300"/>
                  <w:rPr>
                    <w:rFonts w:asciiTheme="minorHAnsi" w:hAnsiTheme="minorHAnsi" w:cstheme="minorHAnsi"/>
                    <w:bCs/>
                    <w:color w:val="333333"/>
                    <w:lang w:bidi="ar-SA"/>
                  </w:rPr>
                </w:pPr>
                <w:r w:rsidRPr="00F461FE">
                  <w:rPr>
                    <w:rFonts w:asciiTheme="minorHAnsi" w:hAnsiTheme="minorHAnsi" w:cstheme="minorHAnsi"/>
                    <w:bCs/>
                    <w:color w:val="333333"/>
                    <w:lang w:bidi="ar-SA"/>
                  </w:rPr>
                  <w:t>Minimum Award</w:t>
                </w:r>
                <w:r w:rsidR="001A132F">
                  <w:rPr>
                    <w:rFonts w:asciiTheme="minorHAnsi" w:hAnsiTheme="minorHAnsi" w:cstheme="minorHAnsi"/>
                    <w:bCs/>
                    <w:color w:val="333333"/>
                    <w:lang w:bidi="ar-SA"/>
                  </w:rPr>
                  <w:t xml:space="preserve"> Amounts</w:t>
                </w:r>
              </w:p>
            </w:tc>
            <w:tc>
              <w:tcPr>
                <w:tcW w:w="4886" w:type="dxa"/>
                <w:hideMark/>
              </w:tcPr>
              <w:p w14:paraId="575CBE06" w14:textId="77777777" w:rsidR="00F461FE" w:rsidRPr="00F461FE" w:rsidRDefault="00F461FE" w:rsidP="00F461FE">
                <w:pPr>
                  <w:spacing w:before="0" w:after="300"/>
                  <w:rPr>
                    <w:rFonts w:asciiTheme="minorHAnsi" w:hAnsiTheme="minorHAnsi" w:cstheme="minorHAnsi"/>
                    <w:bCs/>
                    <w:color w:val="333333"/>
                    <w:lang w:bidi="ar-SA"/>
                  </w:rPr>
                </w:pPr>
                <w:r w:rsidRPr="00F461FE">
                  <w:rPr>
                    <w:rFonts w:asciiTheme="minorHAnsi" w:hAnsiTheme="minorHAnsi" w:cstheme="minorHAnsi"/>
                    <w:bCs/>
                    <w:color w:val="333333"/>
                    <w:lang w:bidi="ar-SA"/>
                  </w:rPr>
                  <w:t>Business Population</w:t>
                </w:r>
              </w:p>
            </w:tc>
          </w:tr>
          <w:tr w:rsidR="00F461FE" w:rsidRPr="00F461FE" w14:paraId="51F60FE2" w14:textId="77777777" w:rsidTr="00F461FE">
            <w:trPr>
              <w:cnfStyle w:val="000000100000" w:firstRow="0" w:lastRow="0" w:firstColumn="0" w:lastColumn="0" w:oddVBand="0" w:evenVBand="0" w:oddHBand="1" w:evenHBand="0" w:firstRowFirstColumn="0" w:firstRowLastColumn="0" w:lastRowFirstColumn="0" w:lastRowLastColumn="0"/>
            </w:trPr>
            <w:tc>
              <w:tcPr>
                <w:tcW w:w="0" w:type="auto"/>
                <w:hideMark/>
              </w:tcPr>
              <w:p w14:paraId="4F35965D"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1</w:t>
                </w:r>
              </w:p>
            </w:tc>
            <w:tc>
              <w:tcPr>
                <w:tcW w:w="0" w:type="auto"/>
                <w:hideMark/>
              </w:tcPr>
              <w:p w14:paraId="55D64108"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Veteran-Owned</w:t>
                </w:r>
              </w:p>
            </w:tc>
            <w:tc>
              <w:tcPr>
                <w:tcW w:w="2596" w:type="dxa"/>
                <w:hideMark/>
              </w:tcPr>
              <w:p w14:paraId="1789A22E" w14:textId="5E0B27E8" w:rsidR="00F461FE" w:rsidRPr="00F461FE" w:rsidRDefault="001A132F" w:rsidP="00F461FE">
                <w:pPr>
                  <w:spacing w:before="0" w:after="300"/>
                  <w:rPr>
                    <w:rFonts w:asciiTheme="minorHAnsi" w:hAnsiTheme="minorHAnsi" w:cstheme="minorHAnsi"/>
                    <w:color w:val="333333"/>
                    <w:lang w:bidi="ar-SA"/>
                  </w:rPr>
                </w:pPr>
                <w:r>
                  <w:rPr>
                    <w:rFonts w:asciiTheme="minorHAnsi" w:hAnsiTheme="minorHAnsi" w:cstheme="minorHAnsi"/>
                    <w:color w:val="333333"/>
                    <w:lang w:bidi="ar-SA"/>
                  </w:rPr>
                  <w:t>$2,500,000</w:t>
                </w:r>
              </w:p>
            </w:tc>
            <w:tc>
              <w:tcPr>
                <w:tcW w:w="4886" w:type="dxa"/>
                <w:hideMark/>
              </w:tcPr>
              <w:p w14:paraId="161F8320"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45,582</w:t>
                </w:r>
              </w:p>
            </w:tc>
          </w:tr>
          <w:tr w:rsidR="00F461FE" w:rsidRPr="00F461FE" w14:paraId="1CEDD1D8" w14:textId="77777777" w:rsidTr="00F461FE">
            <w:trPr>
              <w:cnfStyle w:val="000000010000" w:firstRow="0" w:lastRow="0" w:firstColumn="0" w:lastColumn="0" w:oddVBand="0" w:evenVBand="0" w:oddHBand="0" w:evenHBand="1" w:firstRowFirstColumn="0" w:firstRowLastColumn="0" w:lastRowFirstColumn="0" w:lastRowLastColumn="0"/>
            </w:trPr>
            <w:tc>
              <w:tcPr>
                <w:tcW w:w="0" w:type="auto"/>
                <w:hideMark/>
              </w:tcPr>
              <w:p w14:paraId="67CC1FD9"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2</w:t>
                </w:r>
              </w:p>
            </w:tc>
            <w:tc>
              <w:tcPr>
                <w:tcW w:w="0" w:type="auto"/>
                <w:hideMark/>
              </w:tcPr>
              <w:p w14:paraId="1CEEC45E"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Minority-Owned</w:t>
                </w:r>
              </w:p>
            </w:tc>
            <w:tc>
              <w:tcPr>
                <w:tcW w:w="2596" w:type="dxa"/>
                <w:hideMark/>
              </w:tcPr>
              <w:p w14:paraId="0EEFF948" w14:textId="2C32D9DF" w:rsidR="00F461FE" w:rsidRPr="00F461FE" w:rsidRDefault="001A132F" w:rsidP="00F461FE">
                <w:pPr>
                  <w:spacing w:before="0" w:after="300"/>
                  <w:rPr>
                    <w:rFonts w:asciiTheme="minorHAnsi" w:hAnsiTheme="minorHAnsi" w:cstheme="minorHAnsi"/>
                    <w:color w:val="333333"/>
                    <w:lang w:bidi="ar-SA"/>
                  </w:rPr>
                </w:pPr>
                <w:r>
                  <w:rPr>
                    <w:rFonts w:asciiTheme="minorHAnsi" w:hAnsiTheme="minorHAnsi" w:cstheme="minorHAnsi"/>
                    <w:color w:val="333333"/>
                    <w:lang w:bidi="ar-SA"/>
                  </w:rPr>
                  <w:t>$10,000,000</w:t>
                </w:r>
              </w:p>
            </w:tc>
            <w:tc>
              <w:tcPr>
                <w:tcW w:w="4886" w:type="dxa"/>
                <w:hideMark/>
              </w:tcPr>
              <w:p w14:paraId="273AFC4D"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47,565</w:t>
                </w:r>
              </w:p>
            </w:tc>
          </w:tr>
          <w:tr w:rsidR="00F461FE" w:rsidRPr="00F461FE" w14:paraId="11572DFE" w14:textId="77777777" w:rsidTr="00F461FE">
            <w:trPr>
              <w:cnfStyle w:val="000000100000" w:firstRow="0" w:lastRow="0" w:firstColumn="0" w:lastColumn="0" w:oddVBand="0" w:evenVBand="0" w:oddHBand="1" w:evenHBand="0" w:firstRowFirstColumn="0" w:firstRowLastColumn="0" w:lastRowFirstColumn="0" w:lastRowLastColumn="0"/>
            </w:trPr>
            <w:tc>
              <w:tcPr>
                <w:tcW w:w="0" w:type="auto"/>
                <w:hideMark/>
              </w:tcPr>
              <w:p w14:paraId="6A9803F6"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3</w:t>
                </w:r>
              </w:p>
            </w:tc>
            <w:tc>
              <w:tcPr>
                <w:tcW w:w="0" w:type="auto"/>
                <w:hideMark/>
              </w:tcPr>
              <w:p w14:paraId="64DCF2EB"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Microbusiness</w:t>
                </w:r>
              </w:p>
            </w:tc>
            <w:tc>
              <w:tcPr>
                <w:tcW w:w="2596" w:type="dxa"/>
                <w:hideMark/>
              </w:tcPr>
              <w:p w14:paraId="0B60198F" w14:textId="3350414A" w:rsidR="00F461FE" w:rsidRPr="00F461FE" w:rsidRDefault="001A132F" w:rsidP="00F461FE">
                <w:pPr>
                  <w:spacing w:before="0" w:after="300"/>
                  <w:rPr>
                    <w:rFonts w:asciiTheme="minorHAnsi" w:hAnsiTheme="minorHAnsi" w:cstheme="minorHAnsi"/>
                    <w:color w:val="333333"/>
                    <w:lang w:bidi="ar-SA"/>
                  </w:rPr>
                </w:pPr>
                <w:r>
                  <w:rPr>
                    <w:rFonts w:asciiTheme="minorHAnsi" w:hAnsiTheme="minorHAnsi" w:cstheme="minorHAnsi"/>
                    <w:color w:val="333333"/>
                    <w:lang w:bidi="ar-SA"/>
                  </w:rPr>
                  <w:t>$18,000,000</w:t>
                </w:r>
              </w:p>
            </w:tc>
            <w:tc>
              <w:tcPr>
                <w:tcW w:w="4886" w:type="dxa"/>
                <w:hideMark/>
              </w:tcPr>
              <w:p w14:paraId="00C143EB"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89,257 businesses employ &lt;10 employees. Among these, almost 71,000 employ &lt;5 employees</w:t>
                </w:r>
              </w:p>
            </w:tc>
          </w:tr>
          <w:tr w:rsidR="00F461FE" w:rsidRPr="00F461FE" w14:paraId="6B40E6DF" w14:textId="77777777" w:rsidTr="00F461FE">
            <w:trPr>
              <w:cnfStyle w:val="000000010000" w:firstRow="0" w:lastRow="0" w:firstColumn="0" w:lastColumn="0" w:oddVBand="0" w:evenVBand="0" w:oddHBand="0" w:evenHBand="1" w:firstRowFirstColumn="0" w:firstRowLastColumn="0" w:lastRowFirstColumn="0" w:lastRowLastColumn="0"/>
            </w:trPr>
            <w:tc>
              <w:tcPr>
                <w:tcW w:w="0" w:type="auto"/>
                <w:hideMark/>
              </w:tcPr>
              <w:p w14:paraId="588C35C6"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4</w:t>
                </w:r>
              </w:p>
            </w:tc>
            <w:tc>
              <w:tcPr>
                <w:tcW w:w="0" w:type="auto"/>
                <w:hideMark/>
              </w:tcPr>
              <w:p w14:paraId="15F7E3BB"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Women-Owned</w:t>
                </w:r>
              </w:p>
            </w:tc>
            <w:tc>
              <w:tcPr>
                <w:tcW w:w="2596" w:type="dxa"/>
                <w:hideMark/>
              </w:tcPr>
              <w:p w14:paraId="61E84337" w14:textId="482AE6AA" w:rsidR="00F461FE" w:rsidRPr="00F461FE" w:rsidRDefault="001A132F" w:rsidP="00F461FE">
                <w:pPr>
                  <w:spacing w:before="0" w:after="300"/>
                  <w:rPr>
                    <w:rFonts w:asciiTheme="minorHAnsi" w:hAnsiTheme="minorHAnsi" w:cstheme="minorHAnsi"/>
                    <w:color w:val="333333"/>
                    <w:lang w:bidi="ar-SA"/>
                  </w:rPr>
                </w:pPr>
                <w:r>
                  <w:rPr>
                    <w:rFonts w:asciiTheme="minorHAnsi" w:hAnsiTheme="minorHAnsi" w:cstheme="minorHAnsi"/>
                    <w:color w:val="333333"/>
                    <w:lang w:bidi="ar-SA"/>
                  </w:rPr>
                  <w:t>$2,500,000</w:t>
                </w:r>
              </w:p>
            </w:tc>
            <w:tc>
              <w:tcPr>
                <w:tcW w:w="4886" w:type="dxa"/>
                <w:hideMark/>
              </w:tcPr>
              <w:p w14:paraId="26677D5C" w14:textId="77777777" w:rsidR="00F461FE" w:rsidRPr="00F461FE" w:rsidRDefault="00F461FE" w:rsidP="00F461FE">
                <w:pPr>
                  <w:spacing w:before="0" w:after="300"/>
                  <w:rPr>
                    <w:rFonts w:asciiTheme="minorHAnsi" w:hAnsiTheme="minorHAnsi" w:cstheme="minorHAnsi"/>
                    <w:color w:val="333333"/>
                    <w:lang w:bidi="ar-SA"/>
                  </w:rPr>
                </w:pPr>
                <w:r w:rsidRPr="00F461FE">
                  <w:rPr>
                    <w:rFonts w:asciiTheme="minorHAnsi" w:hAnsiTheme="minorHAnsi" w:cstheme="minorHAnsi"/>
                    <w:color w:val="333333"/>
                    <w:lang w:bidi="ar-SA"/>
                  </w:rPr>
                  <w:t>157,821</w:t>
                </w:r>
              </w:p>
            </w:tc>
          </w:tr>
        </w:tbl>
        <w:p w14:paraId="09E3688E" w14:textId="264C7FED" w:rsidR="00F461FE" w:rsidRDefault="00F461FE" w:rsidP="00F461FE">
          <w:pPr>
            <w:pStyle w:val="BodyText"/>
          </w:pPr>
          <w:r>
            <w:t>Sources: 2012 Survey of Business Owners and 2017 County Business Patterns</w:t>
          </w:r>
        </w:p>
        <w:p w14:paraId="417C88CB" w14:textId="5FD46AE8" w:rsidR="00F461FE" w:rsidRDefault="00F461FE" w:rsidP="00F461FE">
          <w:pPr>
            <w:pStyle w:val="BodyText"/>
          </w:pPr>
          <w:r>
            <w:t>After Rounds 1-4, the geographic distribution of awards was assessed and used to determine the number of remaining awards in Round 5 that needed to be awarded to businesses based in either Greater MN or the Twin Cities Metro in order to maintain the required 50/50 funding split.</w:t>
          </w:r>
        </w:p>
        <w:p w14:paraId="3ACF1394" w14:textId="73162EE1" w:rsidR="00F461FE" w:rsidRDefault="00F461FE" w:rsidP="00F461FE">
          <w:pPr>
            <w:pStyle w:val="BodyText"/>
          </w:pPr>
          <w:r>
            <w:t xml:space="preserve">Round 5 was a general pool of all remaining applications that either did not win an award in Rounds 1-4 or that did not qualify for those targeted rounds.   </w:t>
          </w:r>
        </w:p>
        <w:p w14:paraId="352ED6C7" w14:textId="77777777" w:rsidR="00F461FE" w:rsidRDefault="00F461FE" w:rsidP="00FE7083">
          <w:pPr>
            <w:pStyle w:val="Heading4"/>
          </w:pPr>
          <w:r>
            <w:t>Waiting List Procedures</w:t>
          </w:r>
        </w:p>
        <w:p w14:paraId="1A2FF2CE" w14:textId="30DFE21F" w:rsidR="00F461FE" w:rsidRPr="00090C5A" w:rsidRDefault="00F461FE" w:rsidP="00090C5A">
          <w:pPr>
            <w:pStyle w:val="BodyText"/>
          </w:pPr>
          <w:r>
            <w:t xml:space="preserve">Each winner from the lottery is paired with a program administrator who will verify the awardee's eligibility and administer the grant funds. Should an awardee be found to be ineligible their award will instead be given </w:t>
          </w:r>
          <w:r>
            <w:lastRenderedPageBreak/>
            <w:t>to the next eligible applicant that would have been selected in the same round (among remaining non-selected applicants), but with consideration for maintaining the funding balance by region.</w:t>
          </w:r>
        </w:p>
        <w:p w14:paraId="1DB5161C" w14:textId="5D3B3716" w:rsidR="0072799D" w:rsidRPr="00E41BD2" w:rsidRDefault="009D1B8A" w:rsidP="00FE7083">
          <w:pPr>
            <w:pStyle w:val="Heading3"/>
          </w:pPr>
          <w:bookmarkStart w:id="12" w:name="_Toc128997610"/>
          <w:r>
            <w:t>Program</w:t>
          </w:r>
          <w:r w:rsidR="00664B16">
            <w:t xml:space="preserve"> </w:t>
          </w:r>
          <w:r w:rsidR="0072799D">
            <w:t>Activity</w:t>
          </w:r>
          <w:bookmarkEnd w:id="12"/>
          <w:r w:rsidR="0072799D">
            <w:t xml:space="preserve"> </w:t>
          </w:r>
          <w:bookmarkEnd w:id="8"/>
        </w:p>
        <w:bookmarkEnd w:id="9"/>
        <w:p w14:paraId="6D1D720C" w14:textId="2E14DFB4" w:rsidR="003B4B6C" w:rsidRDefault="002A0809" w:rsidP="00486C80">
          <w:pPr>
            <w:pStyle w:val="BodyText"/>
            <w:rPr>
              <w:lang w:val="en"/>
            </w:rPr>
          </w:pPr>
          <w:r>
            <w:rPr>
              <w:lang w:val="en"/>
            </w:rPr>
            <w:t xml:space="preserve">Since launching, the </w:t>
          </w:r>
          <w:r w:rsidR="006E6D36">
            <w:rPr>
              <w:lang w:val="en"/>
            </w:rPr>
            <w:t>program</w:t>
          </w:r>
          <w:r>
            <w:rPr>
              <w:lang w:val="en"/>
            </w:rPr>
            <w:t xml:space="preserve"> has</w:t>
          </w:r>
          <w:r w:rsidR="00803867">
            <w:rPr>
              <w:lang w:val="en"/>
            </w:rPr>
            <w:t xml:space="preserve"> received over </w:t>
          </w:r>
          <w:r w:rsidR="00202F6C">
            <w:rPr>
              <w:lang w:val="en"/>
            </w:rPr>
            <w:t>18</w:t>
          </w:r>
          <w:r w:rsidR="00313874">
            <w:rPr>
              <w:lang w:val="en"/>
            </w:rPr>
            <w:t>,</w:t>
          </w:r>
          <w:r w:rsidR="00202F6C">
            <w:rPr>
              <w:lang w:val="en"/>
            </w:rPr>
            <w:t>578</w:t>
          </w:r>
          <w:r w:rsidR="00803867">
            <w:rPr>
              <w:lang w:val="en"/>
            </w:rPr>
            <w:t xml:space="preserve"> applications, randomly </w:t>
          </w:r>
          <w:proofErr w:type="gramStart"/>
          <w:r w:rsidR="00803867">
            <w:rPr>
              <w:lang w:val="en"/>
            </w:rPr>
            <w:t>selected</w:t>
          </w:r>
          <w:proofErr w:type="gramEnd"/>
          <w:r w:rsidR="00803867">
            <w:rPr>
              <w:lang w:val="en"/>
            </w:rPr>
            <w:t xml:space="preserve"> and</w:t>
          </w:r>
          <w:r>
            <w:rPr>
              <w:lang w:val="en"/>
            </w:rPr>
            <w:t xml:space="preserve"> </w:t>
          </w:r>
          <w:r w:rsidR="001E33C1">
            <w:rPr>
              <w:lang w:val="en"/>
            </w:rPr>
            <w:t xml:space="preserve">processed </w:t>
          </w:r>
          <w:r w:rsidR="00202F6C">
            <w:rPr>
              <w:lang w:val="en"/>
            </w:rPr>
            <w:t>8,984</w:t>
          </w:r>
          <w:r w:rsidR="001E33C1">
            <w:rPr>
              <w:lang w:val="en"/>
            </w:rPr>
            <w:t xml:space="preserve"> applications</w:t>
          </w:r>
          <w:r w:rsidR="00803867">
            <w:rPr>
              <w:lang w:val="en"/>
            </w:rPr>
            <w:t>,</w:t>
          </w:r>
          <w:r w:rsidR="001E33C1">
            <w:rPr>
              <w:lang w:val="en"/>
            </w:rPr>
            <w:t xml:space="preserve"> and approved </w:t>
          </w:r>
          <w:r w:rsidR="00202F6C">
            <w:rPr>
              <w:lang w:val="en"/>
            </w:rPr>
            <w:t>5,715</w:t>
          </w:r>
          <w:r w:rsidR="00803867">
            <w:rPr>
              <w:lang w:val="en"/>
            </w:rPr>
            <w:t xml:space="preserve"> applications for awards for a total value of $</w:t>
          </w:r>
          <w:r w:rsidR="00202F6C">
            <w:rPr>
              <w:lang w:val="en"/>
            </w:rPr>
            <w:t>61,755,000</w:t>
          </w:r>
          <w:r w:rsidR="00803867">
            <w:rPr>
              <w:lang w:val="en"/>
            </w:rPr>
            <w:t xml:space="preserve"> in relief grants. A total </w:t>
          </w:r>
          <w:r w:rsidR="00313874">
            <w:rPr>
              <w:lang w:val="en"/>
            </w:rPr>
            <w:t xml:space="preserve">of </w:t>
          </w:r>
          <w:r w:rsidR="00202F6C">
            <w:rPr>
              <w:lang w:val="en"/>
            </w:rPr>
            <w:t>3,</w:t>
          </w:r>
          <w:r w:rsidR="001A132F">
            <w:rPr>
              <w:lang w:val="en"/>
            </w:rPr>
            <w:t>272</w:t>
          </w:r>
          <w:r w:rsidR="00803867">
            <w:rPr>
              <w:lang w:val="en"/>
            </w:rPr>
            <w:t xml:space="preserve"> application have been found to be ineligible</w:t>
          </w:r>
          <w:r w:rsidR="00FE7083">
            <w:rPr>
              <w:lang w:val="en"/>
            </w:rPr>
            <w:t>.</w:t>
          </w:r>
        </w:p>
        <w:p w14:paraId="5DA8271B" w14:textId="06C09856" w:rsidR="00803867" w:rsidRPr="00803867" w:rsidRDefault="00803867" w:rsidP="00803867">
          <w:pPr>
            <w:pStyle w:val="BodyText"/>
            <w:jc w:val="center"/>
            <w:rPr>
              <w:b/>
              <w:bCs/>
              <w:lang w:val="en"/>
            </w:rPr>
          </w:pPr>
          <w:r w:rsidRPr="00803867">
            <w:rPr>
              <w:b/>
              <w:bCs/>
              <w:lang w:val="en"/>
            </w:rPr>
            <w:t xml:space="preserve">Figure </w:t>
          </w:r>
          <w:r w:rsidR="00026D2C">
            <w:rPr>
              <w:b/>
              <w:bCs/>
              <w:lang w:val="en"/>
            </w:rPr>
            <w:t>2</w:t>
          </w:r>
          <w:r w:rsidRPr="00803867">
            <w:rPr>
              <w:b/>
              <w:bCs/>
              <w:lang w:val="en"/>
            </w:rPr>
            <w:t xml:space="preserve"> –Selections, Approvals, Ineligibles by Geography</w:t>
          </w:r>
        </w:p>
        <w:tbl>
          <w:tblPr>
            <w:tblStyle w:val="TableGrid1"/>
            <w:tblW w:w="0" w:type="auto"/>
            <w:tblLook w:val="04A0" w:firstRow="1" w:lastRow="0" w:firstColumn="1" w:lastColumn="0" w:noHBand="0" w:noVBand="1"/>
          </w:tblPr>
          <w:tblGrid>
            <w:gridCol w:w="1578"/>
            <w:gridCol w:w="2586"/>
            <w:gridCol w:w="2586"/>
            <w:gridCol w:w="2668"/>
          </w:tblGrid>
          <w:tr w:rsidR="00803867" w:rsidRPr="00803867" w14:paraId="4B7149E1" w14:textId="77777777" w:rsidTr="00803867">
            <w:trPr>
              <w:cnfStyle w:val="100000000000" w:firstRow="1" w:lastRow="0" w:firstColumn="0" w:lastColumn="0" w:oddVBand="0" w:evenVBand="0" w:oddHBand="0" w:evenHBand="0" w:firstRowFirstColumn="0" w:firstRowLastColumn="0" w:lastRowFirstColumn="0" w:lastRowLastColumn="0"/>
              <w:trHeight w:val="653"/>
            </w:trPr>
            <w:tc>
              <w:tcPr>
                <w:tcW w:w="1578" w:type="dxa"/>
                <w:hideMark/>
              </w:tcPr>
              <w:p w14:paraId="266F5B47" w14:textId="77777777" w:rsidR="00803867" w:rsidRPr="00803867" w:rsidRDefault="00803867" w:rsidP="00803867">
                <w:pPr>
                  <w:spacing w:before="0"/>
                  <w:rPr>
                    <w:rFonts w:eastAsia="Calibri"/>
                    <w:bCs/>
                    <w:lang w:bidi="ar-SA"/>
                  </w:rPr>
                </w:pPr>
                <w:r w:rsidRPr="00803867">
                  <w:rPr>
                    <w:rFonts w:eastAsia="Calibri"/>
                    <w:bCs/>
                    <w:lang w:bidi="ar-SA"/>
                  </w:rPr>
                  <w:t>Region</w:t>
                </w:r>
              </w:p>
            </w:tc>
            <w:tc>
              <w:tcPr>
                <w:tcW w:w="2586" w:type="dxa"/>
                <w:hideMark/>
              </w:tcPr>
              <w:p w14:paraId="190D74A8" w14:textId="50858786" w:rsidR="00803867" w:rsidRPr="00803867" w:rsidRDefault="00803867" w:rsidP="00803867">
                <w:pPr>
                  <w:spacing w:before="0"/>
                  <w:rPr>
                    <w:rFonts w:eastAsia="Calibri"/>
                    <w:bCs/>
                    <w:lang w:bidi="ar-SA"/>
                  </w:rPr>
                </w:pPr>
                <w:r w:rsidRPr="00803867">
                  <w:rPr>
                    <w:rFonts w:eastAsia="Calibri"/>
                    <w:bCs/>
                    <w:lang w:bidi="ar-SA"/>
                  </w:rPr>
                  <w:t xml:space="preserve">Selected </w:t>
                </w:r>
              </w:p>
            </w:tc>
            <w:tc>
              <w:tcPr>
                <w:tcW w:w="2586" w:type="dxa"/>
                <w:hideMark/>
              </w:tcPr>
              <w:p w14:paraId="34411DE9" w14:textId="2DACFE3E" w:rsidR="00803867" w:rsidRPr="00803867" w:rsidRDefault="00803867" w:rsidP="00803867">
                <w:pPr>
                  <w:spacing w:before="0"/>
                  <w:rPr>
                    <w:rFonts w:eastAsia="Calibri"/>
                    <w:bCs/>
                    <w:lang w:bidi="ar-SA"/>
                  </w:rPr>
                </w:pPr>
                <w:r w:rsidRPr="00803867">
                  <w:rPr>
                    <w:rFonts w:eastAsia="Calibri"/>
                    <w:bCs/>
                    <w:lang w:bidi="ar-SA"/>
                  </w:rPr>
                  <w:t xml:space="preserve">Approved </w:t>
                </w:r>
              </w:p>
            </w:tc>
            <w:tc>
              <w:tcPr>
                <w:tcW w:w="2668" w:type="dxa"/>
                <w:hideMark/>
              </w:tcPr>
              <w:p w14:paraId="4125350F" w14:textId="60A24CD7" w:rsidR="00803867" w:rsidRPr="00803867" w:rsidRDefault="00803867" w:rsidP="00803867">
                <w:pPr>
                  <w:spacing w:before="0"/>
                  <w:rPr>
                    <w:rFonts w:eastAsia="Calibri"/>
                    <w:bCs/>
                    <w:lang w:bidi="ar-SA"/>
                  </w:rPr>
                </w:pPr>
                <w:r w:rsidRPr="00803867">
                  <w:rPr>
                    <w:rFonts w:eastAsia="Calibri"/>
                    <w:bCs/>
                    <w:lang w:bidi="ar-SA"/>
                  </w:rPr>
                  <w:t xml:space="preserve">Not eligible </w:t>
                </w:r>
              </w:p>
            </w:tc>
          </w:tr>
          <w:tr w:rsidR="00803867" w:rsidRPr="00803867" w14:paraId="2C6BA701" w14:textId="77777777" w:rsidTr="00803867">
            <w:trPr>
              <w:cnfStyle w:val="000000100000" w:firstRow="0" w:lastRow="0" w:firstColumn="0" w:lastColumn="0" w:oddVBand="0" w:evenVBand="0" w:oddHBand="1" w:evenHBand="0" w:firstRowFirstColumn="0" w:firstRowLastColumn="0" w:lastRowFirstColumn="0" w:lastRowLastColumn="0"/>
              <w:trHeight w:val="621"/>
            </w:trPr>
            <w:tc>
              <w:tcPr>
                <w:tcW w:w="1578" w:type="dxa"/>
                <w:noWrap/>
                <w:hideMark/>
              </w:tcPr>
              <w:p w14:paraId="542C16E0" w14:textId="77777777" w:rsidR="00803867" w:rsidRPr="00803867" w:rsidRDefault="00803867" w:rsidP="00803867">
                <w:pPr>
                  <w:spacing w:before="0"/>
                  <w:rPr>
                    <w:rFonts w:eastAsia="Calibri"/>
                    <w:b/>
                    <w:bCs/>
                    <w:lang w:bidi="ar-SA"/>
                  </w:rPr>
                </w:pPr>
                <w:r w:rsidRPr="00803867">
                  <w:rPr>
                    <w:rFonts w:eastAsia="Calibri"/>
                    <w:b/>
                    <w:bCs/>
                    <w:lang w:bidi="ar-SA"/>
                  </w:rPr>
                  <w:t>Greater MN</w:t>
                </w:r>
              </w:p>
            </w:tc>
            <w:tc>
              <w:tcPr>
                <w:tcW w:w="2586" w:type="dxa"/>
                <w:noWrap/>
                <w:hideMark/>
              </w:tcPr>
              <w:p w14:paraId="3A767CEC" w14:textId="4CBDCBB4" w:rsidR="00803867" w:rsidRPr="00803867" w:rsidRDefault="00202F6C" w:rsidP="00803867">
                <w:pPr>
                  <w:spacing w:before="0"/>
                  <w:jc w:val="center"/>
                  <w:rPr>
                    <w:rFonts w:eastAsia="Calibri"/>
                    <w:lang w:bidi="ar-SA"/>
                  </w:rPr>
                </w:pPr>
                <w:r>
                  <w:rPr>
                    <w:rFonts w:eastAsia="Calibri"/>
                    <w:lang w:bidi="ar-SA"/>
                  </w:rPr>
                  <w:t>4,253</w:t>
                </w:r>
              </w:p>
            </w:tc>
            <w:tc>
              <w:tcPr>
                <w:tcW w:w="2586" w:type="dxa"/>
                <w:noWrap/>
                <w:hideMark/>
              </w:tcPr>
              <w:p w14:paraId="6EA332A3" w14:textId="4A196ED5" w:rsidR="00803867" w:rsidRPr="00803867" w:rsidRDefault="00202F6C" w:rsidP="00803867">
                <w:pPr>
                  <w:spacing w:before="0"/>
                  <w:jc w:val="center"/>
                  <w:rPr>
                    <w:rFonts w:eastAsia="Calibri"/>
                    <w:lang w:bidi="ar-SA"/>
                  </w:rPr>
                </w:pPr>
                <w:r>
                  <w:rPr>
                    <w:rFonts w:eastAsia="Calibri"/>
                    <w:lang w:bidi="ar-SA"/>
                  </w:rPr>
                  <w:t>2,945</w:t>
                </w:r>
              </w:p>
            </w:tc>
            <w:tc>
              <w:tcPr>
                <w:tcW w:w="2668" w:type="dxa"/>
                <w:noWrap/>
                <w:hideMark/>
              </w:tcPr>
              <w:p w14:paraId="05DA8D4E" w14:textId="50E410BD" w:rsidR="00803867" w:rsidRPr="00803867" w:rsidRDefault="001A132F" w:rsidP="00803867">
                <w:pPr>
                  <w:spacing w:before="0"/>
                  <w:jc w:val="center"/>
                  <w:rPr>
                    <w:rFonts w:eastAsia="Calibri"/>
                    <w:lang w:bidi="ar-SA"/>
                  </w:rPr>
                </w:pPr>
                <w:r>
                  <w:rPr>
                    <w:rFonts w:eastAsia="Calibri"/>
                    <w:lang w:bidi="ar-SA"/>
                  </w:rPr>
                  <w:t>1,308</w:t>
                </w:r>
              </w:p>
            </w:tc>
          </w:tr>
          <w:tr w:rsidR="00803867" w:rsidRPr="00803867" w14:paraId="5FD86CD7" w14:textId="77777777" w:rsidTr="00803867">
            <w:trPr>
              <w:cnfStyle w:val="000000010000" w:firstRow="0" w:lastRow="0" w:firstColumn="0" w:lastColumn="0" w:oddVBand="0" w:evenVBand="0" w:oddHBand="0" w:evenHBand="1" w:firstRowFirstColumn="0" w:firstRowLastColumn="0" w:lastRowFirstColumn="0" w:lastRowLastColumn="0"/>
              <w:trHeight w:val="621"/>
            </w:trPr>
            <w:tc>
              <w:tcPr>
                <w:tcW w:w="1578" w:type="dxa"/>
                <w:noWrap/>
                <w:hideMark/>
              </w:tcPr>
              <w:p w14:paraId="38F297A6" w14:textId="77777777" w:rsidR="00803867" w:rsidRPr="00803867" w:rsidRDefault="00803867" w:rsidP="00803867">
                <w:pPr>
                  <w:spacing w:before="0"/>
                  <w:rPr>
                    <w:rFonts w:eastAsia="Calibri"/>
                    <w:b/>
                    <w:bCs/>
                    <w:lang w:bidi="ar-SA"/>
                  </w:rPr>
                </w:pPr>
                <w:r w:rsidRPr="00803867">
                  <w:rPr>
                    <w:rFonts w:eastAsia="Calibri"/>
                    <w:b/>
                    <w:bCs/>
                    <w:lang w:bidi="ar-SA"/>
                  </w:rPr>
                  <w:t>Metro</w:t>
                </w:r>
              </w:p>
            </w:tc>
            <w:tc>
              <w:tcPr>
                <w:tcW w:w="2586" w:type="dxa"/>
                <w:noWrap/>
                <w:hideMark/>
              </w:tcPr>
              <w:p w14:paraId="4DB07D51" w14:textId="283C8891" w:rsidR="00803867" w:rsidRPr="00803867" w:rsidRDefault="00202F6C" w:rsidP="00803867">
                <w:pPr>
                  <w:spacing w:before="0"/>
                  <w:jc w:val="center"/>
                  <w:rPr>
                    <w:rFonts w:eastAsia="Calibri"/>
                    <w:lang w:bidi="ar-SA"/>
                  </w:rPr>
                </w:pPr>
                <w:r>
                  <w:rPr>
                    <w:rFonts w:eastAsia="Calibri"/>
                    <w:lang w:bidi="ar-SA"/>
                  </w:rPr>
                  <w:t>4,734</w:t>
                </w:r>
              </w:p>
            </w:tc>
            <w:tc>
              <w:tcPr>
                <w:tcW w:w="2586" w:type="dxa"/>
                <w:noWrap/>
                <w:hideMark/>
              </w:tcPr>
              <w:p w14:paraId="7A81015E" w14:textId="77777777" w:rsidR="00803867" w:rsidRDefault="00202F6C" w:rsidP="00803867">
                <w:pPr>
                  <w:spacing w:before="0"/>
                  <w:jc w:val="center"/>
                  <w:rPr>
                    <w:rFonts w:eastAsia="Calibri"/>
                    <w:lang w:bidi="ar-SA"/>
                  </w:rPr>
                </w:pPr>
                <w:r>
                  <w:rPr>
                    <w:rFonts w:eastAsia="Calibri"/>
                    <w:lang w:bidi="ar-SA"/>
                  </w:rPr>
                  <w:t>2,770</w:t>
                </w:r>
              </w:p>
              <w:p w14:paraId="06C4673E" w14:textId="15A51E1D" w:rsidR="00202F6C" w:rsidRPr="00803867" w:rsidRDefault="00202F6C" w:rsidP="00803867">
                <w:pPr>
                  <w:spacing w:before="0"/>
                  <w:jc w:val="center"/>
                  <w:rPr>
                    <w:rFonts w:eastAsia="Calibri"/>
                    <w:lang w:bidi="ar-SA"/>
                  </w:rPr>
                </w:pPr>
              </w:p>
            </w:tc>
            <w:tc>
              <w:tcPr>
                <w:tcW w:w="2668" w:type="dxa"/>
                <w:noWrap/>
                <w:hideMark/>
              </w:tcPr>
              <w:p w14:paraId="37B96EB2" w14:textId="16C91B01" w:rsidR="00803867" w:rsidRPr="00803867" w:rsidRDefault="001A132F" w:rsidP="00803867">
                <w:pPr>
                  <w:spacing w:before="0"/>
                  <w:jc w:val="center"/>
                  <w:rPr>
                    <w:rFonts w:eastAsia="Calibri"/>
                    <w:lang w:bidi="ar-SA"/>
                  </w:rPr>
                </w:pPr>
                <w:r>
                  <w:rPr>
                    <w:rFonts w:eastAsia="Calibri"/>
                    <w:lang w:bidi="ar-SA"/>
                  </w:rPr>
                  <w:t>1,964</w:t>
                </w:r>
              </w:p>
            </w:tc>
          </w:tr>
          <w:tr w:rsidR="00803867" w:rsidRPr="00803867" w14:paraId="596754FC" w14:textId="77777777" w:rsidTr="00803867">
            <w:trPr>
              <w:cnfStyle w:val="000000100000" w:firstRow="0" w:lastRow="0" w:firstColumn="0" w:lastColumn="0" w:oddVBand="0" w:evenVBand="0" w:oddHBand="1" w:evenHBand="0" w:firstRowFirstColumn="0" w:firstRowLastColumn="0" w:lastRowFirstColumn="0" w:lastRowLastColumn="0"/>
              <w:trHeight w:val="621"/>
            </w:trPr>
            <w:tc>
              <w:tcPr>
                <w:tcW w:w="1578" w:type="dxa"/>
                <w:noWrap/>
                <w:hideMark/>
              </w:tcPr>
              <w:p w14:paraId="0CD46D91" w14:textId="77777777" w:rsidR="00803867" w:rsidRPr="00803867" w:rsidRDefault="00803867" w:rsidP="00803867">
                <w:pPr>
                  <w:spacing w:before="0"/>
                  <w:rPr>
                    <w:rFonts w:eastAsia="Calibri"/>
                    <w:b/>
                    <w:bCs/>
                    <w:lang w:bidi="ar-SA"/>
                  </w:rPr>
                </w:pPr>
                <w:r w:rsidRPr="00803867">
                  <w:rPr>
                    <w:rFonts w:eastAsia="Calibri"/>
                    <w:b/>
                    <w:bCs/>
                    <w:lang w:bidi="ar-SA"/>
                  </w:rPr>
                  <w:t>Total</w:t>
                </w:r>
              </w:p>
            </w:tc>
            <w:tc>
              <w:tcPr>
                <w:tcW w:w="2586" w:type="dxa"/>
                <w:noWrap/>
                <w:hideMark/>
              </w:tcPr>
              <w:p w14:paraId="4C7C1803" w14:textId="0AA2D744" w:rsidR="00803867" w:rsidRPr="00803867" w:rsidRDefault="00803867" w:rsidP="00803867">
                <w:pPr>
                  <w:spacing w:before="0"/>
                  <w:jc w:val="center"/>
                  <w:rPr>
                    <w:rFonts w:eastAsia="Calibri"/>
                    <w:b/>
                    <w:bCs/>
                    <w:lang w:bidi="ar-SA"/>
                  </w:rPr>
                </w:pPr>
                <w:r w:rsidRPr="00803867">
                  <w:rPr>
                    <w:rFonts w:eastAsia="Calibri"/>
                    <w:b/>
                    <w:bCs/>
                    <w:lang w:bidi="ar-SA"/>
                  </w:rPr>
                  <w:t>6</w:t>
                </w:r>
                <w:r w:rsidR="00313874">
                  <w:rPr>
                    <w:rFonts w:eastAsia="Calibri"/>
                    <w:b/>
                    <w:bCs/>
                    <w:lang w:bidi="ar-SA"/>
                  </w:rPr>
                  <w:t>,</w:t>
                </w:r>
                <w:r w:rsidRPr="00803867">
                  <w:rPr>
                    <w:rFonts w:eastAsia="Calibri"/>
                    <w:b/>
                    <w:bCs/>
                    <w:lang w:bidi="ar-SA"/>
                  </w:rPr>
                  <w:t>230</w:t>
                </w:r>
              </w:p>
            </w:tc>
            <w:tc>
              <w:tcPr>
                <w:tcW w:w="2586" w:type="dxa"/>
                <w:noWrap/>
                <w:hideMark/>
              </w:tcPr>
              <w:p w14:paraId="11A6B0CC" w14:textId="42D94505" w:rsidR="00803867" w:rsidRDefault="00202F6C" w:rsidP="00803867">
                <w:pPr>
                  <w:spacing w:before="0"/>
                  <w:jc w:val="center"/>
                  <w:rPr>
                    <w:rFonts w:eastAsia="Calibri"/>
                    <w:b/>
                    <w:bCs/>
                    <w:lang w:bidi="ar-SA"/>
                  </w:rPr>
                </w:pPr>
                <w:r>
                  <w:rPr>
                    <w:rFonts w:eastAsia="Calibri"/>
                    <w:b/>
                    <w:bCs/>
                    <w:lang w:bidi="ar-SA"/>
                  </w:rPr>
                  <w:t>5,715</w:t>
                </w:r>
              </w:p>
              <w:p w14:paraId="4FB1F7BE" w14:textId="1CDAD193" w:rsidR="00202F6C" w:rsidRPr="00803867" w:rsidRDefault="00202F6C" w:rsidP="00803867">
                <w:pPr>
                  <w:spacing w:before="0"/>
                  <w:jc w:val="center"/>
                  <w:rPr>
                    <w:rFonts w:eastAsia="Calibri"/>
                    <w:b/>
                    <w:bCs/>
                    <w:lang w:bidi="ar-SA"/>
                  </w:rPr>
                </w:pPr>
              </w:p>
            </w:tc>
            <w:tc>
              <w:tcPr>
                <w:tcW w:w="2668" w:type="dxa"/>
                <w:noWrap/>
                <w:hideMark/>
              </w:tcPr>
              <w:p w14:paraId="797A06E4" w14:textId="2CC976D1" w:rsidR="00803867" w:rsidRPr="00803867" w:rsidRDefault="001A132F" w:rsidP="00803867">
                <w:pPr>
                  <w:spacing w:before="0"/>
                  <w:jc w:val="center"/>
                  <w:rPr>
                    <w:rFonts w:eastAsia="Calibri"/>
                    <w:b/>
                    <w:bCs/>
                    <w:lang w:bidi="ar-SA"/>
                  </w:rPr>
                </w:pPr>
                <w:r>
                  <w:rPr>
                    <w:rFonts w:eastAsia="Calibri"/>
                    <w:b/>
                    <w:bCs/>
                    <w:lang w:bidi="ar-SA"/>
                  </w:rPr>
                  <w:t>3,272</w:t>
                </w:r>
              </w:p>
            </w:tc>
          </w:tr>
        </w:tbl>
        <w:p w14:paraId="24613B09" w14:textId="74103105" w:rsidR="0008155F" w:rsidRPr="003B4B6C" w:rsidRDefault="0008155F" w:rsidP="00803867">
          <w:pPr>
            <w:pStyle w:val="BodyText"/>
            <w:rPr>
              <w:lang w:val="en"/>
            </w:rPr>
          </w:pPr>
        </w:p>
        <w:p w14:paraId="125C0382" w14:textId="4BC43FAC" w:rsidR="000E48DD" w:rsidRDefault="000E48DD" w:rsidP="00FE7083">
          <w:pPr>
            <w:pStyle w:val="Heading4"/>
          </w:pPr>
          <w:r>
            <w:t>Targeted Businesses</w:t>
          </w:r>
        </w:p>
        <w:p w14:paraId="51AC015D" w14:textId="1C051C76" w:rsidR="000E48DD" w:rsidRPr="000E48DD" w:rsidRDefault="000E48DD" w:rsidP="000E48DD">
          <w:pPr>
            <w:spacing w:before="360"/>
          </w:pPr>
          <w:r>
            <w:t>In making awards, there are minimum set asides for targeted groups and categories of businesses.</w:t>
          </w:r>
        </w:p>
        <w:p w14:paraId="3E8E317C" w14:textId="45852016" w:rsidR="000E48DD" w:rsidRDefault="000E48DD" w:rsidP="00923DF4">
          <w:pPr>
            <w:pStyle w:val="List"/>
          </w:pPr>
          <w:r>
            <w:t>$18 million</w:t>
          </w:r>
          <w:r w:rsidR="00923DF4">
            <w:t xml:space="preserve"> </w:t>
          </w:r>
          <w:r>
            <w:t>for businesses with six or fewer full-time workers</w:t>
          </w:r>
          <w:r w:rsidR="00923DF4">
            <w:t xml:space="preserve"> (Micro businesses)</w:t>
          </w:r>
        </w:p>
        <w:p w14:paraId="700D48D9" w14:textId="5556F9E4" w:rsidR="000E48DD" w:rsidRDefault="000E48DD" w:rsidP="00923DF4">
          <w:pPr>
            <w:pStyle w:val="List"/>
          </w:pPr>
          <w:r>
            <w:t>$10 million for minority business enterprises.</w:t>
          </w:r>
        </w:p>
        <w:p w14:paraId="48B08EC3" w14:textId="77777777" w:rsidR="000E48DD" w:rsidRDefault="000E48DD" w:rsidP="00923DF4">
          <w:pPr>
            <w:pStyle w:val="List"/>
          </w:pPr>
          <w:r>
            <w:t>$2.5 million for businesses that are majority owned and operated by veterans.</w:t>
          </w:r>
        </w:p>
        <w:p w14:paraId="5F92EAAC" w14:textId="0C1D9A7C" w:rsidR="000E48DD" w:rsidRDefault="000E48DD" w:rsidP="000E48DD">
          <w:pPr>
            <w:pStyle w:val="List"/>
          </w:pPr>
          <w:r>
            <w:t>$2.5 million for businesses that are majority owned and operated by women.</w:t>
          </w:r>
        </w:p>
        <w:p w14:paraId="6C2065F1" w14:textId="31F3BCC6" w:rsidR="00923DF4" w:rsidRDefault="00923DF4" w:rsidP="00923DF4">
          <w:pPr>
            <w:pStyle w:val="List"/>
            <w:numPr>
              <w:ilvl w:val="0"/>
              <w:numId w:val="0"/>
            </w:numPr>
            <w:ind w:left="720" w:hanging="360"/>
          </w:pPr>
        </w:p>
        <w:p w14:paraId="6E9DB2E5" w14:textId="21BFC842" w:rsidR="00923DF4" w:rsidRDefault="00923DF4" w:rsidP="00923DF4">
          <w:pPr>
            <w:pStyle w:val="List"/>
            <w:numPr>
              <w:ilvl w:val="0"/>
              <w:numId w:val="0"/>
            </w:numPr>
            <w:ind w:left="360"/>
          </w:pPr>
          <w:r>
            <w:t xml:space="preserve">As of the time of this report DEED has me the minimum award amount with the exemption of veteran-owned businesses. DEED has taken additional steps to ensure that the minimum amount of dollars will be awards to veteran-owned business by program expiration date of December 30, 2020.  </w:t>
          </w:r>
        </w:p>
        <w:p w14:paraId="380B8DAA" w14:textId="2E46839B" w:rsidR="00923DF4" w:rsidRDefault="00923DF4" w:rsidP="00923DF4">
          <w:pPr>
            <w:pStyle w:val="List"/>
            <w:numPr>
              <w:ilvl w:val="0"/>
              <w:numId w:val="0"/>
            </w:numPr>
            <w:ind w:left="720" w:hanging="360"/>
          </w:pPr>
        </w:p>
        <w:p w14:paraId="5DBAEA41" w14:textId="26EA8637" w:rsidR="00923DF4" w:rsidRPr="00923DF4" w:rsidRDefault="00923DF4" w:rsidP="00923DF4">
          <w:pPr>
            <w:pStyle w:val="List"/>
            <w:numPr>
              <w:ilvl w:val="0"/>
              <w:numId w:val="0"/>
            </w:numPr>
            <w:ind w:left="720" w:hanging="360"/>
            <w:jc w:val="center"/>
            <w:rPr>
              <w:b/>
              <w:bCs/>
            </w:rPr>
          </w:pPr>
          <w:r w:rsidRPr="00923DF4">
            <w:rPr>
              <w:b/>
              <w:bCs/>
            </w:rPr>
            <w:t xml:space="preserve">Figure </w:t>
          </w:r>
          <w:r w:rsidR="00026D2C">
            <w:rPr>
              <w:b/>
              <w:bCs/>
            </w:rPr>
            <w:t>3</w:t>
          </w:r>
          <w:r w:rsidRPr="00923DF4">
            <w:rPr>
              <w:b/>
              <w:bCs/>
            </w:rPr>
            <w:t xml:space="preserve"> – Relief Grants by Targeted Businesses </w:t>
          </w:r>
        </w:p>
        <w:p w14:paraId="4984A68F" w14:textId="3E67241D" w:rsidR="00923DF4" w:rsidRDefault="00923DF4" w:rsidP="00923DF4">
          <w:pPr>
            <w:pStyle w:val="List"/>
            <w:numPr>
              <w:ilvl w:val="0"/>
              <w:numId w:val="0"/>
            </w:numPr>
            <w:ind w:left="720" w:hanging="360"/>
            <w:jc w:val="center"/>
          </w:pPr>
        </w:p>
        <w:tbl>
          <w:tblPr>
            <w:tblStyle w:val="TableGrid1"/>
            <w:tblW w:w="0" w:type="auto"/>
            <w:tblLook w:val="04A0" w:firstRow="1" w:lastRow="0" w:firstColumn="1" w:lastColumn="0" w:noHBand="0" w:noVBand="1"/>
          </w:tblPr>
          <w:tblGrid>
            <w:gridCol w:w="2093"/>
            <w:gridCol w:w="2917"/>
            <w:gridCol w:w="2584"/>
            <w:gridCol w:w="2237"/>
          </w:tblGrid>
          <w:tr w:rsidR="001A132F" w14:paraId="3FADBFBE" w14:textId="30F0A109" w:rsidTr="001A132F">
            <w:trPr>
              <w:cnfStyle w:val="100000000000" w:firstRow="1" w:lastRow="0" w:firstColumn="0" w:lastColumn="0" w:oddVBand="0" w:evenVBand="0" w:oddHBand="0" w:evenHBand="0" w:firstRowFirstColumn="0" w:firstRowLastColumn="0" w:lastRowFirstColumn="0" w:lastRowLastColumn="0"/>
              <w:trHeight w:val="683"/>
            </w:trPr>
            <w:tc>
              <w:tcPr>
                <w:tcW w:w="2093" w:type="dxa"/>
              </w:tcPr>
              <w:p w14:paraId="2F842505" w14:textId="514C3AF5" w:rsidR="001A132F" w:rsidRPr="00923DF4" w:rsidRDefault="001A132F" w:rsidP="00923DF4">
                <w:pPr>
                  <w:pStyle w:val="List"/>
                  <w:numPr>
                    <w:ilvl w:val="0"/>
                    <w:numId w:val="0"/>
                  </w:numPr>
                </w:pPr>
                <w:r w:rsidRPr="00923DF4">
                  <w:t>BUSINESS CATAGORY</w:t>
                </w:r>
              </w:p>
            </w:tc>
            <w:tc>
              <w:tcPr>
                <w:tcW w:w="2917" w:type="dxa"/>
              </w:tcPr>
              <w:p w14:paraId="7B8D075B" w14:textId="085DFBE7" w:rsidR="001A132F" w:rsidRPr="00923DF4" w:rsidRDefault="001A132F" w:rsidP="00923DF4">
                <w:pPr>
                  <w:pStyle w:val="List"/>
                  <w:numPr>
                    <w:ilvl w:val="0"/>
                    <w:numId w:val="0"/>
                  </w:numPr>
                </w:pPr>
                <w:r w:rsidRPr="00923DF4">
                  <w:t>AWARD MINIMUM</w:t>
                </w:r>
              </w:p>
            </w:tc>
            <w:tc>
              <w:tcPr>
                <w:tcW w:w="2584" w:type="dxa"/>
              </w:tcPr>
              <w:p w14:paraId="6C602664" w14:textId="22CFDBEE" w:rsidR="001A132F" w:rsidRPr="00923DF4" w:rsidRDefault="001A132F" w:rsidP="00923DF4">
                <w:pPr>
                  <w:pStyle w:val="List"/>
                  <w:numPr>
                    <w:ilvl w:val="0"/>
                    <w:numId w:val="0"/>
                  </w:numPr>
                </w:pPr>
                <w:r>
                  <w:t>TOTAL DOLLARS AWARDED</w:t>
                </w:r>
              </w:p>
            </w:tc>
            <w:tc>
              <w:tcPr>
                <w:tcW w:w="2237" w:type="dxa"/>
              </w:tcPr>
              <w:p w14:paraId="1A5EA59F" w14:textId="5DD3478D" w:rsidR="001A132F" w:rsidRDefault="001A132F" w:rsidP="00923DF4">
                <w:pPr>
                  <w:pStyle w:val="List"/>
                  <w:numPr>
                    <w:ilvl w:val="0"/>
                    <w:numId w:val="0"/>
                  </w:numPr>
                </w:pPr>
                <w:r>
                  <w:t>TOTAL NUMBER OF AWARDS</w:t>
                </w:r>
              </w:p>
            </w:tc>
          </w:tr>
          <w:tr w:rsidR="001A132F" w14:paraId="27868ACC" w14:textId="3C0485F3" w:rsidTr="001A132F">
            <w:trPr>
              <w:cnfStyle w:val="000000100000" w:firstRow="0" w:lastRow="0" w:firstColumn="0" w:lastColumn="0" w:oddVBand="0" w:evenVBand="0" w:oddHBand="1" w:evenHBand="0" w:firstRowFirstColumn="0" w:firstRowLastColumn="0" w:lastRowFirstColumn="0" w:lastRowLastColumn="0"/>
              <w:trHeight w:val="465"/>
            </w:trPr>
            <w:tc>
              <w:tcPr>
                <w:tcW w:w="2093" w:type="dxa"/>
              </w:tcPr>
              <w:p w14:paraId="07A1A7C8" w14:textId="58761CD1" w:rsidR="001A132F" w:rsidRDefault="001A132F" w:rsidP="00923DF4">
                <w:pPr>
                  <w:pStyle w:val="List"/>
                  <w:numPr>
                    <w:ilvl w:val="0"/>
                    <w:numId w:val="0"/>
                  </w:numPr>
                </w:pPr>
                <w:r w:rsidRPr="00923DF4">
                  <w:rPr>
                    <w:rFonts w:eastAsia="Calibri"/>
                    <w:b/>
                    <w:bCs/>
                    <w:lang w:bidi="ar-SA"/>
                  </w:rPr>
                  <w:t>MICRO</w:t>
                </w:r>
              </w:p>
            </w:tc>
            <w:tc>
              <w:tcPr>
                <w:tcW w:w="2917" w:type="dxa"/>
              </w:tcPr>
              <w:p w14:paraId="5FAE4945" w14:textId="0919CC37" w:rsidR="001A132F" w:rsidRDefault="001A132F" w:rsidP="00923DF4">
                <w:pPr>
                  <w:pStyle w:val="List"/>
                  <w:numPr>
                    <w:ilvl w:val="0"/>
                    <w:numId w:val="0"/>
                  </w:numPr>
                  <w:jc w:val="center"/>
                </w:pPr>
                <w:r>
                  <w:t>$18,000,000</w:t>
                </w:r>
              </w:p>
            </w:tc>
            <w:tc>
              <w:tcPr>
                <w:tcW w:w="2584" w:type="dxa"/>
              </w:tcPr>
              <w:p w14:paraId="3C3DBCF3" w14:textId="40B6592F" w:rsidR="001A132F" w:rsidRDefault="001A132F" w:rsidP="00923DF4">
                <w:pPr>
                  <w:pStyle w:val="List"/>
                  <w:numPr>
                    <w:ilvl w:val="0"/>
                    <w:numId w:val="0"/>
                  </w:numPr>
                  <w:jc w:val="center"/>
                </w:pPr>
                <w:r w:rsidRPr="001A132F">
                  <w:t>$45,510,000</w:t>
                </w:r>
              </w:p>
            </w:tc>
            <w:tc>
              <w:tcPr>
                <w:tcW w:w="2237" w:type="dxa"/>
              </w:tcPr>
              <w:p w14:paraId="1493962B" w14:textId="3FBA146F" w:rsidR="001A132F" w:rsidRPr="001A132F" w:rsidRDefault="001A132F" w:rsidP="00923DF4">
                <w:pPr>
                  <w:pStyle w:val="List"/>
                  <w:numPr>
                    <w:ilvl w:val="0"/>
                    <w:numId w:val="0"/>
                  </w:numPr>
                  <w:jc w:val="center"/>
                </w:pPr>
                <w:r>
                  <w:t>2,359</w:t>
                </w:r>
              </w:p>
            </w:tc>
          </w:tr>
          <w:tr w:rsidR="001A132F" w14:paraId="15560DBC" w14:textId="7CF4AFC2" w:rsidTr="001A132F">
            <w:trPr>
              <w:cnfStyle w:val="000000010000" w:firstRow="0" w:lastRow="0" w:firstColumn="0" w:lastColumn="0" w:oddVBand="0" w:evenVBand="0" w:oddHBand="0" w:evenHBand="1" w:firstRowFirstColumn="0" w:firstRowLastColumn="0" w:lastRowFirstColumn="0" w:lastRowLastColumn="0"/>
              <w:trHeight w:val="481"/>
            </w:trPr>
            <w:tc>
              <w:tcPr>
                <w:tcW w:w="2093" w:type="dxa"/>
              </w:tcPr>
              <w:p w14:paraId="6F8789C0" w14:textId="094DD8E3" w:rsidR="001A132F" w:rsidRDefault="001A132F" w:rsidP="00923DF4">
                <w:pPr>
                  <w:pStyle w:val="List"/>
                  <w:numPr>
                    <w:ilvl w:val="0"/>
                    <w:numId w:val="0"/>
                  </w:numPr>
                </w:pPr>
                <w:r w:rsidRPr="00923DF4">
                  <w:rPr>
                    <w:rFonts w:eastAsia="Calibri"/>
                    <w:b/>
                    <w:bCs/>
                    <w:lang w:bidi="ar-SA"/>
                  </w:rPr>
                  <w:t>VET</w:t>
                </w:r>
              </w:p>
            </w:tc>
            <w:tc>
              <w:tcPr>
                <w:tcW w:w="2917" w:type="dxa"/>
              </w:tcPr>
              <w:p w14:paraId="3DBC7C31" w14:textId="030E1D91" w:rsidR="001A132F" w:rsidRDefault="001A132F" w:rsidP="00923DF4">
                <w:pPr>
                  <w:pStyle w:val="List"/>
                  <w:numPr>
                    <w:ilvl w:val="0"/>
                    <w:numId w:val="0"/>
                  </w:numPr>
                  <w:jc w:val="center"/>
                </w:pPr>
                <w:r>
                  <w:t>$2,500,000</w:t>
                </w:r>
              </w:p>
            </w:tc>
            <w:tc>
              <w:tcPr>
                <w:tcW w:w="2584" w:type="dxa"/>
              </w:tcPr>
              <w:p w14:paraId="02F53DF2" w14:textId="26742942" w:rsidR="001A132F" w:rsidRPr="001A132F" w:rsidRDefault="001A132F" w:rsidP="001A132F">
                <w:pPr>
                  <w:jc w:val="center"/>
                  <w:rPr>
                    <w:rFonts w:cs="Calibri"/>
                    <w:color w:val="000000"/>
                  </w:rPr>
                </w:pPr>
                <w:r>
                  <w:rPr>
                    <w:rFonts w:cs="Calibri"/>
                    <w:color w:val="000000"/>
                  </w:rPr>
                  <w:t xml:space="preserve">$3,275,000 </w:t>
                </w:r>
              </w:p>
            </w:tc>
            <w:tc>
              <w:tcPr>
                <w:tcW w:w="2237" w:type="dxa"/>
              </w:tcPr>
              <w:p w14:paraId="520791E6" w14:textId="0043A342" w:rsidR="001A132F" w:rsidRDefault="001A132F" w:rsidP="00923DF4">
                <w:pPr>
                  <w:pStyle w:val="List"/>
                  <w:numPr>
                    <w:ilvl w:val="0"/>
                    <w:numId w:val="0"/>
                  </w:numPr>
                  <w:jc w:val="center"/>
                </w:pPr>
                <w:r>
                  <w:t>301</w:t>
                </w:r>
              </w:p>
            </w:tc>
          </w:tr>
          <w:tr w:rsidR="001A132F" w14:paraId="1D2C7DE5" w14:textId="0774F81A" w:rsidTr="001A132F">
            <w:trPr>
              <w:cnfStyle w:val="000000100000" w:firstRow="0" w:lastRow="0" w:firstColumn="0" w:lastColumn="0" w:oddVBand="0" w:evenVBand="0" w:oddHBand="1" w:evenHBand="0" w:firstRowFirstColumn="0" w:firstRowLastColumn="0" w:lastRowFirstColumn="0" w:lastRowLastColumn="0"/>
              <w:trHeight w:val="465"/>
            </w:trPr>
            <w:tc>
              <w:tcPr>
                <w:tcW w:w="2093" w:type="dxa"/>
              </w:tcPr>
              <w:p w14:paraId="2159AE35" w14:textId="1EAF71E8" w:rsidR="001A132F" w:rsidRDefault="001A132F" w:rsidP="00923DF4">
                <w:pPr>
                  <w:pStyle w:val="List"/>
                  <w:numPr>
                    <w:ilvl w:val="0"/>
                    <w:numId w:val="0"/>
                  </w:numPr>
                </w:pPr>
                <w:r w:rsidRPr="00923DF4">
                  <w:rPr>
                    <w:rFonts w:eastAsia="Calibri"/>
                    <w:b/>
                    <w:bCs/>
                    <w:lang w:bidi="ar-SA"/>
                  </w:rPr>
                  <w:t>WOMEN</w:t>
                </w:r>
              </w:p>
            </w:tc>
            <w:tc>
              <w:tcPr>
                <w:tcW w:w="2917" w:type="dxa"/>
              </w:tcPr>
              <w:p w14:paraId="087CE79F" w14:textId="26FF9E7B" w:rsidR="001A132F" w:rsidRDefault="001A132F" w:rsidP="00923DF4">
                <w:pPr>
                  <w:pStyle w:val="List"/>
                  <w:numPr>
                    <w:ilvl w:val="0"/>
                    <w:numId w:val="0"/>
                  </w:numPr>
                  <w:jc w:val="center"/>
                </w:pPr>
                <w:r>
                  <w:t>$2,500,000</w:t>
                </w:r>
              </w:p>
            </w:tc>
            <w:tc>
              <w:tcPr>
                <w:tcW w:w="2584" w:type="dxa"/>
              </w:tcPr>
              <w:p w14:paraId="3ACE735D" w14:textId="56C6E063" w:rsidR="001A132F" w:rsidRDefault="001A132F" w:rsidP="00923DF4">
                <w:pPr>
                  <w:pStyle w:val="List"/>
                  <w:numPr>
                    <w:ilvl w:val="0"/>
                    <w:numId w:val="0"/>
                  </w:numPr>
                  <w:jc w:val="center"/>
                </w:pPr>
                <w:r w:rsidRPr="001A132F">
                  <w:t>$25,415,000</w:t>
                </w:r>
              </w:p>
            </w:tc>
            <w:tc>
              <w:tcPr>
                <w:tcW w:w="2237" w:type="dxa"/>
              </w:tcPr>
              <w:p w14:paraId="2D5EC53A" w14:textId="0D7CF84C" w:rsidR="001A132F" w:rsidRDefault="001A132F" w:rsidP="00923DF4">
                <w:pPr>
                  <w:pStyle w:val="List"/>
                  <w:numPr>
                    <w:ilvl w:val="0"/>
                    <w:numId w:val="0"/>
                  </w:numPr>
                  <w:jc w:val="center"/>
                </w:pPr>
                <w:r>
                  <w:t>2359</w:t>
                </w:r>
              </w:p>
            </w:tc>
          </w:tr>
          <w:tr w:rsidR="001A132F" w14:paraId="4AD46F39" w14:textId="27C11C5C" w:rsidTr="001A132F">
            <w:trPr>
              <w:cnfStyle w:val="000000010000" w:firstRow="0" w:lastRow="0" w:firstColumn="0" w:lastColumn="0" w:oddVBand="0" w:evenVBand="0" w:oddHBand="0" w:evenHBand="1" w:firstRowFirstColumn="0" w:firstRowLastColumn="0" w:lastRowFirstColumn="0" w:lastRowLastColumn="0"/>
              <w:trHeight w:val="450"/>
            </w:trPr>
            <w:tc>
              <w:tcPr>
                <w:tcW w:w="2093" w:type="dxa"/>
              </w:tcPr>
              <w:p w14:paraId="4EE67C21" w14:textId="62751938" w:rsidR="001A132F" w:rsidRDefault="001A132F" w:rsidP="00923DF4">
                <w:pPr>
                  <w:pStyle w:val="List"/>
                  <w:numPr>
                    <w:ilvl w:val="0"/>
                    <w:numId w:val="0"/>
                  </w:numPr>
                </w:pPr>
                <w:r w:rsidRPr="00923DF4">
                  <w:rPr>
                    <w:rFonts w:eastAsia="Calibri"/>
                    <w:b/>
                    <w:bCs/>
                    <w:lang w:bidi="ar-SA"/>
                  </w:rPr>
                  <w:t>MINORITY</w:t>
                </w:r>
              </w:p>
            </w:tc>
            <w:tc>
              <w:tcPr>
                <w:tcW w:w="2917" w:type="dxa"/>
              </w:tcPr>
              <w:p w14:paraId="7B34D1D4" w14:textId="6B4E164F" w:rsidR="001A132F" w:rsidRDefault="001A132F" w:rsidP="00923DF4">
                <w:pPr>
                  <w:pStyle w:val="List"/>
                  <w:numPr>
                    <w:ilvl w:val="0"/>
                    <w:numId w:val="0"/>
                  </w:numPr>
                  <w:jc w:val="center"/>
                </w:pPr>
                <w:r>
                  <w:t>$10,000,000</w:t>
                </w:r>
              </w:p>
            </w:tc>
            <w:tc>
              <w:tcPr>
                <w:tcW w:w="2584" w:type="dxa"/>
              </w:tcPr>
              <w:p w14:paraId="3462BC09" w14:textId="77B1DDED" w:rsidR="001A132F" w:rsidRDefault="001A132F" w:rsidP="00923DF4">
                <w:pPr>
                  <w:pStyle w:val="List"/>
                  <w:numPr>
                    <w:ilvl w:val="0"/>
                    <w:numId w:val="0"/>
                  </w:numPr>
                  <w:jc w:val="center"/>
                </w:pPr>
                <w:r w:rsidRPr="001A132F">
                  <w:t>$15,850,000</w:t>
                </w:r>
              </w:p>
            </w:tc>
            <w:tc>
              <w:tcPr>
                <w:tcW w:w="2237" w:type="dxa"/>
              </w:tcPr>
              <w:p w14:paraId="3669CA8B" w14:textId="59D2A960" w:rsidR="001A132F" w:rsidRDefault="001A132F" w:rsidP="00923DF4">
                <w:pPr>
                  <w:pStyle w:val="List"/>
                  <w:numPr>
                    <w:ilvl w:val="0"/>
                    <w:numId w:val="0"/>
                  </w:numPr>
                  <w:jc w:val="center"/>
                </w:pPr>
                <w:r>
                  <w:t>1508</w:t>
                </w:r>
              </w:p>
            </w:tc>
          </w:tr>
        </w:tbl>
        <w:p w14:paraId="15E1370E" w14:textId="0F045E18" w:rsidR="00923DF4" w:rsidRDefault="0051600F" w:rsidP="0051600F">
          <w:pPr>
            <w:pStyle w:val="Caption"/>
          </w:pPr>
          <w:r>
            <w:lastRenderedPageBreak/>
            <w:t xml:space="preserve">NOTE: If a business qualifies for multiple </w:t>
          </w:r>
          <w:r w:rsidR="00264668">
            <w:t>categories</w:t>
          </w:r>
          <w:r>
            <w:t xml:space="preserve"> that business is counted twice for the purposes of the minimum award thresholds. For </w:t>
          </w:r>
          <w:r w:rsidR="00264668">
            <w:t>example,</w:t>
          </w:r>
          <w:r>
            <w:t xml:space="preserve"> if a veteran-owned business is also a women-owned business it is counted for both </w:t>
          </w:r>
          <w:r w:rsidR="00264668">
            <w:t>categories</w:t>
          </w:r>
          <w:r>
            <w:t xml:space="preserve">. </w:t>
          </w:r>
        </w:p>
        <w:p w14:paraId="1F0B878C" w14:textId="77777777" w:rsidR="00923DF4" w:rsidRPr="000E48DD" w:rsidRDefault="00923DF4" w:rsidP="00923DF4">
          <w:pPr>
            <w:pStyle w:val="List"/>
            <w:numPr>
              <w:ilvl w:val="0"/>
              <w:numId w:val="0"/>
            </w:numPr>
            <w:ind w:left="720" w:hanging="360"/>
            <w:jc w:val="center"/>
          </w:pPr>
        </w:p>
        <w:p w14:paraId="506C0B51" w14:textId="4827FD4E" w:rsidR="000503B7" w:rsidRDefault="00A44D78" w:rsidP="000503B7">
          <w:pPr>
            <w:pStyle w:val="Heading4"/>
          </w:pPr>
          <w:r>
            <w:t>Industry</w:t>
          </w:r>
        </w:p>
        <w:p w14:paraId="1ED830FD" w14:textId="22125066" w:rsidR="000503B7" w:rsidRDefault="000503B7" w:rsidP="000503B7">
          <w:pPr>
            <w:pStyle w:val="BodyText"/>
          </w:pPr>
          <w:r>
            <w:t>Some business types representing different industries participated in this program at higher rates than others.</w:t>
          </w:r>
          <w:r w:rsidR="00833FC3">
            <w:t xml:space="preserve"> There were three main factors that contributed to differently impacts across industries: </w:t>
          </w:r>
        </w:p>
        <w:p w14:paraId="25D75FA9" w14:textId="77777777" w:rsidR="000503B7" w:rsidRDefault="000503B7" w:rsidP="000503B7">
          <w:pPr>
            <w:pStyle w:val="BodyText"/>
          </w:pPr>
        </w:p>
        <w:p w14:paraId="412D6BD5" w14:textId="66DC207E" w:rsidR="000503B7" w:rsidRPr="000503B7" w:rsidRDefault="000503B7" w:rsidP="000503B7">
          <w:pPr>
            <w:pStyle w:val="BodyText"/>
          </w:pPr>
          <w:r>
            <w:t xml:space="preserve">Industries experienced disparate impacts due to the COVID-19 pandemic and government mandated restrictions of their business operations. </w:t>
          </w:r>
        </w:p>
        <w:p w14:paraId="573BFDBE" w14:textId="06FEDF74" w:rsidR="000E48DD" w:rsidRPr="000E48DD" w:rsidRDefault="000E48DD" w:rsidP="000E48DD">
          <w:pPr>
            <w:pStyle w:val="BodyText"/>
            <w:jc w:val="center"/>
            <w:rPr>
              <w:b/>
              <w:bCs/>
            </w:rPr>
          </w:pPr>
          <w:r w:rsidRPr="000E48DD">
            <w:rPr>
              <w:b/>
              <w:bCs/>
            </w:rPr>
            <w:t xml:space="preserve">Figure </w:t>
          </w:r>
          <w:r w:rsidR="00026D2C">
            <w:rPr>
              <w:b/>
              <w:bCs/>
            </w:rPr>
            <w:t>4</w:t>
          </w:r>
          <w:r w:rsidRPr="000E48DD">
            <w:rPr>
              <w:b/>
              <w:bCs/>
            </w:rPr>
            <w:t xml:space="preserve"> - </w:t>
          </w:r>
          <w:r w:rsidR="00306802">
            <w:rPr>
              <w:b/>
              <w:bCs/>
            </w:rPr>
            <w:t>Awards</w:t>
          </w:r>
          <w:r w:rsidRPr="000E48DD">
            <w:rPr>
              <w:b/>
              <w:bCs/>
            </w:rPr>
            <w:t xml:space="preserve"> by </w:t>
          </w:r>
          <w:r w:rsidR="00306802">
            <w:rPr>
              <w:b/>
              <w:bCs/>
            </w:rPr>
            <w:t xml:space="preserve">Industry </w:t>
          </w:r>
        </w:p>
        <w:tbl>
          <w:tblPr>
            <w:tblStyle w:val="TableGrid1"/>
            <w:tblW w:w="0" w:type="auto"/>
            <w:tblLook w:val="04A0" w:firstRow="1" w:lastRow="0" w:firstColumn="1" w:lastColumn="0" w:noHBand="0" w:noVBand="1"/>
          </w:tblPr>
          <w:tblGrid>
            <w:gridCol w:w="4675"/>
            <w:gridCol w:w="2011"/>
            <w:gridCol w:w="3145"/>
          </w:tblGrid>
          <w:tr w:rsidR="00AA0228" w:rsidRPr="00AA0228" w14:paraId="24975253" w14:textId="77777777" w:rsidTr="003A0696">
            <w:trPr>
              <w:cnfStyle w:val="100000000000" w:firstRow="1" w:lastRow="0" w:firstColumn="0" w:lastColumn="0" w:oddVBand="0" w:evenVBand="0" w:oddHBand="0" w:evenHBand="0" w:firstRowFirstColumn="0" w:firstRowLastColumn="0" w:lastRowFirstColumn="0" w:lastRowLastColumn="0"/>
              <w:trHeight w:val="300"/>
            </w:trPr>
            <w:tc>
              <w:tcPr>
                <w:tcW w:w="4675" w:type="dxa"/>
                <w:noWrap/>
                <w:hideMark/>
              </w:tcPr>
              <w:p w14:paraId="12CDE547" w14:textId="44099E6C" w:rsidR="00306802" w:rsidRPr="000503B7" w:rsidRDefault="00306802" w:rsidP="00AA0228">
                <w:pPr>
                  <w:pStyle w:val="BodyText"/>
                  <w:jc w:val="left"/>
                  <w:rPr>
                    <w:rFonts w:eastAsiaTheme="majorEastAsia" w:cstheme="minorHAnsi"/>
                    <w:iCs/>
                    <w:sz w:val="18"/>
                    <w:szCs w:val="18"/>
                  </w:rPr>
                </w:pPr>
                <w:r w:rsidRPr="000503B7">
                  <w:rPr>
                    <w:rFonts w:eastAsiaTheme="majorEastAsia" w:cstheme="minorHAnsi"/>
                    <w:iCs/>
                    <w:sz w:val="18"/>
                    <w:szCs w:val="18"/>
                  </w:rPr>
                  <w:t>Industry</w:t>
                </w:r>
              </w:p>
            </w:tc>
            <w:tc>
              <w:tcPr>
                <w:tcW w:w="2011" w:type="dxa"/>
                <w:noWrap/>
                <w:hideMark/>
              </w:tcPr>
              <w:p w14:paraId="7FE18412" w14:textId="034F08E6" w:rsidR="00306802" w:rsidRPr="000503B7" w:rsidRDefault="00306802" w:rsidP="00AA0228">
                <w:pPr>
                  <w:pStyle w:val="BodyText"/>
                  <w:jc w:val="left"/>
                  <w:rPr>
                    <w:rFonts w:eastAsiaTheme="majorEastAsia" w:cstheme="minorHAnsi"/>
                    <w:iCs/>
                    <w:sz w:val="18"/>
                    <w:szCs w:val="18"/>
                  </w:rPr>
                </w:pPr>
                <w:r w:rsidRPr="000503B7">
                  <w:rPr>
                    <w:rFonts w:eastAsiaTheme="majorEastAsia" w:cstheme="minorHAnsi"/>
                    <w:iCs/>
                    <w:sz w:val="18"/>
                    <w:szCs w:val="18"/>
                  </w:rPr>
                  <w:t>Total Dollars Awarded</w:t>
                </w:r>
              </w:p>
            </w:tc>
            <w:tc>
              <w:tcPr>
                <w:tcW w:w="3145" w:type="dxa"/>
                <w:noWrap/>
                <w:hideMark/>
              </w:tcPr>
              <w:p w14:paraId="099497FC" w14:textId="0F4B6828" w:rsidR="00306802" w:rsidRPr="000503B7" w:rsidRDefault="00AA0228" w:rsidP="00AA0228">
                <w:pPr>
                  <w:pStyle w:val="BodyText"/>
                  <w:jc w:val="left"/>
                  <w:rPr>
                    <w:rFonts w:eastAsiaTheme="majorEastAsia" w:cstheme="minorHAnsi"/>
                    <w:iCs/>
                    <w:sz w:val="18"/>
                    <w:szCs w:val="18"/>
                  </w:rPr>
                </w:pPr>
                <w:r w:rsidRPr="000503B7">
                  <w:rPr>
                    <w:rFonts w:eastAsiaTheme="majorEastAsia" w:cstheme="minorHAnsi"/>
                    <w:iCs/>
                    <w:sz w:val="18"/>
                    <w:szCs w:val="18"/>
                  </w:rPr>
                  <w:t>Number of Awards</w:t>
                </w:r>
              </w:p>
            </w:tc>
          </w:tr>
          <w:tr w:rsidR="003A0696" w:rsidRPr="00AA0228" w14:paraId="50220D12"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5C3E015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Accommodation, Lodging (NAICS 721)</w:t>
                </w:r>
              </w:p>
            </w:tc>
            <w:tc>
              <w:tcPr>
                <w:tcW w:w="2011" w:type="dxa"/>
                <w:noWrap/>
                <w:hideMark/>
              </w:tcPr>
              <w:p w14:paraId="51C60926" w14:textId="2A0E2A1F"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$995,000.00</w:t>
                </w:r>
              </w:p>
            </w:tc>
            <w:tc>
              <w:tcPr>
                <w:tcW w:w="3145" w:type="dxa"/>
                <w:noWrap/>
                <w:hideMark/>
              </w:tcPr>
              <w:p w14:paraId="3559C688"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82</w:t>
                </w:r>
              </w:p>
            </w:tc>
          </w:tr>
          <w:tr w:rsidR="003A0696" w:rsidRPr="00AA0228" w14:paraId="3DF40164"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455C582F"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Administration, Support Services (NAICS 561)</w:t>
                </w:r>
              </w:p>
            </w:tc>
            <w:tc>
              <w:tcPr>
                <w:tcW w:w="2011" w:type="dxa"/>
                <w:noWrap/>
                <w:hideMark/>
              </w:tcPr>
              <w:p w14:paraId="02AFEB74" w14:textId="55FFDB4D"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$430,000.00</w:t>
                </w:r>
              </w:p>
            </w:tc>
            <w:tc>
              <w:tcPr>
                <w:tcW w:w="3145" w:type="dxa"/>
                <w:noWrap/>
                <w:hideMark/>
              </w:tcPr>
              <w:p w14:paraId="31E87597"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39</w:t>
                </w:r>
              </w:p>
            </w:tc>
          </w:tr>
          <w:tr w:rsidR="003A0696" w:rsidRPr="00AA0228" w14:paraId="4A4D8750"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54E63A82"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Agriculture (NAICS 11)</w:t>
                </w:r>
              </w:p>
            </w:tc>
            <w:tc>
              <w:tcPr>
                <w:tcW w:w="2011" w:type="dxa"/>
                <w:noWrap/>
                <w:hideMark/>
              </w:tcPr>
              <w:p w14:paraId="1F5F7D9F" w14:textId="6465438A"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$910,000.00</w:t>
                </w:r>
              </w:p>
            </w:tc>
            <w:tc>
              <w:tcPr>
                <w:tcW w:w="3145" w:type="dxa"/>
                <w:noWrap/>
                <w:hideMark/>
              </w:tcPr>
              <w:p w14:paraId="2D6301EC"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88</w:t>
                </w:r>
              </w:p>
            </w:tc>
          </w:tr>
          <w:tr w:rsidR="003A0696" w:rsidRPr="00AA0228" w14:paraId="0F1CD77A"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1B4CD3F8"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Any other non-services industries not included above</w:t>
                </w:r>
              </w:p>
            </w:tc>
            <w:tc>
              <w:tcPr>
                <w:tcW w:w="2011" w:type="dxa"/>
                <w:noWrap/>
                <w:hideMark/>
              </w:tcPr>
              <w:p w14:paraId="6D6C84A4" w14:textId="0556F1A1"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$ 965,000.00</w:t>
                </w:r>
              </w:p>
            </w:tc>
            <w:tc>
              <w:tcPr>
                <w:tcW w:w="3145" w:type="dxa"/>
                <w:noWrap/>
                <w:hideMark/>
              </w:tcPr>
              <w:p w14:paraId="77298694"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91</w:t>
                </w:r>
              </w:p>
            </w:tc>
          </w:tr>
          <w:tr w:rsidR="003A0696" w:rsidRPr="00AA0228" w14:paraId="43FE823B"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60831299"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Any other services industries not included above</w:t>
                </w:r>
              </w:p>
            </w:tc>
            <w:tc>
              <w:tcPr>
                <w:tcW w:w="2011" w:type="dxa"/>
                <w:noWrap/>
                <w:hideMark/>
              </w:tcPr>
              <w:p w14:paraId="1F6D6907" w14:textId="20C9A1BF"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$5,975,000.00</w:t>
                </w:r>
              </w:p>
            </w:tc>
            <w:tc>
              <w:tcPr>
                <w:tcW w:w="3145" w:type="dxa"/>
                <w:noWrap/>
                <w:hideMark/>
              </w:tcPr>
              <w:p w14:paraId="4362E52B"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571</w:t>
                </w:r>
              </w:p>
            </w:tc>
          </w:tr>
          <w:tr w:rsidR="003A0696" w:rsidRPr="00AA0228" w14:paraId="5F4C2C85"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15D6E29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Arts, Entertainment, Sports (NAICS 711)</w:t>
                </w:r>
              </w:p>
            </w:tc>
            <w:tc>
              <w:tcPr>
                <w:tcW w:w="2011" w:type="dxa"/>
                <w:noWrap/>
                <w:hideMark/>
              </w:tcPr>
              <w:p w14:paraId="6FBF3D1A" w14:textId="585A76FC"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$2,035,000.00</w:t>
                </w:r>
              </w:p>
            </w:tc>
            <w:tc>
              <w:tcPr>
                <w:tcW w:w="3145" w:type="dxa"/>
                <w:noWrap/>
                <w:hideMark/>
              </w:tcPr>
              <w:p w14:paraId="1697F98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197</w:t>
                </w:r>
              </w:p>
            </w:tc>
          </w:tr>
          <w:tr w:rsidR="003A0696" w:rsidRPr="00AA0228" w14:paraId="53B29070"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0854D5EB"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Construction (NAICS 23)</w:t>
                </w:r>
              </w:p>
            </w:tc>
            <w:tc>
              <w:tcPr>
                <w:tcW w:w="2011" w:type="dxa"/>
                <w:noWrap/>
                <w:hideMark/>
              </w:tcPr>
              <w:p w14:paraId="399F458E" w14:textId="34A33799" w:rsidR="00306802" w:rsidRPr="00AA0228" w:rsidRDefault="00AA0228" w:rsidP="00AA0228">
                <w:pPr>
                  <w:pStyle w:val="BodyText"/>
                  <w:rPr>
                    <w:rFonts w:eastAsiaTheme="majorEastAsia" w:cstheme="minorHAnsi"/>
                    <w:bCs/>
                    <w:iCs/>
                    <w:sz w:val="18"/>
                    <w:szCs w:val="18"/>
                  </w:rPr>
                </w:pPr>
                <w:r w:rsidRPr="00AA0228">
                  <w:rPr>
                    <w:rFonts w:eastAsiaTheme="majorEastAsia" w:cstheme="minorHAnsi"/>
                    <w:bCs/>
                    <w:iCs/>
                    <w:sz w:val="18"/>
                    <w:szCs w:val="18"/>
                  </w:rPr>
                  <w:t>$</w:t>
                </w:r>
                <w:r w:rsidR="00306802" w:rsidRPr="00AA0228">
                  <w:rPr>
                    <w:rFonts w:eastAsiaTheme="majorEastAsia" w:cstheme="minorHAnsi"/>
                    <w:bCs/>
                    <w:iCs/>
                    <w:sz w:val="18"/>
                    <w:szCs w:val="18"/>
                  </w:rPr>
                  <w:t>3,690,000.00</w:t>
                </w:r>
              </w:p>
            </w:tc>
            <w:tc>
              <w:tcPr>
                <w:tcW w:w="3145" w:type="dxa"/>
                <w:noWrap/>
                <w:hideMark/>
              </w:tcPr>
              <w:p w14:paraId="2E3C205E"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331</w:t>
                </w:r>
              </w:p>
            </w:tc>
          </w:tr>
          <w:tr w:rsidR="003A0696" w:rsidRPr="00AA0228" w14:paraId="2AEFB377"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045BEDCF"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Education (NAICS 61)</w:t>
                </w:r>
              </w:p>
            </w:tc>
            <w:tc>
              <w:tcPr>
                <w:tcW w:w="2011" w:type="dxa"/>
                <w:noWrap/>
                <w:hideMark/>
              </w:tcPr>
              <w:p w14:paraId="55BEDEDD" w14:textId="24982D33"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$1,265,000.00</w:t>
                </w:r>
              </w:p>
            </w:tc>
            <w:tc>
              <w:tcPr>
                <w:tcW w:w="3145" w:type="dxa"/>
                <w:noWrap/>
                <w:hideMark/>
              </w:tcPr>
              <w:p w14:paraId="167894C3"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119</w:t>
                </w:r>
              </w:p>
            </w:tc>
          </w:tr>
          <w:tr w:rsidR="003A0696" w:rsidRPr="00AA0228" w14:paraId="7EF72D52"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48C49FAA"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Finance, Insurance (NAICS 52)</w:t>
                </w:r>
              </w:p>
            </w:tc>
            <w:tc>
              <w:tcPr>
                <w:tcW w:w="2011" w:type="dxa"/>
                <w:noWrap/>
                <w:hideMark/>
              </w:tcPr>
              <w:p w14:paraId="3A2E28E1" w14:textId="21AA9D34"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$630,000.00</w:t>
                </w:r>
              </w:p>
            </w:tc>
            <w:tc>
              <w:tcPr>
                <w:tcW w:w="3145" w:type="dxa"/>
                <w:noWrap/>
                <w:hideMark/>
              </w:tcPr>
              <w:p w14:paraId="17E31DB3"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61</w:t>
                </w:r>
              </w:p>
            </w:tc>
          </w:tr>
          <w:tr w:rsidR="003A0696" w:rsidRPr="00AA0228" w14:paraId="45F692D2"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6B92A610"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Food &amp; Drink Services (NAICS 722)</w:t>
                </w:r>
              </w:p>
            </w:tc>
            <w:tc>
              <w:tcPr>
                <w:tcW w:w="2011" w:type="dxa"/>
                <w:noWrap/>
                <w:hideMark/>
              </w:tcPr>
              <w:p w14:paraId="73F996A4" w14:textId="0954B6D1"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$7,655,000.00</w:t>
                </w:r>
              </w:p>
            </w:tc>
            <w:tc>
              <w:tcPr>
                <w:tcW w:w="3145" w:type="dxa"/>
                <w:noWrap/>
                <w:hideMark/>
              </w:tcPr>
              <w:p w14:paraId="491501E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634</w:t>
                </w:r>
              </w:p>
            </w:tc>
          </w:tr>
          <w:tr w:rsidR="003A0696" w:rsidRPr="00AA0228" w14:paraId="6ECDBA5D"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1F6B59F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Food, Beverages (NAICS 311-312)</w:t>
                </w:r>
              </w:p>
            </w:tc>
            <w:tc>
              <w:tcPr>
                <w:tcW w:w="2011" w:type="dxa"/>
                <w:noWrap/>
                <w:hideMark/>
              </w:tcPr>
              <w:p w14:paraId="7466D368" w14:textId="2B8DAE85"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$610,000.00</w:t>
                </w:r>
              </w:p>
            </w:tc>
            <w:tc>
              <w:tcPr>
                <w:tcW w:w="3145" w:type="dxa"/>
                <w:noWrap/>
                <w:hideMark/>
              </w:tcPr>
              <w:p w14:paraId="27C940F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55</w:t>
                </w:r>
              </w:p>
            </w:tc>
          </w:tr>
          <w:tr w:rsidR="003A0696" w:rsidRPr="00AA0228" w14:paraId="44732820"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657366F0"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Health Care (NAICS 621-622)</w:t>
                </w:r>
              </w:p>
            </w:tc>
            <w:tc>
              <w:tcPr>
                <w:tcW w:w="2011" w:type="dxa"/>
                <w:noWrap/>
                <w:hideMark/>
              </w:tcPr>
              <w:p w14:paraId="1740E76C" w14:textId="7198939D"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$3,470,000.00</w:t>
                </w:r>
              </w:p>
            </w:tc>
            <w:tc>
              <w:tcPr>
                <w:tcW w:w="3145" w:type="dxa"/>
                <w:noWrap/>
                <w:hideMark/>
              </w:tcPr>
              <w:p w14:paraId="2FFAD2BB"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302</w:t>
                </w:r>
              </w:p>
            </w:tc>
          </w:tr>
          <w:tr w:rsidR="003A0696" w:rsidRPr="00AA0228" w14:paraId="7215913A"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10D72573"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Information (NAICS 51)</w:t>
                </w:r>
              </w:p>
            </w:tc>
            <w:tc>
              <w:tcPr>
                <w:tcW w:w="2011" w:type="dxa"/>
                <w:noWrap/>
                <w:hideMark/>
              </w:tcPr>
              <w:p w14:paraId="28C46DBE" w14:textId="64D17640"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$660,000.00</w:t>
                </w:r>
              </w:p>
            </w:tc>
            <w:tc>
              <w:tcPr>
                <w:tcW w:w="3145" w:type="dxa"/>
                <w:noWrap/>
                <w:hideMark/>
              </w:tcPr>
              <w:p w14:paraId="12B2D802"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63</w:t>
                </w:r>
              </w:p>
            </w:tc>
          </w:tr>
          <w:tr w:rsidR="003A0696" w:rsidRPr="00AA0228" w14:paraId="0D915A66"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4071495E"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Manufacturing, other than food/beverages (NAICS 31-33 other than 311-312)</w:t>
                </w:r>
              </w:p>
            </w:tc>
            <w:tc>
              <w:tcPr>
                <w:tcW w:w="2011" w:type="dxa"/>
                <w:noWrap/>
                <w:hideMark/>
              </w:tcPr>
              <w:p w14:paraId="5518792F" w14:textId="21F4E4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$2,175,000.00</w:t>
                </w:r>
              </w:p>
            </w:tc>
            <w:tc>
              <w:tcPr>
                <w:tcW w:w="3145" w:type="dxa"/>
                <w:noWrap/>
                <w:hideMark/>
              </w:tcPr>
              <w:p w14:paraId="26EDD857"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174</w:t>
                </w:r>
              </w:p>
            </w:tc>
          </w:tr>
          <w:tr w:rsidR="003A0696" w:rsidRPr="00AA0228" w14:paraId="2A3F0D9B"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1C45B7E6"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lastRenderedPageBreak/>
                  <w:t>Non-Profit - Grantmaking, Civic, Religious Organizations (NAICS 813)</w:t>
                </w:r>
              </w:p>
            </w:tc>
            <w:tc>
              <w:tcPr>
                <w:tcW w:w="2011" w:type="dxa"/>
                <w:noWrap/>
                <w:hideMark/>
              </w:tcPr>
              <w:p w14:paraId="39ACB8EA" w14:textId="0EF63E56"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$610,000.00</w:t>
                </w:r>
              </w:p>
            </w:tc>
            <w:tc>
              <w:tcPr>
                <w:tcW w:w="3145" w:type="dxa"/>
                <w:noWrap/>
                <w:hideMark/>
              </w:tcPr>
              <w:p w14:paraId="323EB1FD"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55</w:t>
                </w:r>
              </w:p>
            </w:tc>
          </w:tr>
          <w:tr w:rsidR="003A0696" w:rsidRPr="00AA0228" w14:paraId="5F2AE5F3"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4FF9ACDA"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Personal Care Services (NAICS 8121)</w:t>
                </w:r>
              </w:p>
            </w:tc>
            <w:tc>
              <w:tcPr>
                <w:tcW w:w="2011" w:type="dxa"/>
                <w:noWrap/>
                <w:hideMark/>
              </w:tcPr>
              <w:p w14:paraId="38691437" w14:textId="0B5641B8"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$6,060,000.00</w:t>
                </w:r>
              </w:p>
            </w:tc>
            <w:tc>
              <w:tcPr>
                <w:tcW w:w="3145" w:type="dxa"/>
                <w:noWrap/>
                <w:hideMark/>
              </w:tcPr>
              <w:p w14:paraId="323966D6"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583</w:t>
                </w:r>
              </w:p>
            </w:tc>
          </w:tr>
          <w:tr w:rsidR="003A0696" w:rsidRPr="00AA0228" w14:paraId="495899AA"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0BC47CB0"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Professional, Technical, Scientific Services (NAICS 54)</w:t>
                </w:r>
              </w:p>
            </w:tc>
            <w:tc>
              <w:tcPr>
                <w:tcW w:w="2011" w:type="dxa"/>
                <w:noWrap/>
                <w:hideMark/>
              </w:tcPr>
              <w:p w14:paraId="0BF02483" w14:textId="0869E03B"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$2,815,000.00</w:t>
                </w:r>
              </w:p>
            </w:tc>
            <w:tc>
              <w:tcPr>
                <w:tcW w:w="3145" w:type="dxa"/>
                <w:noWrap/>
                <w:hideMark/>
              </w:tcPr>
              <w:p w14:paraId="16B56E63"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266</w:t>
                </w:r>
              </w:p>
            </w:tc>
          </w:tr>
          <w:tr w:rsidR="003A0696" w:rsidRPr="00AA0228" w14:paraId="6B614419"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670BF675"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Real Estate Rental, Leasing (NAICS 53)</w:t>
                </w:r>
              </w:p>
            </w:tc>
            <w:tc>
              <w:tcPr>
                <w:tcW w:w="2011" w:type="dxa"/>
                <w:noWrap/>
                <w:hideMark/>
              </w:tcPr>
              <w:p w14:paraId="50FACF54" w14:textId="0916E8CC"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$700,000.00</w:t>
                </w:r>
              </w:p>
            </w:tc>
            <w:tc>
              <w:tcPr>
                <w:tcW w:w="3145" w:type="dxa"/>
                <w:noWrap/>
                <w:hideMark/>
              </w:tcPr>
              <w:p w14:paraId="40F0A7C7"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69</w:t>
                </w:r>
              </w:p>
            </w:tc>
          </w:tr>
          <w:tr w:rsidR="003A0696" w:rsidRPr="00AA0228" w14:paraId="06856FBC"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0D7E65E0"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Recreation, Museums (NAICS 712-713)</w:t>
                </w:r>
              </w:p>
            </w:tc>
            <w:tc>
              <w:tcPr>
                <w:tcW w:w="2011" w:type="dxa"/>
                <w:noWrap/>
                <w:hideMark/>
              </w:tcPr>
              <w:p w14:paraId="45170057" w14:textId="089479BB"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$1,300,000.00</w:t>
                </w:r>
              </w:p>
            </w:tc>
            <w:tc>
              <w:tcPr>
                <w:tcW w:w="3145" w:type="dxa"/>
                <w:noWrap/>
                <w:hideMark/>
              </w:tcPr>
              <w:p w14:paraId="1E74EBC4"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119</w:t>
                </w:r>
              </w:p>
            </w:tc>
          </w:tr>
          <w:tr w:rsidR="003A0696" w:rsidRPr="00AA0228" w14:paraId="546D404F"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481C353F"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Repair, Maintenance (NAICS 811)</w:t>
                </w:r>
              </w:p>
            </w:tc>
            <w:tc>
              <w:tcPr>
                <w:tcW w:w="2011" w:type="dxa"/>
                <w:noWrap/>
                <w:hideMark/>
              </w:tcPr>
              <w:p w14:paraId="7D338355" w14:textId="25AA5F4B"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$1,450,000.00</w:t>
                </w:r>
              </w:p>
            </w:tc>
            <w:tc>
              <w:tcPr>
                <w:tcW w:w="3145" w:type="dxa"/>
                <w:noWrap/>
                <w:hideMark/>
              </w:tcPr>
              <w:p w14:paraId="3C423EBA"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138</w:t>
                </w:r>
              </w:p>
            </w:tc>
          </w:tr>
          <w:tr w:rsidR="003A0696" w:rsidRPr="00AA0228" w14:paraId="4B354AB8"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7E48EF43"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Retail (NAICS 44-45)</w:t>
                </w:r>
              </w:p>
            </w:tc>
            <w:tc>
              <w:tcPr>
                <w:tcW w:w="2011" w:type="dxa"/>
                <w:noWrap/>
                <w:hideMark/>
              </w:tcPr>
              <w:p w14:paraId="4F0FD201" w14:textId="3DB2A2C0"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$5,710,000.00</w:t>
                </w:r>
              </w:p>
            </w:tc>
            <w:tc>
              <w:tcPr>
                <w:tcW w:w="3145" w:type="dxa"/>
                <w:noWrap/>
                <w:hideMark/>
              </w:tcPr>
              <w:p w14:paraId="2CF84329"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540</w:t>
                </w:r>
              </w:p>
            </w:tc>
          </w:tr>
          <w:tr w:rsidR="003A0696" w:rsidRPr="00AA0228" w14:paraId="638245F0"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568051FB"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Social Services (NAICS 623-624)</w:t>
                </w:r>
              </w:p>
            </w:tc>
            <w:tc>
              <w:tcPr>
                <w:tcW w:w="2011" w:type="dxa"/>
                <w:noWrap/>
                <w:hideMark/>
              </w:tcPr>
              <w:p w14:paraId="13D5DB8F" w14:textId="5461ADF0"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$1,315,000.00</w:t>
                </w:r>
              </w:p>
            </w:tc>
            <w:tc>
              <w:tcPr>
                <w:tcW w:w="3145" w:type="dxa"/>
                <w:noWrap/>
                <w:hideMark/>
              </w:tcPr>
              <w:p w14:paraId="0E54BA78"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120</w:t>
                </w:r>
              </w:p>
            </w:tc>
          </w:tr>
          <w:tr w:rsidR="003A0696" w:rsidRPr="00AA0228" w14:paraId="4FF05B61"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17C1F8CF"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Transportation, Warehousing (NAICS 48-49)</w:t>
                </w:r>
              </w:p>
            </w:tc>
            <w:tc>
              <w:tcPr>
                <w:tcW w:w="2011" w:type="dxa"/>
                <w:noWrap/>
                <w:hideMark/>
              </w:tcPr>
              <w:p w14:paraId="0772D0E7" w14:textId="2A9B8754"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$10,285,000.00</w:t>
                </w:r>
              </w:p>
            </w:tc>
            <w:tc>
              <w:tcPr>
                <w:tcW w:w="3145" w:type="dxa"/>
                <w:noWrap/>
                <w:hideMark/>
              </w:tcPr>
              <w:p w14:paraId="5AC4EE21"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1014</w:t>
                </w:r>
              </w:p>
            </w:tc>
          </w:tr>
          <w:tr w:rsidR="003A0696" w:rsidRPr="00AA0228" w14:paraId="66B5399A" w14:textId="77777777" w:rsidTr="003A0696">
            <w:trPr>
              <w:cnfStyle w:val="000000010000" w:firstRow="0" w:lastRow="0" w:firstColumn="0" w:lastColumn="0" w:oddVBand="0" w:evenVBand="0" w:oddHBand="0" w:evenHBand="1" w:firstRowFirstColumn="0" w:firstRowLastColumn="0" w:lastRowFirstColumn="0" w:lastRowLastColumn="0"/>
              <w:trHeight w:val="300"/>
            </w:trPr>
            <w:tc>
              <w:tcPr>
                <w:tcW w:w="4675" w:type="dxa"/>
                <w:noWrap/>
                <w:hideMark/>
              </w:tcPr>
              <w:p w14:paraId="52EE6796"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Waste Management (NAICS 562)</w:t>
                </w:r>
              </w:p>
            </w:tc>
            <w:tc>
              <w:tcPr>
                <w:tcW w:w="2011" w:type="dxa"/>
                <w:noWrap/>
                <w:hideMark/>
              </w:tcPr>
              <w:p w14:paraId="1F08CD0C" w14:textId="3927CA96"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$45,000.00</w:t>
                </w:r>
              </w:p>
            </w:tc>
            <w:tc>
              <w:tcPr>
                <w:tcW w:w="3145" w:type="dxa"/>
                <w:noWrap/>
                <w:hideMark/>
              </w:tcPr>
              <w:p w14:paraId="2FAEF9E3" w14:textId="77777777" w:rsidR="00306802" w:rsidRPr="00AA0228" w:rsidRDefault="00306802" w:rsidP="00AA0228">
                <w:pPr>
                  <w:pStyle w:val="BodyText"/>
                  <w:rPr>
                    <w:rFonts w:eastAsiaTheme="majorEastAsia" w:cstheme="minorHAnsi"/>
                    <w:bCs/>
                    <w:iCs/>
                    <w:sz w:val="18"/>
                    <w:szCs w:val="18"/>
                  </w:rPr>
                </w:pPr>
                <w:r w:rsidRPr="00AA0228">
                  <w:rPr>
                    <w:rFonts w:eastAsiaTheme="majorEastAsia" w:cstheme="minorHAnsi"/>
                    <w:bCs/>
                    <w:iCs/>
                    <w:sz w:val="18"/>
                    <w:szCs w:val="18"/>
                  </w:rPr>
                  <w:t>4</w:t>
                </w:r>
              </w:p>
            </w:tc>
          </w:tr>
          <w:tr w:rsidR="003A0696" w:rsidRPr="00AA0228" w14:paraId="6E2123CF" w14:textId="77777777" w:rsidTr="003A0696">
            <w:trPr>
              <w:cnfStyle w:val="000000100000" w:firstRow="0" w:lastRow="0" w:firstColumn="0" w:lastColumn="0" w:oddVBand="0" w:evenVBand="0" w:oddHBand="1" w:evenHBand="0" w:firstRowFirstColumn="0" w:firstRowLastColumn="0" w:lastRowFirstColumn="0" w:lastRowLastColumn="0"/>
              <w:trHeight w:val="300"/>
            </w:trPr>
            <w:tc>
              <w:tcPr>
                <w:tcW w:w="4675" w:type="dxa"/>
                <w:noWrap/>
                <w:hideMark/>
              </w:tcPr>
              <w:p w14:paraId="516FB55E" w14:textId="77777777" w:rsidR="00306802" w:rsidRPr="00AA0228" w:rsidRDefault="00306802" w:rsidP="00AA0228">
                <w:pPr>
                  <w:pStyle w:val="BodyText"/>
                  <w:rPr>
                    <w:rFonts w:eastAsiaTheme="majorEastAsia" w:cstheme="minorHAnsi"/>
                    <w:b/>
                    <w:bCs/>
                    <w:iCs/>
                    <w:sz w:val="18"/>
                    <w:szCs w:val="18"/>
                  </w:rPr>
                </w:pPr>
                <w:r w:rsidRPr="00AA0228">
                  <w:rPr>
                    <w:rFonts w:eastAsiaTheme="majorEastAsia" w:cstheme="minorHAnsi"/>
                    <w:b/>
                    <w:bCs/>
                    <w:iCs/>
                    <w:sz w:val="18"/>
                    <w:szCs w:val="18"/>
                  </w:rPr>
                  <w:t>Grand Total</w:t>
                </w:r>
              </w:p>
            </w:tc>
            <w:tc>
              <w:tcPr>
                <w:tcW w:w="2011" w:type="dxa"/>
                <w:noWrap/>
                <w:hideMark/>
              </w:tcPr>
              <w:p w14:paraId="458DAA9E" w14:textId="29F221A2" w:rsidR="00306802" w:rsidRPr="00AA0228" w:rsidRDefault="00306802" w:rsidP="00AA0228">
                <w:pPr>
                  <w:pStyle w:val="BodyText"/>
                  <w:rPr>
                    <w:rFonts w:eastAsiaTheme="majorEastAsia" w:cstheme="minorHAnsi"/>
                    <w:b/>
                    <w:bCs/>
                    <w:iCs/>
                    <w:sz w:val="18"/>
                    <w:szCs w:val="18"/>
                  </w:rPr>
                </w:pPr>
                <w:r w:rsidRPr="00AA0228">
                  <w:rPr>
                    <w:rFonts w:eastAsiaTheme="majorEastAsia" w:cstheme="minorHAnsi"/>
                    <w:b/>
                    <w:bCs/>
                    <w:iCs/>
                    <w:sz w:val="18"/>
                    <w:szCs w:val="18"/>
                  </w:rPr>
                  <w:t>$61,755,000.00</w:t>
                </w:r>
              </w:p>
            </w:tc>
            <w:tc>
              <w:tcPr>
                <w:tcW w:w="3145" w:type="dxa"/>
                <w:noWrap/>
                <w:hideMark/>
              </w:tcPr>
              <w:p w14:paraId="66D75693" w14:textId="77777777" w:rsidR="00306802" w:rsidRPr="00AA0228" w:rsidRDefault="00306802" w:rsidP="00AA0228">
                <w:pPr>
                  <w:pStyle w:val="BodyText"/>
                  <w:rPr>
                    <w:rFonts w:eastAsiaTheme="majorEastAsia" w:cstheme="minorHAnsi"/>
                    <w:b/>
                    <w:bCs/>
                    <w:iCs/>
                    <w:sz w:val="18"/>
                    <w:szCs w:val="18"/>
                  </w:rPr>
                </w:pPr>
                <w:r w:rsidRPr="00AA0228">
                  <w:rPr>
                    <w:rFonts w:eastAsiaTheme="majorEastAsia" w:cstheme="minorHAnsi"/>
                    <w:b/>
                    <w:bCs/>
                    <w:iCs/>
                    <w:sz w:val="18"/>
                    <w:szCs w:val="18"/>
                  </w:rPr>
                  <w:t>5715</w:t>
                </w:r>
              </w:p>
            </w:tc>
          </w:tr>
        </w:tbl>
        <w:p w14:paraId="597E4CCD" w14:textId="3B84AAE9" w:rsidR="00F26F84" w:rsidRDefault="00000000" w:rsidP="00F26F84">
          <w:pPr>
            <w:pStyle w:val="Heading3"/>
            <w:rPr>
              <w:rFonts w:cs="Times New Roman"/>
              <w:b w:val="0"/>
              <w:iCs/>
              <w:color w:val="auto"/>
              <w:szCs w:val="22"/>
            </w:rPr>
          </w:pPr>
        </w:p>
      </w:sdtContent>
    </w:sdt>
    <w:p w14:paraId="6B9D72DA" w14:textId="7BD0CC08" w:rsidR="0051600F" w:rsidRDefault="0051600F" w:rsidP="0051600F">
      <w:pPr>
        <w:pStyle w:val="Heading2"/>
      </w:pPr>
      <w:bookmarkStart w:id="13" w:name="_Toc128997611"/>
      <w:r w:rsidRPr="0051600F">
        <w:t xml:space="preserve">Cultural Mall </w:t>
      </w:r>
      <w:r>
        <w:t xml:space="preserve">Operator </w:t>
      </w:r>
      <w:r w:rsidRPr="0051600F">
        <w:t>Grant Program</w:t>
      </w:r>
      <w:bookmarkEnd w:id="13"/>
      <w:r w:rsidRPr="0051600F">
        <w:t xml:space="preserve"> </w:t>
      </w:r>
    </w:p>
    <w:p w14:paraId="2B5FC417" w14:textId="3B899BBC" w:rsidR="0051600F" w:rsidRDefault="00AE644E" w:rsidP="0051600F">
      <w:pPr>
        <w:pStyle w:val="BodyText"/>
      </w:pPr>
      <w:r w:rsidRPr="00AE644E">
        <w:t>Laws of Minnesota 2021, First Special Session, chapter 10, art. 2, sec. 22</w:t>
      </w:r>
      <w:r>
        <w:t xml:space="preserve"> </w:t>
      </w:r>
      <w:r w:rsidR="0051600F">
        <w:t>authorize</w:t>
      </w:r>
      <w:r w:rsidR="00515693">
        <w:t>s</w:t>
      </w:r>
      <w:r w:rsidR="0051600F">
        <w:t xml:space="preserve"> $</w:t>
      </w:r>
      <w:r>
        <w:t>3</w:t>
      </w:r>
      <w:r w:rsidR="0051600F">
        <w:t xml:space="preserve"> million of </w:t>
      </w:r>
      <w:r w:rsidR="00F21BC5">
        <w:t>Main Street COVID-19 Relief Grant</w:t>
      </w:r>
      <w:r w:rsidR="0051600F">
        <w:t xml:space="preserve"> program funding for the Cultural Mall Operator Grant program. </w:t>
      </w:r>
    </w:p>
    <w:p w14:paraId="3CC12FE7" w14:textId="21C8C303" w:rsidR="0051600F" w:rsidRDefault="0051600F" w:rsidP="0051600F">
      <w:pPr>
        <w:pStyle w:val="BodyText"/>
      </w:pPr>
      <w:r>
        <w:t xml:space="preserve">This program </w:t>
      </w:r>
      <w:r w:rsidR="00CA6BE0">
        <w:t>provides grants</w:t>
      </w:r>
      <w:r>
        <w:t xml:space="preserve"> up to $</w:t>
      </w:r>
      <w:r w:rsidR="00AE644E">
        <w:t>300</w:t>
      </w:r>
      <w:r>
        <w:t>,000 to Minnesota-based operators of privately owned, permanent indoor retail space and food markets that have an ethnic cultural emphasis. A total of $</w:t>
      </w:r>
      <w:r w:rsidR="00AE644E">
        <w:t>3</w:t>
      </w:r>
      <w:r>
        <w:t xml:space="preserve"> million is available for grant awards.</w:t>
      </w:r>
    </w:p>
    <w:p w14:paraId="3197BE0B" w14:textId="11B2550C" w:rsidR="00026D2C" w:rsidRDefault="00026D2C" w:rsidP="00026D2C">
      <w:pPr>
        <w:pStyle w:val="BodyText"/>
      </w:pPr>
      <w:r>
        <w:t>To qualify, an applicant must:</w:t>
      </w:r>
    </w:p>
    <w:p w14:paraId="25627EF2" w14:textId="77777777" w:rsidR="00026D2C" w:rsidRDefault="00026D2C" w:rsidP="00026D2C">
      <w:pPr>
        <w:pStyle w:val="List"/>
      </w:pPr>
      <w:r>
        <w:t>Be an operator of a privately owned, permanent indoor retail space and food market located in Minnesota.</w:t>
      </w:r>
    </w:p>
    <w:p w14:paraId="4EACC050" w14:textId="277707F0" w:rsidR="00026D2C" w:rsidRDefault="00026D2C" w:rsidP="00026D2C">
      <w:pPr>
        <w:pStyle w:val="List"/>
      </w:pPr>
      <w:r>
        <w:t xml:space="preserve">Be a facility that leases space to </w:t>
      </w:r>
      <w:r w:rsidR="00AE644E">
        <w:t>12</w:t>
      </w:r>
      <w:r>
        <w:t xml:space="preserve"> or more tenants.</w:t>
      </w:r>
    </w:p>
    <w:p w14:paraId="545A91F5" w14:textId="77777777" w:rsidR="00026D2C" w:rsidRDefault="00026D2C" w:rsidP="00026D2C">
      <w:pPr>
        <w:pStyle w:val="List"/>
      </w:pPr>
      <w:r>
        <w:t>Be a facility in which 50% or more of the tenants have fewer than 20 employees.</w:t>
      </w:r>
    </w:p>
    <w:p w14:paraId="5265426E" w14:textId="77777777" w:rsidR="00026D2C" w:rsidRDefault="00026D2C" w:rsidP="00026D2C">
      <w:pPr>
        <w:pStyle w:val="List"/>
      </w:pPr>
      <w:r>
        <w:t>Be a facility in which 50% or more of tenant businesses are majority owned by one or more individuals who identify as one or more of the following racial or ethnic categories: Black, African American, Asian or Pacific Islanders, Hispanic, Latinx, American Indian, Alaska Native, or other racial or ethnic minority.</w:t>
      </w:r>
    </w:p>
    <w:p w14:paraId="1E0F830F" w14:textId="5FCB24A3" w:rsidR="0051600F" w:rsidRDefault="00026D2C" w:rsidP="00026D2C">
      <w:pPr>
        <w:pStyle w:val="BodyText"/>
      </w:pPr>
      <w:r>
        <w:lastRenderedPageBreak/>
        <w:t xml:space="preserve">Application </w:t>
      </w:r>
      <w:proofErr w:type="gramStart"/>
      <w:r>
        <w:t>are</w:t>
      </w:r>
      <w:proofErr w:type="gramEnd"/>
      <w:r>
        <w:t xml:space="preserve"> collected </w:t>
      </w:r>
      <w:r w:rsidR="00FE7083">
        <w:t xml:space="preserve">and reviewed </w:t>
      </w:r>
      <w:r>
        <w:t xml:space="preserve">by DEED and </w:t>
      </w:r>
      <w:r w:rsidR="00FE7083">
        <w:t>grants are</w:t>
      </w:r>
      <w:r w:rsidR="0051600F">
        <w:t xml:space="preserve"> administered </w:t>
      </w:r>
      <w:r w:rsidR="00FE7083">
        <w:t xml:space="preserve">and disbursed </w:t>
      </w:r>
      <w:r w:rsidR="0051600F">
        <w:t xml:space="preserve">by qualified local and regionally based nonprofit organizations also participating in the </w:t>
      </w:r>
      <w:r w:rsidR="00F21BC5">
        <w:t>Main Street COVID-19 Relief Grant</w:t>
      </w:r>
      <w:r w:rsidR="0051600F">
        <w:t xml:space="preserve"> program. </w:t>
      </w:r>
      <w:r w:rsidR="00C47A29">
        <w:t>All but $</w:t>
      </w:r>
      <w:r w:rsidR="00AE644E">
        <w:t>25</w:t>
      </w:r>
      <w:r w:rsidR="00C47A29">
        <w:t>,000 of g</w:t>
      </w:r>
      <w:r w:rsidR="0051600F">
        <w:t>rant funds received by cultural mall operators must be used to make subgrants to existing tenants of the operator for maintaining existing tenants</w:t>
      </w:r>
      <w:r w:rsidR="00AE644E">
        <w:t xml:space="preserve"> in the form of rent forgiveness or credit towards future rent.</w:t>
      </w:r>
      <w:r w:rsidR="0051600F">
        <w:t xml:space="preserve"> </w:t>
      </w:r>
    </w:p>
    <w:p w14:paraId="2A3AB894" w14:textId="598DD168" w:rsidR="00515693" w:rsidRDefault="00515693" w:rsidP="0051600F">
      <w:pPr>
        <w:pStyle w:val="BodyText"/>
      </w:pPr>
      <w:r>
        <w:t xml:space="preserve">DEED Received </w:t>
      </w:r>
      <w:r w:rsidR="007A5B25">
        <w:t>23</w:t>
      </w:r>
      <w:r>
        <w:t xml:space="preserve"> applications and approved </w:t>
      </w:r>
      <w:r w:rsidR="00D1692C">
        <w:t>1</w:t>
      </w:r>
      <w:r w:rsidR="007A5B25">
        <w:t>1</w:t>
      </w:r>
      <w:r w:rsidR="00D1692C">
        <w:t xml:space="preserve"> facilities for a grant. As of this report</w:t>
      </w:r>
      <w:r w:rsidR="00031F5A">
        <w:t xml:space="preserve">, all </w:t>
      </w:r>
      <w:r w:rsidR="00D1692C">
        <w:t>facilities have completed the eligibility review, reporting and fund request process.</w:t>
      </w:r>
    </w:p>
    <w:p w14:paraId="687CD3EE" w14:textId="23D4D7AF" w:rsidR="00D1692C" w:rsidRDefault="00D1692C" w:rsidP="00D1692C">
      <w:pPr>
        <w:pStyle w:val="BodyText"/>
        <w:jc w:val="center"/>
        <w:rPr>
          <w:b/>
          <w:bCs/>
        </w:rPr>
      </w:pPr>
      <w:r w:rsidRPr="00D1692C">
        <w:rPr>
          <w:b/>
          <w:bCs/>
        </w:rPr>
        <w:t xml:space="preserve">Figure </w:t>
      </w:r>
      <w:r w:rsidR="00026D2C">
        <w:rPr>
          <w:b/>
          <w:bCs/>
        </w:rPr>
        <w:t>5</w:t>
      </w:r>
      <w:r w:rsidRPr="00D1692C">
        <w:rPr>
          <w:b/>
          <w:bCs/>
        </w:rPr>
        <w:t xml:space="preserve"> – Cultural Mall Operator Grant Activity</w:t>
      </w:r>
    </w:p>
    <w:p w14:paraId="31FC3DDE" w14:textId="34DE464A" w:rsidR="007A5B25" w:rsidRDefault="007A5B25" w:rsidP="007A5B25">
      <w:pPr>
        <w:pStyle w:val="BodyText"/>
        <w:rPr>
          <w:b/>
          <w:bCs/>
        </w:rPr>
      </w:pPr>
    </w:p>
    <w:tbl>
      <w:tblPr>
        <w:tblStyle w:val="TableGrid1"/>
        <w:tblW w:w="9320" w:type="dxa"/>
        <w:tblLook w:val="04A0" w:firstRow="1" w:lastRow="0" w:firstColumn="1" w:lastColumn="0" w:noHBand="0" w:noVBand="1"/>
      </w:tblPr>
      <w:tblGrid>
        <w:gridCol w:w="3734"/>
        <w:gridCol w:w="1673"/>
        <w:gridCol w:w="1912"/>
        <w:gridCol w:w="2001"/>
      </w:tblGrid>
      <w:tr w:rsidR="003A0696" w:rsidRPr="003A0696" w14:paraId="5AD5221F" w14:textId="77777777" w:rsidTr="003A0696">
        <w:trPr>
          <w:cnfStyle w:val="100000000000" w:firstRow="1" w:lastRow="0" w:firstColumn="0" w:lastColumn="0" w:oddVBand="0" w:evenVBand="0" w:oddHBand="0" w:evenHBand="0" w:firstRowFirstColumn="0" w:firstRowLastColumn="0" w:lastRowFirstColumn="0" w:lastRowLastColumn="0"/>
          <w:trHeight w:val="773"/>
        </w:trPr>
        <w:tc>
          <w:tcPr>
            <w:tcW w:w="3734" w:type="dxa"/>
            <w:hideMark/>
          </w:tcPr>
          <w:p w14:paraId="6215A58A" w14:textId="77777777" w:rsidR="003A0696" w:rsidRPr="003A0696" w:rsidRDefault="003A0696" w:rsidP="003A0696">
            <w:pPr>
              <w:spacing w:before="0"/>
              <w:rPr>
                <w:rFonts w:asciiTheme="minorHAnsi" w:hAnsiTheme="minorHAnsi" w:cstheme="minorHAnsi"/>
                <w:bCs/>
                <w:lang w:bidi="ar-SA"/>
              </w:rPr>
            </w:pPr>
            <w:r w:rsidRPr="003A0696">
              <w:rPr>
                <w:rFonts w:asciiTheme="minorHAnsi" w:hAnsiTheme="minorHAnsi" w:cstheme="minorHAnsi"/>
                <w:bCs/>
                <w:lang w:bidi="ar-SA"/>
              </w:rPr>
              <w:t>Cultural Mall</w:t>
            </w:r>
          </w:p>
        </w:tc>
        <w:tc>
          <w:tcPr>
            <w:tcW w:w="1673" w:type="dxa"/>
            <w:hideMark/>
          </w:tcPr>
          <w:p w14:paraId="737C8568" w14:textId="77777777" w:rsidR="003A0696" w:rsidRPr="003A0696" w:rsidRDefault="003A0696" w:rsidP="003A0696">
            <w:pPr>
              <w:spacing w:before="0"/>
              <w:rPr>
                <w:rFonts w:asciiTheme="minorHAnsi" w:hAnsiTheme="minorHAnsi" w:cstheme="minorHAnsi"/>
                <w:bCs/>
                <w:lang w:bidi="ar-SA"/>
              </w:rPr>
            </w:pPr>
            <w:r w:rsidRPr="003A0696">
              <w:rPr>
                <w:rFonts w:asciiTheme="minorHAnsi" w:hAnsiTheme="minorHAnsi" w:cstheme="minorHAnsi"/>
                <w:bCs/>
                <w:lang w:bidi="ar-SA"/>
              </w:rPr>
              <w:t>City</w:t>
            </w:r>
          </w:p>
        </w:tc>
        <w:tc>
          <w:tcPr>
            <w:tcW w:w="1912" w:type="dxa"/>
            <w:hideMark/>
          </w:tcPr>
          <w:p w14:paraId="0B16E4AA" w14:textId="77777777" w:rsidR="003A0696" w:rsidRPr="003A0696" w:rsidRDefault="003A0696" w:rsidP="003A0696">
            <w:pPr>
              <w:spacing w:before="0"/>
              <w:rPr>
                <w:rFonts w:asciiTheme="minorHAnsi" w:hAnsiTheme="minorHAnsi" w:cstheme="minorHAnsi"/>
                <w:bCs/>
                <w:lang w:bidi="ar-SA"/>
              </w:rPr>
            </w:pPr>
            <w:r w:rsidRPr="003A0696">
              <w:rPr>
                <w:rFonts w:asciiTheme="minorHAnsi" w:hAnsiTheme="minorHAnsi" w:cstheme="minorHAnsi"/>
                <w:bCs/>
                <w:lang w:bidi="ar-SA"/>
              </w:rPr>
              <w:t xml:space="preserve"># </w:t>
            </w:r>
            <w:proofErr w:type="gramStart"/>
            <w:r w:rsidRPr="003A0696">
              <w:rPr>
                <w:rFonts w:asciiTheme="minorHAnsi" w:hAnsiTheme="minorHAnsi" w:cstheme="minorHAnsi"/>
                <w:bCs/>
                <w:lang w:bidi="ar-SA"/>
              </w:rPr>
              <w:t>of</w:t>
            </w:r>
            <w:proofErr w:type="gramEnd"/>
            <w:r w:rsidRPr="003A0696">
              <w:rPr>
                <w:rFonts w:asciiTheme="minorHAnsi" w:hAnsiTheme="minorHAnsi" w:cstheme="minorHAnsi"/>
                <w:bCs/>
                <w:lang w:bidi="ar-SA"/>
              </w:rPr>
              <w:t xml:space="preserve"> Tenants</w:t>
            </w:r>
          </w:p>
        </w:tc>
        <w:tc>
          <w:tcPr>
            <w:tcW w:w="2001" w:type="dxa"/>
            <w:hideMark/>
          </w:tcPr>
          <w:p w14:paraId="084F073B" w14:textId="77777777" w:rsidR="003A0696" w:rsidRPr="003A0696" w:rsidRDefault="003A0696" w:rsidP="003A0696">
            <w:pPr>
              <w:spacing w:before="0"/>
              <w:rPr>
                <w:rFonts w:asciiTheme="minorHAnsi" w:hAnsiTheme="minorHAnsi" w:cstheme="minorHAnsi"/>
                <w:bCs/>
                <w:lang w:bidi="ar-SA"/>
              </w:rPr>
            </w:pPr>
            <w:r w:rsidRPr="003A0696">
              <w:rPr>
                <w:rFonts w:asciiTheme="minorHAnsi" w:hAnsiTheme="minorHAnsi" w:cstheme="minorHAnsi"/>
                <w:bCs/>
                <w:lang w:bidi="ar-SA"/>
              </w:rPr>
              <w:t>Award</w:t>
            </w:r>
          </w:p>
        </w:tc>
      </w:tr>
      <w:tr w:rsidR="003A0696" w:rsidRPr="003A0696" w14:paraId="1732F377" w14:textId="77777777" w:rsidTr="003A0696">
        <w:trPr>
          <w:cnfStyle w:val="000000100000" w:firstRow="0" w:lastRow="0" w:firstColumn="0" w:lastColumn="0" w:oddVBand="0" w:evenVBand="0" w:oddHBand="1" w:evenHBand="0" w:firstRowFirstColumn="0" w:firstRowLastColumn="0" w:lastRowFirstColumn="0" w:lastRowLastColumn="0"/>
          <w:trHeight w:val="468"/>
        </w:trPr>
        <w:tc>
          <w:tcPr>
            <w:tcW w:w="3734" w:type="dxa"/>
            <w:noWrap/>
            <w:hideMark/>
          </w:tcPr>
          <w:p w14:paraId="3D8AE83D"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24 Mall</w:t>
            </w:r>
          </w:p>
        </w:tc>
        <w:tc>
          <w:tcPr>
            <w:tcW w:w="1673" w:type="dxa"/>
            <w:noWrap/>
            <w:hideMark/>
          </w:tcPr>
          <w:p w14:paraId="14FC31FF"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Minneapolis</w:t>
            </w:r>
          </w:p>
        </w:tc>
        <w:tc>
          <w:tcPr>
            <w:tcW w:w="1912" w:type="dxa"/>
            <w:noWrap/>
            <w:hideMark/>
          </w:tcPr>
          <w:p w14:paraId="2A16C234"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121</w:t>
            </w:r>
          </w:p>
        </w:tc>
        <w:tc>
          <w:tcPr>
            <w:tcW w:w="2001" w:type="dxa"/>
            <w:noWrap/>
            <w:hideMark/>
          </w:tcPr>
          <w:p w14:paraId="46251211"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68DF1E67" w14:textId="77777777" w:rsidTr="003A0696">
        <w:trPr>
          <w:cnfStyle w:val="000000010000" w:firstRow="0" w:lastRow="0" w:firstColumn="0" w:lastColumn="0" w:oddVBand="0" w:evenVBand="0" w:oddHBand="0" w:evenHBand="1" w:firstRowFirstColumn="0" w:firstRowLastColumn="0" w:lastRowFirstColumn="0" w:lastRowLastColumn="0"/>
          <w:trHeight w:val="468"/>
        </w:trPr>
        <w:tc>
          <w:tcPr>
            <w:tcW w:w="3734" w:type="dxa"/>
            <w:noWrap/>
            <w:hideMark/>
          </w:tcPr>
          <w:p w14:paraId="18B2D52E"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Karmel Mall</w:t>
            </w:r>
          </w:p>
        </w:tc>
        <w:tc>
          <w:tcPr>
            <w:tcW w:w="1673" w:type="dxa"/>
            <w:noWrap/>
            <w:hideMark/>
          </w:tcPr>
          <w:p w14:paraId="1FA8FAFD"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Minneapolis</w:t>
            </w:r>
          </w:p>
        </w:tc>
        <w:tc>
          <w:tcPr>
            <w:tcW w:w="1912" w:type="dxa"/>
            <w:noWrap/>
            <w:hideMark/>
          </w:tcPr>
          <w:p w14:paraId="30B17502"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w:t>
            </w:r>
          </w:p>
        </w:tc>
        <w:tc>
          <w:tcPr>
            <w:tcW w:w="2001" w:type="dxa"/>
            <w:noWrap/>
            <w:hideMark/>
          </w:tcPr>
          <w:p w14:paraId="22E290F0"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23F586C3" w14:textId="77777777" w:rsidTr="003A0696">
        <w:trPr>
          <w:cnfStyle w:val="000000100000" w:firstRow="0" w:lastRow="0" w:firstColumn="0" w:lastColumn="0" w:oddVBand="0" w:evenVBand="0" w:oddHBand="1" w:evenHBand="0" w:firstRowFirstColumn="0" w:firstRowLastColumn="0" w:lastRowFirstColumn="0" w:lastRowLastColumn="0"/>
          <w:trHeight w:val="468"/>
        </w:trPr>
        <w:tc>
          <w:tcPr>
            <w:tcW w:w="3734" w:type="dxa"/>
            <w:noWrap/>
            <w:hideMark/>
          </w:tcPr>
          <w:p w14:paraId="529E3FBE"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Mercado Central</w:t>
            </w:r>
          </w:p>
        </w:tc>
        <w:tc>
          <w:tcPr>
            <w:tcW w:w="1673" w:type="dxa"/>
            <w:noWrap/>
            <w:hideMark/>
          </w:tcPr>
          <w:p w14:paraId="1C002C33"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Minneapolis</w:t>
            </w:r>
          </w:p>
        </w:tc>
        <w:tc>
          <w:tcPr>
            <w:tcW w:w="1912" w:type="dxa"/>
            <w:noWrap/>
            <w:hideMark/>
          </w:tcPr>
          <w:p w14:paraId="4DAC61A4"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w:t>
            </w:r>
          </w:p>
        </w:tc>
        <w:tc>
          <w:tcPr>
            <w:tcW w:w="2001" w:type="dxa"/>
            <w:noWrap/>
            <w:hideMark/>
          </w:tcPr>
          <w:p w14:paraId="692AA47F"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6DA4507D" w14:textId="77777777" w:rsidTr="003A0696">
        <w:trPr>
          <w:cnfStyle w:val="000000010000" w:firstRow="0" w:lastRow="0" w:firstColumn="0" w:lastColumn="0" w:oddVBand="0" w:evenVBand="0" w:oddHBand="0" w:evenHBand="1" w:firstRowFirstColumn="0" w:firstRowLastColumn="0" w:lastRowFirstColumn="0" w:lastRowLastColumn="0"/>
          <w:trHeight w:val="468"/>
        </w:trPr>
        <w:tc>
          <w:tcPr>
            <w:tcW w:w="3734" w:type="dxa"/>
            <w:noWrap/>
            <w:hideMark/>
          </w:tcPr>
          <w:p w14:paraId="1D3FAC87"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 xml:space="preserve">Midtown Global Market </w:t>
            </w:r>
          </w:p>
        </w:tc>
        <w:tc>
          <w:tcPr>
            <w:tcW w:w="1673" w:type="dxa"/>
            <w:noWrap/>
            <w:hideMark/>
          </w:tcPr>
          <w:p w14:paraId="2ECA67AC"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Minneapolis</w:t>
            </w:r>
          </w:p>
        </w:tc>
        <w:tc>
          <w:tcPr>
            <w:tcW w:w="1912" w:type="dxa"/>
            <w:noWrap/>
            <w:hideMark/>
          </w:tcPr>
          <w:p w14:paraId="25F806E8"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35</w:t>
            </w:r>
          </w:p>
        </w:tc>
        <w:tc>
          <w:tcPr>
            <w:tcW w:w="2001" w:type="dxa"/>
            <w:noWrap/>
            <w:hideMark/>
          </w:tcPr>
          <w:p w14:paraId="372DA875"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2DF72DF5" w14:textId="77777777" w:rsidTr="003A0696">
        <w:trPr>
          <w:cnfStyle w:val="000000100000" w:firstRow="0" w:lastRow="0" w:firstColumn="0" w:lastColumn="0" w:oddVBand="0" w:evenVBand="0" w:oddHBand="1" w:evenHBand="0" w:firstRowFirstColumn="0" w:firstRowLastColumn="0" w:lastRowFirstColumn="0" w:lastRowLastColumn="0"/>
          <w:trHeight w:val="468"/>
        </w:trPr>
        <w:tc>
          <w:tcPr>
            <w:tcW w:w="3734" w:type="dxa"/>
            <w:noWrap/>
            <w:hideMark/>
          </w:tcPr>
          <w:p w14:paraId="53B0D042"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Plaza Mexico</w:t>
            </w:r>
          </w:p>
        </w:tc>
        <w:tc>
          <w:tcPr>
            <w:tcW w:w="1673" w:type="dxa"/>
            <w:noWrap/>
            <w:hideMark/>
          </w:tcPr>
          <w:p w14:paraId="41324FC4"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Minneapolis</w:t>
            </w:r>
          </w:p>
        </w:tc>
        <w:tc>
          <w:tcPr>
            <w:tcW w:w="1912" w:type="dxa"/>
            <w:noWrap/>
            <w:hideMark/>
          </w:tcPr>
          <w:p w14:paraId="422AD93C"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63</w:t>
            </w:r>
          </w:p>
        </w:tc>
        <w:tc>
          <w:tcPr>
            <w:tcW w:w="2001" w:type="dxa"/>
            <w:noWrap/>
            <w:hideMark/>
          </w:tcPr>
          <w:p w14:paraId="00DCB422"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27D68F8D" w14:textId="77777777" w:rsidTr="003A0696">
        <w:trPr>
          <w:cnfStyle w:val="000000010000" w:firstRow="0" w:lastRow="0" w:firstColumn="0" w:lastColumn="0" w:oddVBand="0" w:evenVBand="0" w:oddHBand="0" w:evenHBand="1" w:firstRowFirstColumn="0" w:firstRowLastColumn="0" w:lastRowFirstColumn="0" w:lastRowLastColumn="0"/>
          <w:trHeight w:val="468"/>
        </w:trPr>
        <w:tc>
          <w:tcPr>
            <w:tcW w:w="3734" w:type="dxa"/>
            <w:noWrap/>
            <w:hideMark/>
          </w:tcPr>
          <w:p w14:paraId="7EAACCEB"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Riverside Mall</w:t>
            </w:r>
          </w:p>
        </w:tc>
        <w:tc>
          <w:tcPr>
            <w:tcW w:w="1673" w:type="dxa"/>
            <w:noWrap/>
            <w:hideMark/>
          </w:tcPr>
          <w:p w14:paraId="7984528F"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Minneapolis</w:t>
            </w:r>
          </w:p>
        </w:tc>
        <w:tc>
          <w:tcPr>
            <w:tcW w:w="1912" w:type="dxa"/>
            <w:noWrap/>
            <w:hideMark/>
          </w:tcPr>
          <w:p w14:paraId="646031DB"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34</w:t>
            </w:r>
          </w:p>
        </w:tc>
        <w:tc>
          <w:tcPr>
            <w:tcW w:w="2001" w:type="dxa"/>
            <w:noWrap/>
            <w:hideMark/>
          </w:tcPr>
          <w:p w14:paraId="59658CC7"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7398D437" w14:textId="77777777" w:rsidTr="003A0696">
        <w:trPr>
          <w:cnfStyle w:val="000000100000" w:firstRow="0" w:lastRow="0" w:firstColumn="0" w:lastColumn="0" w:oddVBand="0" w:evenVBand="0" w:oddHBand="1" w:evenHBand="0" w:firstRowFirstColumn="0" w:firstRowLastColumn="0" w:lastRowFirstColumn="0" w:lastRowLastColumn="0"/>
          <w:trHeight w:val="468"/>
        </w:trPr>
        <w:tc>
          <w:tcPr>
            <w:tcW w:w="3734" w:type="dxa"/>
            <w:noWrap/>
            <w:hideMark/>
          </w:tcPr>
          <w:p w14:paraId="6D4DE538"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Jigjiga Business Center</w:t>
            </w:r>
          </w:p>
        </w:tc>
        <w:tc>
          <w:tcPr>
            <w:tcW w:w="1673" w:type="dxa"/>
            <w:noWrap/>
            <w:hideMark/>
          </w:tcPr>
          <w:p w14:paraId="605F7CBE"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 xml:space="preserve">Minneapolis </w:t>
            </w:r>
          </w:p>
        </w:tc>
        <w:tc>
          <w:tcPr>
            <w:tcW w:w="1912" w:type="dxa"/>
            <w:noWrap/>
            <w:hideMark/>
          </w:tcPr>
          <w:p w14:paraId="4A417856"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27</w:t>
            </w:r>
          </w:p>
        </w:tc>
        <w:tc>
          <w:tcPr>
            <w:tcW w:w="2001" w:type="dxa"/>
            <w:noWrap/>
            <w:hideMark/>
          </w:tcPr>
          <w:p w14:paraId="4CB269FC"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$200,000</w:t>
            </w:r>
          </w:p>
        </w:tc>
      </w:tr>
      <w:tr w:rsidR="003A0696" w:rsidRPr="003A0696" w14:paraId="21E4D264" w14:textId="77777777" w:rsidTr="003A0696">
        <w:trPr>
          <w:cnfStyle w:val="000000010000" w:firstRow="0" w:lastRow="0" w:firstColumn="0" w:lastColumn="0" w:oddVBand="0" w:evenVBand="0" w:oddHBand="0" w:evenHBand="1" w:firstRowFirstColumn="0" w:firstRowLastColumn="0" w:lastRowFirstColumn="0" w:lastRowLastColumn="0"/>
          <w:trHeight w:val="468"/>
        </w:trPr>
        <w:tc>
          <w:tcPr>
            <w:tcW w:w="3734" w:type="dxa"/>
            <w:noWrap/>
            <w:hideMark/>
          </w:tcPr>
          <w:p w14:paraId="491242DB"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Century Plaza</w:t>
            </w:r>
          </w:p>
        </w:tc>
        <w:tc>
          <w:tcPr>
            <w:tcW w:w="1673" w:type="dxa"/>
            <w:noWrap/>
            <w:hideMark/>
          </w:tcPr>
          <w:p w14:paraId="5C9BB595"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Saint Paul</w:t>
            </w:r>
          </w:p>
        </w:tc>
        <w:tc>
          <w:tcPr>
            <w:tcW w:w="1912" w:type="dxa"/>
            <w:noWrap/>
            <w:hideMark/>
          </w:tcPr>
          <w:p w14:paraId="5C91EFCA" w14:textId="750BEBC3"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2</w:t>
            </w:r>
            <w:r w:rsidR="004A6BAB">
              <w:rPr>
                <w:rFonts w:asciiTheme="minorHAnsi" w:hAnsiTheme="minorHAnsi" w:cstheme="minorHAnsi"/>
                <w:color w:val="000000"/>
                <w:lang w:bidi="ar-SA"/>
              </w:rPr>
              <w:t>5</w:t>
            </w:r>
          </w:p>
        </w:tc>
        <w:tc>
          <w:tcPr>
            <w:tcW w:w="2001" w:type="dxa"/>
            <w:noWrap/>
            <w:hideMark/>
          </w:tcPr>
          <w:p w14:paraId="65A91057"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6853BDE7" w14:textId="77777777" w:rsidTr="003A0696">
        <w:trPr>
          <w:cnfStyle w:val="000000100000" w:firstRow="0" w:lastRow="0" w:firstColumn="0" w:lastColumn="0" w:oddVBand="0" w:evenVBand="0" w:oddHBand="1" w:evenHBand="0" w:firstRowFirstColumn="0" w:firstRowLastColumn="0" w:lastRowFirstColumn="0" w:lastRowLastColumn="0"/>
          <w:trHeight w:val="468"/>
        </w:trPr>
        <w:tc>
          <w:tcPr>
            <w:tcW w:w="3734" w:type="dxa"/>
            <w:noWrap/>
            <w:hideMark/>
          </w:tcPr>
          <w:p w14:paraId="626818AC"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Hmong Village</w:t>
            </w:r>
          </w:p>
        </w:tc>
        <w:tc>
          <w:tcPr>
            <w:tcW w:w="1673" w:type="dxa"/>
            <w:noWrap/>
            <w:hideMark/>
          </w:tcPr>
          <w:p w14:paraId="4E87703A"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Saint Paul</w:t>
            </w:r>
          </w:p>
        </w:tc>
        <w:tc>
          <w:tcPr>
            <w:tcW w:w="1912" w:type="dxa"/>
            <w:noWrap/>
            <w:hideMark/>
          </w:tcPr>
          <w:p w14:paraId="3CE93092"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253</w:t>
            </w:r>
          </w:p>
        </w:tc>
        <w:tc>
          <w:tcPr>
            <w:tcW w:w="2001" w:type="dxa"/>
            <w:noWrap/>
            <w:hideMark/>
          </w:tcPr>
          <w:p w14:paraId="58F9202A"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0F931C06" w14:textId="77777777" w:rsidTr="003A0696">
        <w:trPr>
          <w:cnfStyle w:val="000000010000" w:firstRow="0" w:lastRow="0" w:firstColumn="0" w:lastColumn="0" w:oddVBand="0" w:evenVBand="0" w:oddHBand="0" w:evenHBand="1" w:firstRowFirstColumn="0" w:firstRowLastColumn="0" w:lastRowFirstColumn="0" w:lastRowLastColumn="0"/>
          <w:trHeight w:val="468"/>
        </w:trPr>
        <w:tc>
          <w:tcPr>
            <w:tcW w:w="3734" w:type="dxa"/>
            <w:noWrap/>
            <w:hideMark/>
          </w:tcPr>
          <w:p w14:paraId="6FA92E2B"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Hmongtown Market Place</w:t>
            </w:r>
          </w:p>
        </w:tc>
        <w:tc>
          <w:tcPr>
            <w:tcW w:w="1673" w:type="dxa"/>
            <w:noWrap/>
            <w:hideMark/>
          </w:tcPr>
          <w:p w14:paraId="485D0D00"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Saint Paul</w:t>
            </w:r>
          </w:p>
        </w:tc>
        <w:tc>
          <w:tcPr>
            <w:tcW w:w="1912" w:type="dxa"/>
            <w:noWrap/>
            <w:hideMark/>
          </w:tcPr>
          <w:p w14:paraId="34C889B3"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109</w:t>
            </w:r>
          </w:p>
        </w:tc>
        <w:tc>
          <w:tcPr>
            <w:tcW w:w="2001" w:type="dxa"/>
            <w:noWrap/>
            <w:hideMark/>
          </w:tcPr>
          <w:p w14:paraId="0C57638F"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$300,000</w:t>
            </w:r>
          </w:p>
        </w:tc>
      </w:tr>
      <w:tr w:rsidR="003A0696" w:rsidRPr="003A0696" w14:paraId="28BC2980" w14:textId="77777777" w:rsidTr="003A0696">
        <w:trPr>
          <w:cnfStyle w:val="000000100000" w:firstRow="0" w:lastRow="0" w:firstColumn="0" w:lastColumn="0" w:oddVBand="0" w:evenVBand="0" w:oddHBand="1" w:evenHBand="0" w:firstRowFirstColumn="0" w:firstRowLastColumn="0" w:lastRowFirstColumn="0" w:lastRowLastColumn="0"/>
          <w:trHeight w:val="468"/>
        </w:trPr>
        <w:tc>
          <w:tcPr>
            <w:tcW w:w="3734" w:type="dxa"/>
            <w:noWrap/>
            <w:hideMark/>
          </w:tcPr>
          <w:p w14:paraId="19A6D911"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Midtown Plaza</w:t>
            </w:r>
          </w:p>
        </w:tc>
        <w:tc>
          <w:tcPr>
            <w:tcW w:w="1673" w:type="dxa"/>
            <w:noWrap/>
            <w:hideMark/>
          </w:tcPr>
          <w:p w14:paraId="30E20E35" w14:textId="77777777" w:rsidR="003A0696" w:rsidRPr="003A0696" w:rsidRDefault="003A0696" w:rsidP="003A0696">
            <w:pPr>
              <w:spacing w:before="0"/>
              <w:rPr>
                <w:rFonts w:asciiTheme="minorHAnsi" w:hAnsiTheme="minorHAnsi" w:cstheme="minorHAnsi"/>
                <w:color w:val="000000"/>
                <w:lang w:bidi="ar-SA"/>
              </w:rPr>
            </w:pPr>
            <w:r w:rsidRPr="003A0696">
              <w:rPr>
                <w:rFonts w:asciiTheme="minorHAnsi" w:hAnsiTheme="minorHAnsi" w:cstheme="minorHAnsi"/>
                <w:color w:val="000000"/>
                <w:lang w:bidi="ar-SA"/>
              </w:rPr>
              <w:t>Willmar</w:t>
            </w:r>
          </w:p>
        </w:tc>
        <w:tc>
          <w:tcPr>
            <w:tcW w:w="1912" w:type="dxa"/>
            <w:noWrap/>
            <w:hideMark/>
          </w:tcPr>
          <w:p w14:paraId="6B47E776"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12</w:t>
            </w:r>
          </w:p>
        </w:tc>
        <w:tc>
          <w:tcPr>
            <w:tcW w:w="2001" w:type="dxa"/>
            <w:noWrap/>
            <w:hideMark/>
          </w:tcPr>
          <w:p w14:paraId="40877C66" w14:textId="77777777" w:rsidR="003A0696" w:rsidRPr="003A0696" w:rsidRDefault="003A0696" w:rsidP="003A0696">
            <w:pPr>
              <w:spacing w:before="0"/>
              <w:jc w:val="right"/>
              <w:rPr>
                <w:rFonts w:asciiTheme="minorHAnsi" w:hAnsiTheme="minorHAnsi" w:cstheme="minorHAnsi"/>
                <w:color w:val="000000"/>
                <w:lang w:bidi="ar-SA"/>
              </w:rPr>
            </w:pPr>
            <w:r w:rsidRPr="003A0696">
              <w:rPr>
                <w:rFonts w:asciiTheme="minorHAnsi" w:hAnsiTheme="minorHAnsi" w:cstheme="minorHAnsi"/>
                <w:color w:val="000000"/>
                <w:lang w:bidi="ar-SA"/>
              </w:rPr>
              <w:t>$80,000</w:t>
            </w:r>
          </w:p>
        </w:tc>
      </w:tr>
    </w:tbl>
    <w:p w14:paraId="222B1948" w14:textId="07E26B5A" w:rsidR="0051600F" w:rsidRPr="0051600F" w:rsidRDefault="0051600F" w:rsidP="00026D2C">
      <w:pPr>
        <w:pStyle w:val="List"/>
        <w:numPr>
          <w:ilvl w:val="0"/>
          <w:numId w:val="0"/>
        </w:numPr>
      </w:pPr>
    </w:p>
    <w:sectPr w:rsidR="0051600F" w:rsidRPr="0051600F" w:rsidSect="00116A9F">
      <w:headerReference w:type="first" r:id="rId17"/>
      <w:type w:val="continuous"/>
      <w:pgSz w:w="12240" w:h="16340"/>
      <w:pgMar w:top="900" w:right="1134" w:bottom="672" w:left="126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0F7E" w14:textId="77777777" w:rsidR="005D782E" w:rsidRDefault="005D782E">
      <w:r>
        <w:separator/>
      </w:r>
    </w:p>
  </w:endnote>
  <w:endnote w:type="continuationSeparator" w:id="0">
    <w:p w14:paraId="54E8711B" w14:textId="77777777" w:rsidR="005D782E" w:rsidRDefault="005D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56F0" w14:textId="77777777" w:rsidR="00515693" w:rsidRPr="005B2DDF" w:rsidRDefault="00515693"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Urban Initiative Loan Program, 2015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E1B" w14:textId="2400C7F9" w:rsidR="00515693" w:rsidRPr="00AF5107" w:rsidRDefault="00F41511" w:rsidP="004C589F">
    <w:pPr>
      <w:pStyle w:val="Footer"/>
      <w:pBdr>
        <w:top w:val="single" w:sz="4" w:space="11" w:color="BFBFBF" w:themeColor="background1" w:themeShade="BF"/>
      </w:pBdr>
      <w:tabs>
        <w:tab w:val="clear" w:pos="4320"/>
        <w:tab w:val="clear" w:pos="8640"/>
        <w:tab w:val="right" w:pos="10080"/>
      </w:tabs>
      <w:jc w:val="left"/>
      <w:rPr>
        <w:rFonts w:asciiTheme="minorHAnsi" w:hAnsiTheme="minorHAnsi"/>
        <w:sz w:val="18"/>
        <w:szCs w:val="18"/>
      </w:rPr>
    </w:pPr>
    <w:r w:rsidRPr="00F41511">
      <w:rPr>
        <w:rFonts w:asciiTheme="minorHAnsi" w:hAnsiTheme="minorHAnsi"/>
        <w:sz w:val="18"/>
        <w:szCs w:val="18"/>
      </w:rPr>
      <w:t>Report of the Main Street COVID-19 Relief Grant Program</w:t>
    </w:r>
    <w:r w:rsidR="00515693" w:rsidRPr="00AF5107">
      <w:rPr>
        <w:rFonts w:asciiTheme="minorHAnsi" w:hAnsiTheme="minorHAnsi"/>
        <w:sz w:val="18"/>
        <w:szCs w:val="18"/>
      </w:rPr>
      <w:tab/>
    </w:r>
    <w:r w:rsidR="00515693" w:rsidRPr="00AF5107">
      <w:rPr>
        <w:rFonts w:asciiTheme="minorHAnsi" w:hAnsiTheme="minorHAnsi"/>
        <w:sz w:val="18"/>
        <w:szCs w:val="18"/>
      </w:rPr>
      <w:fldChar w:fldCharType="begin"/>
    </w:r>
    <w:r w:rsidR="00515693" w:rsidRPr="00AF5107">
      <w:rPr>
        <w:rFonts w:asciiTheme="minorHAnsi" w:hAnsiTheme="minorHAnsi"/>
        <w:sz w:val="18"/>
        <w:szCs w:val="18"/>
      </w:rPr>
      <w:instrText xml:space="preserve"> PAGE   \* MERGEFORMAT </w:instrText>
    </w:r>
    <w:r w:rsidR="00515693" w:rsidRPr="00AF5107">
      <w:rPr>
        <w:rFonts w:asciiTheme="minorHAnsi" w:hAnsiTheme="minorHAnsi"/>
        <w:sz w:val="18"/>
        <w:szCs w:val="18"/>
      </w:rPr>
      <w:fldChar w:fldCharType="separate"/>
    </w:r>
    <w:r w:rsidR="00515693">
      <w:rPr>
        <w:rFonts w:asciiTheme="minorHAnsi" w:hAnsiTheme="minorHAnsi"/>
        <w:noProof/>
        <w:sz w:val="18"/>
        <w:szCs w:val="18"/>
      </w:rPr>
      <w:t>1</w:t>
    </w:r>
    <w:r w:rsidR="00515693"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D6AD" w14:textId="77777777" w:rsidR="00515693" w:rsidRDefault="005156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1F70" w14:textId="2A821F9A" w:rsidR="00515693" w:rsidRPr="005B2DDF" w:rsidRDefault="003A0696"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3A0696">
      <w:rPr>
        <w:rFonts w:asciiTheme="minorHAnsi" w:hAnsiTheme="minorHAnsi"/>
        <w:sz w:val="18"/>
        <w:szCs w:val="18"/>
      </w:rPr>
      <w:t>Report of the Main Street COVID-19 Relief Grant Program</w:t>
    </w:r>
    <w:r w:rsidR="00515693" w:rsidRPr="00AF5107">
      <w:rPr>
        <w:rFonts w:asciiTheme="minorHAnsi" w:hAnsiTheme="minorHAnsi"/>
        <w:sz w:val="18"/>
        <w:szCs w:val="18"/>
      </w:rPr>
      <w:tab/>
    </w:r>
    <w:r w:rsidR="00515693" w:rsidRPr="00AF5107">
      <w:rPr>
        <w:rFonts w:asciiTheme="minorHAnsi" w:hAnsiTheme="minorHAnsi"/>
        <w:sz w:val="18"/>
        <w:szCs w:val="18"/>
      </w:rPr>
      <w:fldChar w:fldCharType="begin"/>
    </w:r>
    <w:r w:rsidR="00515693" w:rsidRPr="00AF5107">
      <w:rPr>
        <w:rFonts w:asciiTheme="minorHAnsi" w:hAnsiTheme="minorHAnsi"/>
        <w:sz w:val="18"/>
        <w:szCs w:val="18"/>
      </w:rPr>
      <w:instrText xml:space="preserve"> PAGE   \* MERGEFORMAT </w:instrText>
    </w:r>
    <w:r w:rsidR="00515693" w:rsidRPr="00AF5107">
      <w:rPr>
        <w:rFonts w:asciiTheme="minorHAnsi" w:hAnsiTheme="minorHAnsi"/>
        <w:sz w:val="18"/>
        <w:szCs w:val="18"/>
      </w:rPr>
      <w:fldChar w:fldCharType="separate"/>
    </w:r>
    <w:r w:rsidR="00515693">
      <w:rPr>
        <w:rFonts w:asciiTheme="minorHAnsi" w:hAnsiTheme="minorHAnsi"/>
        <w:noProof/>
        <w:sz w:val="18"/>
        <w:szCs w:val="18"/>
      </w:rPr>
      <w:t>3</w:t>
    </w:r>
    <w:r w:rsidR="00515693" w:rsidRPr="00AF5107">
      <w:rPr>
        <w:rFonts w:asciiTheme="minorHAnsi" w:hAnsiTheme="minorHAns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4776" w14:textId="77777777" w:rsidR="00515693" w:rsidRPr="00B62E7B" w:rsidRDefault="00515693" w:rsidP="00FE4DC4">
    <w:pPr>
      <w:pStyle w:val="Footer"/>
      <w:pBdr>
        <w:top w:val="single" w:sz="4" w:space="10" w:color="BFBFBF" w:themeColor="background1" w:themeShade="BF"/>
      </w:pBdr>
      <w:tabs>
        <w:tab w:val="right" w:pos="10080"/>
      </w:tabs>
      <w:jc w:val="left"/>
      <w:rPr>
        <w:rFonts w:asciiTheme="minorHAnsi" w:hAnsiTheme="minorHAnsi"/>
        <w:sz w:val="18"/>
        <w:szCs w:val="18"/>
      </w:rPr>
    </w:pPr>
    <w:r>
      <w:rPr>
        <w:rFonts w:asciiTheme="minorHAnsi" w:hAnsiTheme="minorHAnsi"/>
        <w:sz w:val="18"/>
        <w:szCs w:val="18"/>
      </w:rPr>
      <w:t xml:space="preserve">2018 </w:t>
    </w:r>
    <w:r w:rsidRPr="00B62E7B">
      <w:rPr>
        <w:rFonts w:asciiTheme="minorHAnsi" w:hAnsiTheme="minorHAnsi"/>
        <w:sz w:val="18"/>
        <w:szCs w:val="18"/>
      </w:rPr>
      <w:t>Annual Report of the Emerging Entrepreneur Loan Program</w:t>
    </w:r>
  </w:p>
  <w:p w14:paraId="4833324A" w14:textId="77777777" w:rsidR="00515693" w:rsidRPr="00AF5107" w:rsidRDefault="00515693"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0096" w14:textId="77777777" w:rsidR="005D782E" w:rsidRDefault="005D782E">
      <w:r>
        <w:separator/>
      </w:r>
    </w:p>
  </w:footnote>
  <w:footnote w:type="continuationSeparator" w:id="0">
    <w:p w14:paraId="37E50E6A" w14:textId="77777777" w:rsidR="005D782E" w:rsidRDefault="005D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0FEC" w14:textId="77777777" w:rsidR="00515693" w:rsidRPr="005666F2" w:rsidRDefault="00515693">
    <w:pPr>
      <w:rPr>
        <w:color w:val="003865" w:themeColor="text1"/>
      </w:rPr>
    </w:pPr>
    <w:r>
      <w:rPr>
        <w:noProof/>
        <w:color w:val="003865" w:themeColor="text1"/>
        <w:lang w:bidi="ar-SA"/>
      </w:rPr>
      <w:drawing>
        <wp:inline distT="0" distB="0" distL="0" distR="0" wp14:anchorId="6F47D154" wp14:editId="313666B9">
          <wp:extent cx="5266944" cy="457200"/>
          <wp:effectExtent l="0" t="0" r="0" b="0"/>
          <wp:docPr id="5" name="Picture 5"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9158" w14:textId="77777777" w:rsidR="00515693" w:rsidRDefault="00515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6A02" w14:textId="1BC737CD" w:rsidR="00515693" w:rsidRDefault="00515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AB7F" w14:textId="77777777" w:rsidR="00515693" w:rsidRPr="005666F2" w:rsidRDefault="00515693">
    <w:pPr>
      <w:rPr>
        <w:color w:val="003865" w:themeColor="text1"/>
      </w:rPr>
    </w:pPr>
    <w:r>
      <w:rPr>
        <w:noProof/>
        <w:color w:val="003865" w:themeColor="text1"/>
        <w:lang w:bidi="ar-SA"/>
      </w:rPr>
      <w:drawing>
        <wp:inline distT="0" distB="0" distL="0" distR="0" wp14:anchorId="62B6BCA7" wp14:editId="17704FBA">
          <wp:extent cx="5266944" cy="457200"/>
          <wp:effectExtent l="0" t="0" r="0" b="0"/>
          <wp:docPr id="14" name="Picture 14"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82C1" w14:textId="77777777" w:rsidR="00515693" w:rsidRPr="005666F2" w:rsidRDefault="00515693">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2" type="#_x0000_t75" style="width:12.6pt;height:24.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3565BC"/>
    <w:multiLevelType w:val="hybridMultilevel"/>
    <w:tmpl w:val="710C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F676B"/>
    <w:multiLevelType w:val="hybridMultilevel"/>
    <w:tmpl w:val="79E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C0C21"/>
    <w:multiLevelType w:val="hybridMultilevel"/>
    <w:tmpl w:val="1F38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03293"/>
    <w:multiLevelType w:val="hybridMultilevel"/>
    <w:tmpl w:val="BFA8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D591B"/>
    <w:multiLevelType w:val="hybridMultilevel"/>
    <w:tmpl w:val="387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42076"/>
    <w:multiLevelType w:val="hybridMultilevel"/>
    <w:tmpl w:val="F12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E0A77"/>
    <w:multiLevelType w:val="hybridMultilevel"/>
    <w:tmpl w:val="68A6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762A3"/>
    <w:multiLevelType w:val="multilevel"/>
    <w:tmpl w:val="C13A44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5009F"/>
    <w:multiLevelType w:val="hybridMultilevel"/>
    <w:tmpl w:val="1534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15D9B"/>
    <w:multiLevelType w:val="hybridMultilevel"/>
    <w:tmpl w:val="AE94D9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7902ED"/>
    <w:multiLevelType w:val="hybridMultilevel"/>
    <w:tmpl w:val="B61E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73183"/>
    <w:multiLevelType w:val="hybridMultilevel"/>
    <w:tmpl w:val="54AA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A6132"/>
    <w:multiLevelType w:val="hybridMultilevel"/>
    <w:tmpl w:val="EFA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60781"/>
    <w:multiLevelType w:val="hybridMultilevel"/>
    <w:tmpl w:val="0C24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EE0C52"/>
    <w:multiLevelType w:val="hybridMultilevel"/>
    <w:tmpl w:val="B95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C0615"/>
    <w:multiLevelType w:val="hybridMultilevel"/>
    <w:tmpl w:val="080A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72712"/>
    <w:multiLevelType w:val="hybridMultilevel"/>
    <w:tmpl w:val="29D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773531">
    <w:abstractNumId w:val="3"/>
  </w:num>
  <w:num w:numId="2" w16cid:durableId="1778407083">
    <w:abstractNumId w:val="6"/>
  </w:num>
  <w:num w:numId="3" w16cid:durableId="1466195043">
    <w:abstractNumId w:val="32"/>
  </w:num>
  <w:num w:numId="4" w16cid:durableId="1398549183">
    <w:abstractNumId w:val="30"/>
  </w:num>
  <w:num w:numId="5" w16cid:durableId="639262328">
    <w:abstractNumId w:val="25"/>
  </w:num>
  <w:num w:numId="6" w16cid:durableId="539632549">
    <w:abstractNumId w:val="4"/>
  </w:num>
  <w:num w:numId="7" w16cid:durableId="1895850105">
    <w:abstractNumId w:val="20"/>
  </w:num>
  <w:num w:numId="8" w16cid:durableId="728530641">
    <w:abstractNumId w:val="11"/>
  </w:num>
  <w:num w:numId="9" w16cid:durableId="701248872">
    <w:abstractNumId w:val="15"/>
  </w:num>
  <w:num w:numId="10" w16cid:durableId="2142795938">
    <w:abstractNumId w:val="2"/>
  </w:num>
  <w:num w:numId="11" w16cid:durableId="769853235">
    <w:abstractNumId w:val="2"/>
  </w:num>
  <w:num w:numId="12" w16cid:durableId="1349410413">
    <w:abstractNumId w:val="33"/>
  </w:num>
  <w:num w:numId="13" w16cid:durableId="669600043">
    <w:abstractNumId w:val="36"/>
  </w:num>
  <w:num w:numId="14" w16cid:durableId="851407816">
    <w:abstractNumId w:val="24"/>
  </w:num>
  <w:num w:numId="15" w16cid:durableId="1301034332">
    <w:abstractNumId w:val="2"/>
  </w:num>
  <w:num w:numId="16" w16cid:durableId="354307577">
    <w:abstractNumId w:val="36"/>
  </w:num>
  <w:num w:numId="17" w16cid:durableId="288054411">
    <w:abstractNumId w:val="24"/>
  </w:num>
  <w:num w:numId="18" w16cid:durableId="977608044">
    <w:abstractNumId w:val="13"/>
  </w:num>
  <w:num w:numId="19" w16cid:durableId="108479875">
    <w:abstractNumId w:val="5"/>
  </w:num>
  <w:num w:numId="20" w16cid:durableId="1878198258">
    <w:abstractNumId w:val="1"/>
  </w:num>
  <w:num w:numId="21" w16cid:durableId="1939291351">
    <w:abstractNumId w:val="0"/>
  </w:num>
  <w:num w:numId="22" w16cid:durableId="15426050">
    <w:abstractNumId w:val="12"/>
  </w:num>
  <w:num w:numId="23" w16cid:durableId="1230380726">
    <w:abstractNumId w:val="28"/>
  </w:num>
  <w:num w:numId="24" w16cid:durableId="465854730">
    <w:abstractNumId w:val="31"/>
  </w:num>
  <w:num w:numId="25" w16cid:durableId="169031285">
    <w:abstractNumId w:val="14"/>
  </w:num>
  <w:num w:numId="26" w16cid:durableId="821897339">
    <w:abstractNumId w:val="22"/>
  </w:num>
  <w:num w:numId="27" w16cid:durableId="1888371935">
    <w:abstractNumId w:val="8"/>
  </w:num>
  <w:num w:numId="28" w16cid:durableId="318968035">
    <w:abstractNumId w:val="27"/>
  </w:num>
  <w:num w:numId="29" w16cid:durableId="1167598071">
    <w:abstractNumId w:val="7"/>
  </w:num>
  <w:num w:numId="30" w16cid:durableId="971402428">
    <w:abstractNumId w:val="10"/>
  </w:num>
  <w:num w:numId="31" w16cid:durableId="533856352">
    <w:abstractNumId w:val="37"/>
  </w:num>
  <w:num w:numId="32" w16cid:durableId="864753720">
    <w:abstractNumId w:val="9"/>
  </w:num>
  <w:num w:numId="33" w16cid:durableId="1328091874">
    <w:abstractNumId w:val="21"/>
  </w:num>
  <w:num w:numId="34" w16cid:durableId="2081323844">
    <w:abstractNumId w:val="29"/>
  </w:num>
  <w:num w:numId="35" w16cid:durableId="541946937">
    <w:abstractNumId w:val="17"/>
  </w:num>
  <w:num w:numId="36" w16cid:durableId="731929091">
    <w:abstractNumId w:val="34"/>
  </w:num>
  <w:num w:numId="37" w16cid:durableId="280691677">
    <w:abstractNumId w:val="35"/>
  </w:num>
  <w:num w:numId="38" w16cid:durableId="173568695">
    <w:abstractNumId w:val="18"/>
  </w:num>
  <w:num w:numId="39" w16cid:durableId="1400245676">
    <w:abstractNumId w:val="19"/>
  </w:num>
  <w:num w:numId="40" w16cid:durableId="1546408573">
    <w:abstractNumId w:val="26"/>
  </w:num>
  <w:num w:numId="41" w16cid:durableId="1824732444">
    <w:abstractNumId w:val="16"/>
  </w:num>
  <w:num w:numId="42" w16cid:durableId="14822298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9D2"/>
    <w:rsid w:val="00002DEC"/>
    <w:rsid w:val="000065AC"/>
    <w:rsid w:val="00006A0A"/>
    <w:rsid w:val="0001147C"/>
    <w:rsid w:val="00024810"/>
    <w:rsid w:val="000248CA"/>
    <w:rsid w:val="000248EB"/>
    <w:rsid w:val="00026D2C"/>
    <w:rsid w:val="00031F5A"/>
    <w:rsid w:val="00035FE0"/>
    <w:rsid w:val="000361FB"/>
    <w:rsid w:val="000445FD"/>
    <w:rsid w:val="000449EF"/>
    <w:rsid w:val="00044AA2"/>
    <w:rsid w:val="000503B7"/>
    <w:rsid w:val="00053750"/>
    <w:rsid w:val="0005573F"/>
    <w:rsid w:val="00064B90"/>
    <w:rsid w:val="00065A42"/>
    <w:rsid w:val="0007374A"/>
    <w:rsid w:val="0007512E"/>
    <w:rsid w:val="000778E3"/>
    <w:rsid w:val="00077C72"/>
    <w:rsid w:val="00080404"/>
    <w:rsid w:val="0008155F"/>
    <w:rsid w:val="00084742"/>
    <w:rsid w:val="00090C5A"/>
    <w:rsid w:val="000975CE"/>
    <w:rsid w:val="000A01AC"/>
    <w:rsid w:val="000A06D9"/>
    <w:rsid w:val="000A438F"/>
    <w:rsid w:val="000B0312"/>
    <w:rsid w:val="000B2E68"/>
    <w:rsid w:val="000B6C2C"/>
    <w:rsid w:val="000C3708"/>
    <w:rsid w:val="000C3761"/>
    <w:rsid w:val="000C4F08"/>
    <w:rsid w:val="000C6C6E"/>
    <w:rsid w:val="000C7373"/>
    <w:rsid w:val="000D5A92"/>
    <w:rsid w:val="000E0FD2"/>
    <w:rsid w:val="000E2340"/>
    <w:rsid w:val="000E313B"/>
    <w:rsid w:val="000E3E9D"/>
    <w:rsid w:val="000E48DD"/>
    <w:rsid w:val="000F4BB1"/>
    <w:rsid w:val="000F591A"/>
    <w:rsid w:val="0010702F"/>
    <w:rsid w:val="00111739"/>
    <w:rsid w:val="00111BBF"/>
    <w:rsid w:val="00114116"/>
    <w:rsid w:val="00116A9F"/>
    <w:rsid w:val="001171AF"/>
    <w:rsid w:val="00126606"/>
    <w:rsid w:val="00135082"/>
    <w:rsid w:val="00135DC7"/>
    <w:rsid w:val="00136EEE"/>
    <w:rsid w:val="00137190"/>
    <w:rsid w:val="00137405"/>
    <w:rsid w:val="001377CC"/>
    <w:rsid w:val="00147ED1"/>
    <w:rsid w:val="001500D6"/>
    <w:rsid w:val="00150EBD"/>
    <w:rsid w:val="00157C41"/>
    <w:rsid w:val="00162B42"/>
    <w:rsid w:val="001656E1"/>
    <w:rsid w:val="001661D9"/>
    <w:rsid w:val="001708EC"/>
    <w:rsid w:val="00186340"/>
    <w:rsid w:val="001901F5"/>
    <w:rsid w:val="001925A8"/>
    <w:rsid w:val="0019673D"/>
    <w:rsid w:val="001A132F"/>
    <w:rsid w:val="001A372A"/>
    <w:rsid w:val="001A46BB"/>
    <w:rsid w:val="001B1BD1"/>
    <w:rsid w:val="001B525A"/>
    <w:rsid w:val="001B6475"/>
    <w:rsid w:val="001C4B91"/>
    <w:rsid w:val="001C55E0"/>
    <w:rsid w:val="001C6C87"/>
    <w:rsid w:val="001D3F6D"/>
    <w:rsid w:val="001D571B"/>
    <w:rsid w:val="001D7CAC"/>
    <w:rsid w:val="001E0724"/>
    <w:rsid w:val="001E33C1"/>
    <w:rsid w:val="001E5ECF"/>
    <w:rsid w:val="001E6CAC"/>
    <w:rsid w:val="001E6F6B"/>
    <w:rsid w:val="001F278F"/>
    <w:rsid w:val="00202F6C"/>
    <w:rsid w:val="00202FCC"/>
    <w:rsid w:val="00206879"/>
    <w:rsid w:val="00207A93"/>
    <w:rsid w:val="00211CA3"/>
    <w:rsid w:val="00222A49"/>
    <w:rsid w:val="0022552E"/>
    <w:rsid w:val="0024189E"/>
    <w:rsid w:val="002422A7"/>
    <w:rsid w:val="002470EA"/>
    <w:rsid w:val="00261247"/>
    <w:rsid w:val="00264652"/>
    <w:rsid w:val="00264668"/>
    <w:rsid w:val="00271D94"/>
    <w:rsid w:val="00276255"/>
    <w:rsid w:val="00282084"/>
    <w:rsid w:val="00291052"/>
    <w:rsid w:val="00294723"/>
    <w:rsid w:val="002A0809"/>
    <w:rsid w:val="002B5E79"/>
    <w:rsid w:val="002B77D1"/>
    <w:rsid w:val="002C0859"/>
    <w:rsid w:val="002C629B"/>
    <w:rsid w:val="002C7EDE"/>
    <w:rsid w:val="002D28E7"/>
    <w:rsid w:val="002D2FFD"/>
    <w:rsid w:val="002D4312"/>
    <w:rsid w:val="002F1947"/>
    <w:rsid w:val="002F4018"/>
    <w:rsid w:val="00306802"/>
    <w:rsid w:val="00306D94"/>
    <w:rsid w:val="003125DF"/>
    <w:rsid w:val="003130BF"/>
    <w:rsid w:val="00313874"/>
    <w:rsid w:val="003333A8"/>
    <w:rsid w:val="00335736"/>
    <w:rsid w:val="0034554C"/>
    <w:rsid w:val="003518D6"/>
    <w:rsid w:val="00355461"/>
    <w:rsid w:val="003563D2"/>
    <w:rsid w:val="0036012F"/>
    <w:rsid w:val="00376FA5"/>
    <w:rsid w:val="00390568"/>
    <w:rsid w:val="003967CE"/>
    <w:rsid w:val="00397494"/>
    <w:rsid w:val="003A0696"/>
    <w:rsid w:val="003A1479"/>
    <w:rsid w:val="003A1813"/>
    <w:rsid w:val="003B1225"/>
    <w:rsid w:val="003B4B6C"/>
    <w:rsid w:val="003B7D82"/>
    <w:rsid w:val="003C4644"/>
    <w:rsid w:val="003C5BE3"/>
    <w:rsid w:val="003D13B3"/>
    <w:rsid w:val="003D4965"/>
    <w:rsid w:val="003D5C01"/>
    <w:rsid w:val="003D7338"/>
    <w:rsid w:val="003E0619"/>
    <w:rsid w:val="003E258E"/>
    <w:rsid w:val="003F1100"/>
    <w:rsid w:val="00402A06"/>
    <w:rsid w:val="00402D11"/>
    <w:rsid w:val="004134E0"/>
    <w:rsid w:val="00413A7C"/>
    <w:rsid w:val="004141DD"/>
    <w:rsid w:val="004214E3"/>
    <w:rsid w:val="00461770"/>
    <w:rsid w:val="00461804"/>
    <w:rsid w:val="00466810"/>
    <w:rsid w:val="0047264D"/>
    <w:rsid w:val="004816B5"/>
    <w:rsid w:val="00482425"/>
    <w:rsid w:val="00483DD2"/>
    <w:rsid w:val="00486C80"/>
    <w:rsid w:val="00491187"/>
    <w:rsid w:val="0049218D"/>
    <w:rsid w:val="00494E6F"/>
    <w:rsid w:val="0049748A"/>
    <w:rsid w:val="004A1323"/>
    <w:rsid w:val="004A1B4D"/>
    <w:rsid w:val="004A58DD"/>
    <w:rsid w:val="004A6119"/>
    <w:rsid w:val="004A6396"/>
    <w:rsid w:val="004A6BAB"/>
    <w:rsid w:val="004B47DC"/>
    <w:rsid w:val="004B5EEA"/>
    <w:rsid w:val="004C1009"/>
    <w:rsid w:val="004C589F"/>
    <w:rsid w:val="004D5008"/>
    <w:rsid w:val="004D5320"/>
    <w:rsid w:val="004E1747"/>
    <w:rsid w:val="004E31E2"/>
    <w:rsid w:val="004E44B0"/>
    <w:rsid w:val="004E75B3"/>
    <w:rsid w:val="004F04BA"/>
    <w:rsid w:val="004F0EFF"/>
    <w:rsid w:val="004F33A6"/>
    <w:rsid w:val="004F37C5"/>
    <w:rsid w:val="004F3C4C"/>
    <w:rsid w:val="0050093F"/>
    <w:rsid w:val="00502D74"/>
    <w:rsid w:val="00504805"/>
    <w:rsid w:val="00514788"/>
    <w:rsid w:val="00515693"/>
    <w:rsid w:val="0051600F"/>
    <w:rsid w:val="0052661A"/>
    <w:rsid w:val="00534814"/>
    <w:rsid w:val="00535B6F"/>
    <w:rsid w:val="0054371B"/>
    <w:rsid w:val="00562B15"/>
    <w:rsid w:val="0056615E"/>
    <w:rsid w:val="005666F2"/>
    <w:rsid w:val="00575EFD"/>
    <w:rsid w:val="005842A4"/>
    <w:rsid w:val="005922BE"/>
    <w:rsid w:val="005972FC"/>
    <w:rsid w:val="005A3242"/>
    <w:rsid w:val="005A7A35"/>
    <w:rsid w:val="005B2DDF"/>
    <w:rsid w:val="005B4AE7"/>
    <w:rsid w:val="005B53B0"/>
    <w:rsid w:val="005B5A88"/>
    <w:rsid w:val="005C2EC6"/>
    <w:rsid w:val="005D3E8F"/>
    <w:rsid w:val="005D4207"/>
    <w:rsid w:val="005D45B3"/>
    <w:rsid w:val="005D782E"/>
    <w:rsid w:val="005F6005"/>
    <w:rsid w:val="006064AB"/>
    <w:rsid w:val="006214F5"/>
    <w:rsid w:val="006229CF"/>
    <w:rsid w:val="00622BB5"/>
    <w:rsid w:val="0063402F"/>
    <w:rsid w:val="00647E2C"/>
    <w:rsid w:val="00655345"/>
    <w:rsid w:val="006644CA"/>
    <w:rsid w:val="00664B16"/>
    <w:rsid w:val="0066617C"/>
    <w:rsid w:val="00672536"/>
    <w:rsid w:val="00681EDC"/>
    <w:rsid w:val="006852D9"/>
    <w:rsid w:val="0068649F"/>
    <w:rsid w:val="00687189"/>
    <w:rsid w:val="00694CE5"/>
    <w:rsid w:val="006953A0"/>
    <w:rsid w:val="00695BF5"/>
    <w:rsid w:val="00695D60"/>
    <w:rsid w:val="00697CCC"/>
    <w:rsid w:val="006A0517"/>
    <w:rsid w:val="006A4021"/>
    <w:rsid w:val="006B13B7"/>
    <w:rsid w:val="006B2942"/>
    <w:rsid w:val="006B3994"/>
    <w:rsid w:val="006B5023"/>
    <w:rsid w:val="006C0A6C"/>
    <w:rsid w:val="006C0E45"/>
    <w:rsid w:val="006C18C7"/>
    <w:rsid w:val="006C2A63"/>
    <w:rsid w:val="006D4829"/>
    <w:rsid w:val="006D79E4"/>
    <w:rsid w:val="006E6D36"/>
    <w:rsid w:val="006F3780"/>
    <w:rsid w:val="006F3B38"/>
    <w:rsid w:val="006F4E56"/>
    <w:rsid w:val="007033E2"/>
    <w:rsid w:val="00703E7F"/>
    <w:rsid w:val="00710FC2"/>
    <w:rsid w:val="007137A4"/>
    <w:rsid w:val="00714FE3"/>
    <w:rsid w:val="00717725"/>
    <w:rsid w:val="007225DF"/>
    <w:rsid w:val="007236DB"/>
    <w:rsid w:val="0072799D"/>
    <w:rsid w:val="00732D71"/>
    <w:rsid w:val="00733AED"/>
    <w:rsid w:val="00740C28"/>
    <w:rsid w:val="007446D4"/>
    <w:rsid w:val="0074778B"/>
    <w:rsid w:val="0077225E"/>
    <w:rsid w:val="0077290C"/>
    <w:rsid w:val="0078710F"/>
    <w:rsid w:val="00793F48"/>
    <w:rsid w:val="007A5B25"/>
    <w:rsid w:val="007A64DE"/>
    <w:rsid w:val="007A7E15"/>
    <w:rsid w:val="007B038E"/>
    <w:rsid w:val="007B1224"/>
    <w:rsid w:val="007B35B2"/>
    <w:rsid w:val="007B5149"/>
    <w:rsid w:val="007B7453"/>
    <w:rsid w:val="007C1D40"/>
    <w:rsid w:val="007C24CC"/>
    <w:rsid w:val="007C6E85"/>
    <w:rsid w:val="007D1FFF"/>
    <w:rsid w:val="007D42A0"/>
    <w:rsid w:val="007E09FF"/>
    <w:rsid w:val="007E58B3"/>
    <w:rsid w:val="007E6733"/>
    <w:rsid w:val="007E685C"/>
    <w:rsid w:val="007F08A9"/>
    <w:rsid w:val="007F17B5"/>
    <w:rsid w:val="007F6108"/>
    <w:rsid w:val="007F7097"/>
    <w:rsid w:val="00803867"/>
    <w:rsid w:val="00805F9B"/>
    <w:rsid w:val="008067A6"/>
    <w:rsid w:val="00814C62"/>
    <w:rsid w:val="00817183"/>
    <w:rsid w:val="008251B3"/>
    <w:rsid w:val="008305BF"/>
    <w:rsid w:val="00833FC3"/>
    <w:rsid w:val="0083626B"/>
    <w:rsid w:val="00844F1D"/>
    <w:rsid w:val="0084749F"/>
    <w:rsid w:val="00850902"/>
    <w:rsid w:val="00864202"/>
    <w:rsid w:val="008678B2"/>
    <w:rsid w:val="00874D9C"/>
    <w:rsid w:val="00875E24"/>
    <w:rsid w:val="0088183D"/>
    <w:rsid w:val="0088653A"/>
    <w:rsid w:val="008A1AD4"/>
    <w:rsid w:val="008A5221"/>
    <w:rsid w:val="008A71EE"/>
    <w:rsid w:val="008A7D7C"/>
    <w:rsid w:val="008B5443"/>
    <w:rsid w:val="008C7EEB"/>
    <w:rsid w:val="008D0DEF"/>
    <w:rsid w:val="008D2256"/>
    <w:rsid w:val="008D5E3D"/>
    <w:rsid w:val="008F79E5"/>
    <w:rsid w:val="0090737A"/>
    <w:rsid w:val="00914D3F"/>
    <w:rsid w:val="00923DF4"/>
    <w:rsid w:val="00951EDF"/>
    <w:rsid w:val="0096108C"/>
    <w:rsid w:val="00963BA0"/>
    <w:rsid w:val="00967764"/>
    <w:rsid w:val="00970892"/>
    <w:rsid w:val="00980ABC"/>
    <w:rsid w:val="009810EE"/>
    <w:rsid w:val="00983612"/>
    <w:rsid w:val="00984CC9"/>
    <w:rsid w:val="0099075F"/>
    <w:rsid w:val="0099233F"/>
    <w:rsid w:val="009A0C8D"/>
    <w:rsid w:val="009B4712"/>
    <w:rsid w:val="009B54A0"/>
    <w:rsid w:val="009B7DCA"/>
    <w:rsid w:val="009C3D61"/>
    <w:rsid w:val="009C533F"/>
    <w:rsid w:val="009C6405"/>
    <w:rsid w:val="009D1B8A"/>
    <w:rsid w:val="009E4F81"/>
    <w:rsid w:val="009F0F09"/>
    <w:rsid w:val="009F501F"/>
    <w:rsid w:val="009F76D4"/>
    <w:rsid w:val="00A06A05"/>
    <w:rsid w:val="00A075DA"/>
    <w:rsid w:val="00A10D06"/>
    <w:rsid w:val="00A14134"/>
    <w:rsid w:val="00A143A9"/>
    <w:rsid w:val="00A237C0"/>
    <w:rsid w:val="00A30799"/>
    <w:rsid w:val="00A357E8"/>
    <w:rsid w:val="00A42C71"/>
    <w:rsid w:val="00A44D78"/>
    <w:rsid w:val="00A53FFD"/>
    <w:rsid w:val="00A57FE8"/>
    <w:rsid w:val="00A64ECE"/>
    <w:rsid w:val="00A66185"/>
    <w:rsid w:val="00A71CAD"/>
    <w:rsid w:val="00A731A2"/>
    <w:rsid w:val="00A7679C"/>
    <w:rsid w:val="00A81130"/>
    <w:rsid w:val="00A81491"/>
    <w:rsid w:val="00A81D03"/>
    <w:rsid w:val="00A827C1"/>
    <w:rsid w:val="00A90F54"/>
    <w:rsid w:val="00A938C9"/>
    <w:rsid w:val="00A93F40"/>
    <w:rsid w:val="00A96F93"/>
    <w:rsid w:val="00AA0228"/>
    <w:rsid w:val="00AB544B"/>
    <w:rsid w:val="00AB5E02"/>
    <w:rsid w:val="00AC112C"/>
    <w:rsid w:val="00AC14E5"/>
    <w:rsid w:val="00AD68A4"/>
    <w:rsid w:val="00AD7984"/>
    <w:rsid w:val="00AE5772"/>
    <w:rsid w:val="00AE644E"/>
    <w:rsid w:val="00AF22AD"/>
    <w:rsid w:val="00AF5107"/>
    <w:rsid w:val="00B055EF"/>
    <w:rsid w:val="00B05A2E"/>
    <w:rsid w:val="00B06264"/>
    <w:rsid w:val="00B07C8F"/>
    <w:rsid w:val="00B11B4B"/>
    <w:rsid w:val="00B275D4"/>
    <w:rsid w:val="00B31F41"/>
    <w:rsid w:val="00B46E01"/>
    <w:rsid w:val="00B5533E"/>
    <w:rsid w:val="00B562AA"/>
    <w:rsid w:val="00B56C4C"/>
    <w:rsid w:val="00B62E7B"/>
    <w:rsid w:val="00B6717C"/>
    <w:rsid w:val="00B75051"/>
    <w:rsid w:val="00B75A38"/>
    <w:rsid w:val="00B7772D"/>
    <w:rsid w:val="00B859DE"/>
    <w:rsid w:val="00BA52C8"/>
    <w:rsid w:val="00BB5AA3"/>
    <w:rsid w:val="00BB6253"/>
    <w:rsid w:val="00BB67FF"/>
    <w:rsid w:val="00BC69BF"/>
    <w:rsid w:val="00BD0E59"/>
    <w:rsid w:val="00BF1BCD"/>
    <w:rsid w:val="00C03986"/>
    <w:rsid w:val="00C068B1"/>
    <w:rsid w:val="00C12D2F"/>
    <w:rsid w:val="00C277A8"/>
    <w:rsid w:val="00C309AE"/>
    <w:rsid w:val="00C33B4F"/>
    <w:rsid w:val="00C36324"/>
    <w:rsid w:val="00C365CE"/>
    <w:rsid w:val="00C417EB"/>
    <w:rsid w:val="00C465B1"/>
    <w:rsid w:val="00C47A29"/>
    <w:rsid w:val="00C528AE"/>
    <w:rsid w:val="00C61688"/>
    <w:rsid w:val="00C66E71"/>
    <w:rsid w:val="00C73211"/>
    <w:rsid w:val="00C83F61"/>
    <w:rsid w:val="00CA50DD"/>
    <w:rsid w:val="00CA6BE0"/>
    <w:rsid w:val="00CA76CD"/>
    <w:rsid w:val="00CB6A3E"/>
    <w:rsid w:val="00CB7769"/>
    <w:rsid w:val="00CC0015"/>
    <w:rsid w:val="00CC1350"/>
    <w:rsid w:val="00CC6E9C"/>
    <w:rsid w:val="00CD22A4"/>
    <w:rsid w:val="00CE45B0"/>
    <w:rsid w:val="00CE66E1"/>
    <w:rsid w:val="00CF625F"/>
    <w:rsid w:val="00D0014D"/>
    <w:rsid w:val="00D042F3"/>
    <w:rsid w:val="00D1493B"/>
    <w:rsid w:val="00D150DA"/>
    <w:rsid w:val="00D1692C"/>
    <w:rsid w:val="00D22187"/>
    <w:rsid w:val="00D22819"/>
    <w:rsid w:val="00D234BF"/>
    <w:rsid w:val="00D37110"/>
    <w:rsid w:val="00D45AB3"/>
    <w:rsid w:val="00D511F0"/>
    <w:rsid w:val="00D54EE5"/>
    <w:rsid w:val="00D568DF"/>
    <w:rsid w:val="00D60270"/>
    <w:rsid w:val="00D63F82"/>
    <w:rsid w:val="00D640FC"/>
    <w:rsid w:val="00D70F7D"/>
    <w:rsid w:val="00D724A0"/>
    <w:rsid w:val="00D739D7"/>
    <w:rsid w:val="00D817C7"/>
    <w:rsid w:val="00D87E6F"/>
    <w:rsid w:val="00D92929"/>
    <w:rsid w:val="00D93C2E"/>
    <w:rsid w:val="00D970A5"/>
    <w:rsid w:val="00DA4A5F"/>
    <w:rsid w:val="00DB46C0"/>
    <w:rsid w:val="00DB4967"/>
    <w:rsid w:val="00DB572B"/>
    <w:rsid w:val="00DC6653"/>
    <w:rsid w:val="00DE50CB"/>
    <w:rsid w:val="00DE54BA"/>
    <w:rsid w:val="00DF54AF"/>
    <w:rsid w:val="00E040B2"/>
    <w:rsid w:val="00E04CE5"/>
    <w:rsid w:val="00E206AE"/>
    <w:rsid w:val="00E23397"/>
    <w:rsid w:val="00E261CD"/>
    <w:rsid w:val="00E32CD7"/>
    <w:rsid w:val="00E354AB"/>
    <w:rsid w:val="00E41BD2"/>
    <w:rsid w:val="00E42C51"/>
    <w:rsid w:val="00E44EE1"/>
    <w:rsid w:val="00E503DF"/>
    <w:rsid w:val="00E5241D"/>
    <w:rsid w:val="00E557DE"/>
    <w:rsid w:val="00E5680C"/>
    <w:rsid w:val="00E61A16"/>
    <w:rsid w:val="00E7209B"/>
    <w:rsid w:val="00E76267"/>
    <w:rsid w:val="00E811A9"/>
    <w:rsid w:val="00E97D22"/>
    <w:rsid w:val="00EA3664"/>
    <w:rsid w:val="00EA535B"/>
    <w:rsid w:val="00EB2AC8"/>
    <w:rsid w:val="00EB7593"/>
    <w:rsid w:val="00EC0EF9"/>
    <w:rsid w:val="00EC24AF"/>
    <w:rsid w:val="00EC579D"/>
    <w:rsid w:val="00EC65E9"/>
    <w:rsid w:val="00EC726C"/>
    <w:rsid w:val="00ED5BDC"/>
    <w:rsid w:val="00ED7DAC"/>
    <w:rsid w:val="00EE405B"/>
    <w:rsid w:val="00EE4BED"/>
    <w:rsid w:val="00EF7D8D"/>
    <w:rsid w:val="00F041CC"/>
    <w:rsid w:val="00F04759"/>
    <w:rsid w:val="00F067A6"/>
    <w:rsid w:val="00F164F6"/>
    <w:rsid w:val="00F20B25"/>
    <w:rsid w:val="00F21BC5"/>
    <w:rsid w:val="00F22C4D"/>
    <w:rsid w:val="00F26F84"/>
    <w:rsid w:val="00F27105"/>
    <w:rsid w:val="00F41511"/>
    <w:rsid w:val="00F445D8"/>
    <w:rsid w:val="00F4494B"/>
    <w:rsid w:val="00F461FE"/>
    <w:rsid w:val="00F47DB2"/>
    <w:rsid w:val="00F5496A"/>
    <w:rsid w:val="00F6580C"/>
    <w:rsid w:val="00F70C03"/>
    <w:rsid w:val="00F9084A"/>
    <w:rsid w:val="00FA2BF1"/>
    <w:rsid w:val="00FB6E40"/>
    <w:rsid w:val="00FC417E"/>
    <w:rsid w:val="00FD1CCB"/>
    <w:rsid w:val="00FE4DC4"/>
    <w:rsid w:val="00FE7083"/>
    <w:rsid w:val="00FF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7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512E"/>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41BD2"/>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40"/>
      <w:szCs w:val="32"/>
    </w:rPr>
  </w:style>
  <w:style w:type="paragraph" w:styleId="Heading3">
    <w:name w:val="heading 3"/>
    <w:basedOn w:val="Heading2"/>
    <w:next w:val="BodyText"/>
    <w:link w:val="Heading3Char"/>
    <w:uiPriority w:val="1"/>
    <w:qFormat/>
    <w:rsid w:val="00E41BD2"/>
    <w:pPr>
      <w:pBdr>
        <w:bottom w:val="none" w:sz="0" w:space="0" w:color="auto"/>
      </w:pBdr>
      <w:outlineLvl w:val="2"/>
    </w:pPr>
    <w:rPr>
      <w:sz w:val="32"/>
    </w:rPr>
  </w:style>
  <w:style w:type="paragraph" w:styleId="Heading4">
    <w:name w:val="heading 4"/>
    <w:basedOn w:val="Heading3"/>
    <w:next w:val="BodyText"/>
    <w:link w:val="Heading4Char"/>
    <w:uiPriority w:val="1"/>
    <w:qFormat/>
    <w:rsid w:val="00E41BD2"/>
    <w:pPr>
      <w:outlineLvl w:val="3"/>
    </w:pPr>
    <w:rPr>
      <w:sz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41BD2"/>
    <w:rPr>
      <w:rFonts w:asciiTheme="minorHAnsi" w:eastAsiaTheme="majorEastAsia" w:hAnsiTheme="minorHAnsi" w:cstheme="majorBidi"/>
      <w:b/>
      <w:bCs/>
      <w:color w:val="003865"/>
      <w:sz w:val="40"/>
      <w:szCs w:val="32"/>
    </w:rPr>
  </w:style>
  <w:style w:type="character" w:customStyle="1" w:styleId="Heading3Char">
    <w:name w:val="Heading 3 Char"/>
    <w:basedOn w:val="DefaultParagraphFont"/>
    <w:link w:val="Heading3"/>
    <w:uiPriority w:val="1"/>
    <w:rsid w:val="00E41BD2"/>
    <w:rPr>
      <w:rFonts w:asciiTheme="minorHAnsi" w:eastAsiaTheme="majorEastAsia" w:hAnsiTheme="minorHAnsi" w:cstheme="majorBidi"/>
      <w:b/>
      <w:bCs/>
      <w:color w:val="003865"/>
      <w:sz w:val="32"/>
      <w:szCs w:val="32"/>
    </w:rPr>
  </w:style>
  <w:style w:type="character" w:customStyle="1" w:styleId="Heading4Char">
    <w:name w:val="Heading 4 Char"/>
    <w:basedOn w:val="DefaultParagraphFont"/>
    <w:link w:val="Heading4"/>
    <w:uiPriority w:val="1"/>
    <w:rsid w:val="00E41BD2"/>
    <w:rPr>
      <w:rFonts w:asciiTheme="minorHAnsi" w:eastAsiaTheme="majorEastAsia" w:hAnsiTheme="minorHAnsi" w:cstheme="majorBidi"/>
      <w:b/>
      <w:bCs/>
      <w:color w:val="003865"/>
      <w:sz w:val="24"/>
      <w:szCs w:val="32"/>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E41BD2"/>
    <w:pPr>
      <w:spacing w:after="120" w:line="240" w:lineRule="auto"/>
      <w:jc w:val="center"/>
    </w:pPr>
    <w:rPr>
      <w:rFonts w:eastAsia="Times New Roman"/>
      <w:iCs/>
      <w:sz w:val="22"/>
      <w:szCs w:val="28"/>
    </w:rPr>
  </w:style>
  <w:style w:type="paragraph" w:styleId="Title">
    <w:name w:val="Title"/>
    <w:basedOn w:val="Normal"/>
    <w:next w:val="Normal"/>
    <w:link w:val="TitleChar"/>
    <w:qFormat/>
    <w:rsid w:val="00EF7D8D"/>
    <w:pPr>
      <w:pBdr>
        <w:top w:val="single" w:sz="4" w:space="6" w:color="auto"/>
      </w:pBdr>
      <w:spacing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EF7D8D"/>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qFormat/>
    <w:rsid w:val="0007512E"/>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1C4B91"/>
    <w:pPr>
      <w:spacing w:after="100"/>
      <w:ind w:left="440"/>
    </w:pPr>
  </w:style>
  <w:style w:type="paragraph" w:customStyle="1" w:styleId="TableofContentsHeader">
    <w:name w:val="Table of Contents Header"/>
    <w:basedOn w:val="Heading1"/>
    <w:link w:val="TableofContentsHeaderChar"/>
    <w:qFormat/>
    <w:rsid w:val="00EC24AF"/>
    <w:rPr>
      <w:rFonts w:eastAsiaTheme="minorEastAsia"/>
      <w:noProof/>
      <w:lang w:bidi="ar-SA"/>
    </w:rPr>
  </w:style>
  <w:style w:type="character" w:customStyle="1" w:styleId="TableofContentsHeaderChar">
    <w:name w:val="Table of Contents Header Char"/>
    <w:basedOn w:val="Heading1Char"/>
    <w:link w:val="TableofContentsHeader"/>
    <w:rsid w:val="00EC24AF"/>
    <w:rPr>
      <w:rFonts w:ascii="Calibri" w:eastAsiaTheme="minorEastAsia" w:hAnsi="Calibri"/>
      <w:b/>
      <w:noProof/>
      <w:color w:val="003865"/>
      <w:sz w:val="40"/>
      <w:szCs w:val="40"/>
      <w:lang w:bidi="ar-SA"/>
    </w:rPr>
  </w:style>
  <w:style w:type="paragraph" w:customStyle="1" w:styleId="Default">
    <w:name w:val="Default"/>
    <w:rsid w:val="00111739"/>
    <w:pPr>
      <w:autoSpaceDE w:val="0"/>
      <w:autoSpaceDN w:val="0"/>
      <w:adjustRightInd w:val="0"/>
      <w:spacing w:before="0" w:line="240" w:lineRule="auto"/>
    </w:pPr>
    <w:rPr>
      <w:rFonts w:cs="Calibri"/>
      <w:color w:val="000000"/>
      <w:sz w:val="24"/>
      <w:szCs w:val="24"/>
      <w:lang w:bidi="ar-SA"/>
    </w:rPr>
  </w:style>
  <w:style w:type="character" w:styleId="CommentReference">
    <w:name w:val="annotation reference"/>
    <w:basedOn w:val="DefaultParagraphFont"/>
    <w:semiHidden/>
    <w:unhideWhenUsed/>
    <w:rsid w:val="00850902"/>
    <w:rPr>
      <w:sz w:val="16"/>
      <w:szCs w:val="16"/>
    </w:rPr>
  </w:style>
  <w:style w:type="paragraph" w:styleId="CommentText">
    <w:name w:val="annotation text"/>
    <w:basedOn w:val="Normal"/>
    <w:link w:val="CommentTextChar"/>
    <w:semiHidden/>
    <w:unhideWhenUsed/>
    <w:rsid w:val="00850902"/>
    <w:pPr>
      <w:spacing w:line="240" w:lineRule="auto"/>
    </w:pPr>
    <w:rPr>
      <w:sz w:val="20"/>
      <w:szCs w:val="20"/>
    </w:rPr>
  </w:style>
  <w:style w:type="character" w:customStyle="1" w:styleId="CommentTextChar">
    <w:name w:val="Comment Text Char"/>
    <w:basedOn w:val="DefaultParagraphFont"/>
    <w:link w:val="CommentText"/>
    <w:semiHidden/>
    <w:rsid w:val="00850902"/>
    <w:rPr>
      <w:sz w:val="20"/>
      <w:szCs w:val="20"/>
    </w:rPr>
  </w:style>
  <w:style w:type="paragraph" w:styleId="CommentSubject">
    <w:name w:val="annotation subject"/>
    <w:basedOn w:val="CommentText"/>
    <w:next w:val="CommentText"/>
    <w:link w:val="CommentSubjectChar"/>
    <w:semiHidden/>
    <w:unhideWhenUsed/>
    <w:rsid w:val="00850902"/>
    <w:rPr>
      <w:b/>
      <w:bCs/>
    </w:rPr>
  </w:style>
  <w:style w:type="character" w:customStyle="1" w:styleId="CommentSubjectChar">
    <w:name w:val="Comment Subject Char"/>
    <w:basedOn w:val="CommentTextChar"/>
    <w:link w:val="CommentSubject"/>
    <w:semiHidden/>
    <w:rsid w:val="00850902"/>
    <w:rPr>
      <w:b/>
      <w:bCs/>
      <w:sz w:val="20"/>
      <w:szCs w:val="20"/>
    </w:rPr>
  </w:style>
  <w:style w:type="paragraph" w:styleId="Caption">
    <w:name w:val="caption"/>
    <w:basedOn w:val="Normal"/>
    <w:next w:val="Normal"/>
    <w:unhideWhenUsed/>
    <w:qFormat/>
    <w:rsid w:val="00875E24"/>
    <w:pPr>
      <w:spacing w:before="0" w:after="200" w:line="240" w:lineRule="auto"/>
    </w:pPr>
    <w:rPr>
      <w:i/>
      <w:iCs/>
      <w:color w:val="000000" w:themeColor="text2"/>
      <w:sz w:val="18"/>
      <w:szCs w:val="18"/>
    </w:rPr>
  </w:style>
  <w:style w:type="table" w:customStyle="1" w:styleId="GridTable2-Accent11">
    <w:name w:val="Grid Table 2 - Accent 11"/>
    <w:basedOn w:val="TableNormal"/>
    <w:next w:val="GridTable2-Accent1"/>
    <w:uiPriority w:val="47"/>
    <w:rsid w:val="00803867"/>
    <w:pPr>
      <w:spacing w:before="0" w:line="240" w:lineRule="auto"/>
    </w:pPr>
    <w:rPr>
      <w:rFonts w:eastAsia="Calibri"/>
      <w:lang w:bidi="ar-S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803867"/>
    <w:pPr>
      <w:spacing w:line="240" w:lineRule="auto"/>
    </w:pPr>
    <w:tblPr>
      <w:tblStyleRowBandSize w:val="1"/>
      <w:tblStyleColBandSize w:val="1"/>
      <w:tblBorders>
        <w:top w:val="single" w:sz="2" w:space="0" w:color="0991FF" w:themeColor="accent1" w:themeTint="99"/>
        <w:bottom w:val="single" w:sz="2" w:space="0" w:color="0991FF" w:themeColor="accent1" w:themeTint="99"/>
        <w:insideH w:val="single" w:sz="2" w:space="0" w:color="0991FF" w:themeColor="accent1" w:themeTint="99"/>
        <w:insideV w:val="single" w:sz="2" w:space="0" w:color="0991FF" w:themeColor="accent1" w:themeTint="99"/>
      </w:tblBorders>
    </w:tblPr>
    <w:tblStylePr w:type="firstRow">
      <w:rPr>
        <w:b/>
        <w:bCs/>
      </w:rPr>
      <w:tblPr/>
      <w:tcPr>
        <w:tcBorders>
          <w:top w:val="nil"/>
          <w:bottom w:val="single" w:sz="12" w:space="0" w:color="0991FF" w:themeColor="accent1" w:themeTint="99"/>
          <w:insideH w:val="nil"/>
          <w:insideV w:val="nil"/>
        </w:tcBorders>
        <w:shd w:val="clear" w:color="auto" w:fill="FFFFFF" w:themeFill="background1"/>
      </w:tcPr>
    </w:tblStylePr>
    <w:tblStylePr w:type="lastRow">
      <w:rPr>
        <w:b/>
        <w:bCs/>
      </w:rPr>
      <w:tblPr/>
      <w:tcPr>
        <w:tcBorders>
          <w:top w:val="double" w:sz="2" w:space="0" w:color="099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1" w:themeFillTint="33"/>
      </w:tcPr>
    </w:tblStylePr>
    <w:tblStylePr w:type="band1Horz">
      <w:tblPr/>
      <w:tcPr>
        <w:shd w:val="clear" w:color="auto" w:fill="ADDAFF" w:themeFill="accent1" w:themeFillTint="33"/>
      </w:tcPr>
    </w:tblStylePr>
  </w:style>
  <w:style w:type="table" w:customStyle="1" w:styleId="GridTable2-Accent12">
    <w:name w:val="Grid Table 2 - Accent 12"/>
    <w:basedOn w:val="TableNormal"/>
    <w:next w:val="GridTable2-Accent1"/>
    <w:uiPriority w:val="47"/>
    <w:rsid w:val="000E48DD"/>
    <w:pPr>
      <w:spacing w:before="0" w:line="240" w:lineRule="auto"/>
    </w:pPr>
    <w:rPr>
      <w:rFonts w:eastAsia="Calibri"/>
      <w:lang w:bidi="ar-S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13">
    <w:name w:val="Grid Table 2 - Accent 13"/>
    <w:basedOn w:val="TableNormal"/>
    <w:next w:val="GridTable2-Accent1"/>
    <w:uiPriority w:val="47"/>
    <w:rsid w:val="00923DF4"/>
    <w:pPr>
      <w:spacing w:before="0" w:line="240" w:lineRule="auto"/>
    </w:pPr>
    <w:rPr>
      <w:rFonts w:eastAsia="Calibri"/>
      <w:lang w:bidi="ar-S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4">
    <w:name w:val="Plain Table 4"/>
    <w:basedOn w:val="TableNormal"/>
    <w:uiPriority w:val="44"/>
    <w:rsid w:val="00C47A2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0503B7"/>
    <w:pPr>
      <w:spacing w:before="100" w:beforeAutospacing="1" w:after="100" w:afterAutospacing="1" w:line="240" w:lineRule="auto"/>
    </w:pPr>
    <w:rPr>
      <w:rFonts w:ascii="Times New Roman" w:hAnsi="Times New Roman"/>
      <w:sz w:val="24"/>
      <w:szCs w:val="24"/>
      <w:lang w:bidi="ar-SA"/>
    </w:rPr>
  </w:style>
  <w:style w:type="character" w:customStyle="1" w:styleId="contextualspellingandgrammarerror">
    <w:name w:val="contextualspellingandgrammarerror"/>
    <w:basedOn w:val="DefaultParagraphFont"/>
    <w:rsid w:val="000503B7"/>
  </w:style>
  <w:style w:type="character" w:customStyle="1" w:styleId="normaltextrun">
    <w:name w:val="normaltextrun"/>
    <w:basedOn w:val="DefaultParagraphFont"/>
    <w:rsid w:val="000503B7"/>
  </w:style>
  <w:style w:type="character" w:customStyle="1" w:styleId="eop">
    <w:name w:val="eop"/>
    <w:basedOn w:val="DefaultParagraphFont"/>
    <w:rsid w:val="0005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0904194">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2000065">
      <w:bodyDiv w:val="1"/>
      <w:marLeft w:val="0"/>
      <w:marRight w:val="0"/>
      <w:marTop w:val="0"/>
      <w:marBottom w:val="0"/>
      <w:divBdr>
        <w:top w:val="none" w:sz="0" w:space="0" w:color="auto"/>
        <w:left w:val="none" w:sz="0" w:space="0" w:color="auto"/>
        <w:bottom w:val="none" w:sz="0" w:space="0" w:color="auto"/>
        <w:right w:val="none" w:sz="0" w:space="0" w:color="auto"/>
      </w:divBdr>
    </w:div>
    <w:div w:id="150098612">
      <w:bodyDiv w:val="1"/>
      <w:marLeft w:val="0"/>
      <w:marRight w:val="0"/>
      <w:marTop w:val="0"/>
      <w:marBottom w:val="0"/>
      <w:divBdr>
        <w:top w:val="none" w:sz="0" w:space="0" w:color="auto"/>
        <w:left w:val="none" w:sz="0" w:space="0" w:color="auto"/>
        <w:bottom w:val="none" w:sz="0" w:space="0" w:color="auto"/>
        <w:right w:val="none" w:sz="0" w:space="0" w:color="auto"/>
      </w:divBdr>
    </w:div>
    <w:div w:id="232157220">
      <w:bodyDiv w:val="1"/>
      <w:marLeft w:val="0"/>
      <w:marRight w:val="0"/>
      <w:marTop w:val="0"/>
      <w:marBottom w:val="0"/>
      <w:divBdr>
        <w:top w:val="none" w:sz="0" w:space="0" w:color="auto"/>
        <w:left w:val="none" w:sz="0" w:space="0" w:color="auto"/>
        <w:bottom w:val="none" w:sz="0" w:space="0" w:color="auto"/>
        <w:right w:val="none" w:sz="0" w:space="0" w:color="auto"/>
      </w:divBdr>
    </w:div>
    <w:div w:id="259334173">
      <w:bodyDiv w:val="1"/>
      <w:marLeft w:val="0"/>
      <w:marRight w:val="0"/>
      <w:marTop w:val="0"/>
      <w:marBottom w:val="0"/>
      <w:divBdr>
        <w:top w:val="none" w:sz="0" w:space="0" w:color="auto"/>
        <w:left w:val="none" w:sz="0" w:space="0" w:color="auto"/>
        <w:bottom w:val="none" w:sz="0" w:space="0" w:color="auto"/>
        <w:right w:val="none" w:sz="0" w:space="0" w:color="auto"/>
      </w:divBdr>
    </w:div>
    <w:div w:id="592976997">
      <w:bodyDiv w:val="1"/>
      <w:marLeft w:val="0"/>
      <w:marRight w:val="0"/>
      <w:marTop w:val="0"/>
      <w:marBottom w:val="0"/>
      <w:divBdr>
        <w:top w:val="none" w:sz="0" w:space="0" w:color="auto"/>
        <w:left w:val="none" w:sz="0" w:space="0" w:color="auto"/>
        <w:bottom w:val="none" w:sz="0" w:space="0" w:color="auto"/>
        <w:right w:val="none" w:sz="0" w:space="0" w:color="auto"/>
      </w:divBdr>
    </w:div>
    <w:div w:id="1011449399">
      <w:bodyDiv w:val="1"/>
      <w:marLeft w:val="0"/>
      <w:marRight w:val="0"/>
      <w:marTop w:val="0"/>
      <w:marBottom w:val="0"/>
      <w:divBdr>
        <w:top w:val="none" w:sz="0" w:space="0" w:color="auto"/>
        <w:left w:val="none" w:sz="0" w:space="0" w:color="auto"/>
        <w:bottom w:val="none" w:sz="0" w:space="0" w:color="auto"/>
        <w:right w:val="none" w:sz="0" w:space="0" w:color="auto"/>
      </w:divBdr>
    </w:div>
    <w:div w:id="1029406484">
      <w:bodyDiv w:val="1"/>
      <w:marLeft w:val="0"/>
      <w:marRight w:val="0"/>
      <w:marTop w:val="0"/>
      <w:marBottom w:val="0"/>
      <w:divBdr>
        <w:top w:val="none" w:sz="0" w:space="0" w:color="auto"/>
        <w:left w:val="none" w:sz="0" w:space="0" w:color="auto"/>
        <w:bottom w:val="none" w:sz="0" w:space="0" w:color="auto"/>
        <w:right w:val="none" w:sz="0" w:space="0" w:color="auto"/>
      </w:divBdr>
    </w:div>
    <w:div w:id="1066339396">
      <w:bodyDiv w:val="1"/>
      <w:marLeft w:val="0"/>
      <w:marRight w:val="0"/>
      <w:marTop w:val="0"/>
      <w:marBottom w:val="0"/>
      <w:divBdr>
        <w:top w:val="none" w:sz="0" w:space="0" w:color="auto"/>
        <w:left w:val="none" w:sz="0" w:space="0" w:color="auto"/>
        <w:bottom w:val="none" w:sz="0" w:space="0" w:color="auto"/>
        <w:right w:val="none" w:sz="0" w:space="0" w:color="auto"/>
      </w:divBdr>
    </w:div>
    <w:div w:id="1212113385">
      <w:bodyDiv w:val="1"/>
      <w:marLeft w:val="0"/>
      <w:marRight w:val="0"/>
      <w:marTop w:val="0"/>
      <w:marBottom w:val="0"/>
      <w:divBdr>
        <w:top w:val="none" w:sz="0" w:space="0" w:color="auto"/>
        <w:left w:val="none" w:sz="0" w:space="0" w:color="auto"/>
        <w:bottom w:val="none" w:sz="0" w:space="0" w:color="auto"/>
        <w:right w:val="none" w:sz="0" w:space="0" w:color="auto"/>
      </w:divBdr>
    </w:div>
    <w:div w:id="1360082160">
      <w:bodyDiv w:val="1"/>
      <w:marLeft w:val="0"/>
      <w:marRight w:val="0"/>
      <w:marTop w:val="0"/>
      <w:marBottom w:val="0"/>
      <w:divBdr>
        <w:top w:val="none" w:sz="0" w:space="0" w:color="auto"/>
        <w:left w:val="none" w:sz="0" w:space="0" w:color="auto"/>
        <w:bottom w:val="none" w:sz="0" w:space="0" w:color="auto"/>
        <w:right w:val="none" w:sz="0" w:space="0" w:color="auto"/>
      </w:divBdr>
    </w:div>
    <w:div w:id="1488940545">
      <w:bodyDiv w:val="1"/>
      <w:marLeft w:val="0"/>
      <w:marRight w:val="0"/>
      <w:marTop w:val="0"/>
      <w:marBottom w:val="0"/>
      <w:divBdr>
        <w:top w:val="none" w:sz="0" w:space="0" w:color="auto"/>
        <w:left w:val="none" w:sz="0" w:space="0" w:color="auto"/>
        <w:bottom w:val="none" w:sz="0" w:space="0" w:color="auto"/>
        <w:right w:val="none" w:sz="0" w:space="0" w:color="auto"/>
      </w:divBdr>
    </w:div>
    <w:div w:id="1507475351">
      <w:bodyDiv w:val="1"/>
      <w:marLeft w:val="0"/>
      <w:marRight w:val="0"/>
      <w:marTop w:val="0"/>
      <w:marBottom w:val="0"/>
      <w:divBdr>
        <w:top w:val="none" w:sz="0" w:space="0" w:color="auto"/>
        <w:left w:val="none" w:sz="0" w:space="0" w:color="auto"/>
        <w:bottom w:val="none" w:sz="0" w:space="0" w:color="auto"/>
        <w:right w:val="none" w:sz="0" w:space="0" w:color="auto"/>
      </w:divBdr>
    </w:div>
    <w:div w:id="1564561117">
      <w:bodyDiv w:val="1"/>
      <w:marLeft w:val="0"/>
      <w:marRight w:val="0"/>
      <w:marTop w:val="0"/>
      <w:marBottom w:val="0"/>
      <w:divBdr>
        <w:top w:val="none" w:sz="0" w:space="0" w:color="auto"/>
        <w:left w:val="none" w:sz="0" w:space="0" w:color="auto"/>
        <w:bottom w:val="none" w:sz="0" w:space="0" w:color="auto"/>
        <w:right w:val="none" w:sz="0" w:space="0" w:color="auto"/>
      </w:divBdr>
    </w:div>
    <w:div w:id="1587109439">
      <w:bodyDiv w:val="1"/>
      <w:marLeft w:val="0"/>
      <w:marRight w:val="0"/>
      <w:marTop w:val="0"/>
      <w:marBottom w:val="0"/>
      <w:divBdr>
        <w:top w:val="none" w:sz="0" w:space="0" w:color="auto"/>
        <w:left w:val="none" w:sz="0" w:space="0" w:color="auto"/>
        <w:bottom w:val="none" w:sz="0" w:space="0" w:color="auto"/>
        <w:right w:val="none" w:sz="0" w:space="0" w:color="auto"/>
      </w:divBdr>
    </w:div>
    <w:div w:id="1596788983">
      <w:bodyDiv w:val="1"/>
      <w:marLeft w:val="0"/>
      <w:marRight w:val="0"/>
      <w:marTop w:val="0"/>
      <w:marBottom w:val="0"/>
      <w:divBdr>
        <w:top w:val="none" w:sz="0" w:space="0" w:color="auto"/>
        <w:left w:val="none" w:sz="0" w:space="0" w:color="auto"/>
        <w:bottom w:val="none" w:sz="0" w:space="0" w:color="auto"/>
        <w:right w:val="none" w:sz="0" w:space="0" w:color="auto"/>
      </w:divBdr>
    </w:div>
    <w:div w:id="1617179175">
      <w:bodyDiv w:val="1"/>
      <w:marLeft w:val="0"/>
      <w:marRight w:val="0"/>
      <w:marTop w:val="0"/>
      <w:marBottom w:val="0"/>
      <w:divBdr>
        <w:top w:val="none" w:sz="0" w:space="0" w:color="auto"/>
        <w:left w:val="none" w:sz="0" w:space="0" w:color="auto"/>
        <w:bottom w:val="none" w:sz="0" w:space="0" w:color="auto"/>
        <w:right w:val="none" w:sz="0" w:space="0" w:color="auto"/>
      </w:divBdr>
    </w:div>
    <w:div w:id="1901361428">
      <w:bodyDiv w:val="1"/>
      <w:marLeft w:val="0"/>
      <w:marRight w:val="0"/>
      <w:marTop w:val="0"/>
      <w:marBottom w:val="0"/>
      <w:divBdr>
        <w:top w:val="none" w:sz="0" w:space="0" w:color="auto"/>
        <w:left w:val="none" w:sz="0" w:space="0" w:color="auto"/>
        <w:bottom w:val="none" w:sz="0" w:space="0" w:color="auto"/>
        <w:right w:val="none" w:sz="0" w:space="0" w:color="auto"/>
      </w:divBdr>
    </w:div>
    <w:div w:id="1975793443">
      <w:bodyDiv w:val="1"/>
      <w:marLeft w:val="0"/>
      <w:marRight w:val="0"/>
      <w:marTop w:val="0"/>
      <w:marBottom w:val="0"/>
      <w:divBdr>
        <w:top w:val="none" w:sz="0" w:space="0" w:color="auto"/>
        <w:left w:val="none" w:sz="0" w:space="0" w:color="auto"/>
        <w:bottom w:val="none" w:sz="0" w:space="0" w:color="auto"/>
        <w:right w:val="none" w:sz="0" w:space="0" w:color="auto"/>
      </w:divBdr>
    </w:div>
    <w:div w:id="2034072512">
      <w:bodyDiv w:val="1"/>
      <w:marLeft w:val="0"/>
      <w:marRight w:val="0"/>
      <w:marTop w:val="0"/>
      <w:marBottom w:val="0"/>
      <w:divBdr>
        <w:top w:val="none" w:sz="0" w:space="0" w:color="auto"/>
        <w:left w:val="none" w:sz="0" w:space="0" w:color="auto"/>
        <w:bottom w:val="none" w:sz="0" w:space="0" w:color="auto"/>
        <w:right w:val="none" w:sz="0" w:space="0" w:color="auto"/>
      </w:divBdr>
    </w:div>
    <w:div w:id="20451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631A0-50C4-42D4-8AC4-94E24D4910C8}">
  <ds:schemaRefs>
    <ds:schemaRef ds:uri="http://schemas.openxmlformats.org/officeDocument/2006/bibliography"/>
  </ds:schemaRefs>
</ds:datastoreItem>
</file>

<file path=customXml/itemProps2.xml><?xml version="1.0" encoding="utf-8"?>
<ds:datastoreItem xmlns:ds="http://schemas.openxmlformats.org/officeDocument/2006/customXml" ds:itemID="{B8189122-E9F8-411A-BA32-10BB348FA8F0}"/>
</file>

<file path=customXml/itemProps3.xml><?xml version="1.0" encoding="utf-8"?>
<ds:datastoreItem xmlns:ds="http://schemas.openxmlformats.org/officeDocument/2006/customXml" ds:itemID="{4BEAB538-0840-4AFF-AEA8-CD2388827210}"/>
</file>

<file path=customXml/itemProps4.xml><?xml version="1.0" encoding="utf-8"?>
<ds:datastoreItem xmlns:ds="http://schemas.openxmlformats.org/officeDocument/2006/customXml" ds:itemID="{C175FA93-F020-459D-9B8D-343E18C514D3}"/>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template</dc:subject>
  <dc:creator/>
  <cp:keywords>template, report</cp:keywords>
  <cp:lastModifiedBy/>
  <cp:revision>1</cp:revision>
  <dcterms:created xsi:type="dcterms:W3CDTF">2023-03-09T20:16:00Z</dcterms:created>
  <dcterms:modified xsi:type="dcterms:W3CDTF">2023-03-09T20:16:00Z</dcterms:modified>
  <cp:category>template</cp:category>
  <cp:contentStatus>active</cp:contentStatus>
</cp:coreProperties>
</file>