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79" w:rsidRDefault="000059C4" w:rsidP="00AF0E79">
      <w:r>
        <w:rPr>
          <w:noProof/>
        </w:rPr>
        <w:drawing>
          <wp:inline distT="0" distB="0" distL="0" distR="0" wp14:anchorId="05A7E313" wp14:editId="14BF0781">
            <wp:extent cx="5943600" cy="784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2013Letterhead-GenericC.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84852"/>
                    </a:xfrm>
                    <a:prstGeom prst="rect">
                      <a:avLst/>
                    </a:prstGeom>
                  </pic:spPr>
                </pic:pic>
              </a:graphicData>
            </a:graphic>
          </wp:inline>
        </w:drawing>
      </w:r>
    </w:p>
    <w:p w:rsidR="00AF0E79" w:rsidRDefault="00AF0E79" w:rsidP="00AF0E79"/>
    <w:p w:rsidR="00AF0E79" w:rsidRDefault="00AF0E79" w:rsidP="00AF0E79"/>
    <w:p w:rsidR="00AF0E79" w:rsidRDefault="00AF0E79" w:rsidP="00AF0E79"/>
    <w:p w:rsidR="004276F5" w:rsidRDefault="004276F5" w:rsidP="00AF0E79">
      <w:pPr>
        <w:jc w:val="center"/>
      </w:pPr>
    </w:p>
    <w:p w:rsidR="004276F5" w:rsidRDefault="004276F5" w:rsidP="004276F5"/>
    <w:p w:rsidR="004276F5" w:rsidRPr="00305ED8" w:rsidRDefault="00364579" w:rsidP="004276F5">
      <w:pPr>
        <w:jc w:val="center"/>
        <w:rPr>
          <w:sz w:val="28"/>
          <w:szCs w:val="28"/>
        </w:rPr>
      </w:pPr>
      <w:r>
        <w:rPr>
          <w:sz w:val="28"/>
          <w:szCs w:val="28"/>
        </w:rPr>
        <w:t>2014</w:t>
      </w:r>
      <w:r w:rsidR="004276F5" w:rsidRPr="00305ED8">
        <w:rPr>
          <w:sz w:val="28"/>
          <w:szCs w:val="28"/>
        </w:rPr>
        <w:t xml:space="preserve"> Business Assistance Report</w:t>
      </w:r>
    </w:p>
    <w:p w:rsidR="004276F5" w:rsidRPr="00305ED8" w:rsidRDefault="004276F5" w:rsidP="004276F5">
      <w:pPr>
        <w:jc w:val="center"/>
        <w:rPr>
          <w:sz w:val="28"/>
          <w:szCs w:val="28"/>
        </w:rPr>
      </w:pPr>
    </w:p>
    <w:p w:rsidR="004276F5" w:rsidRPr="00305ED8" w:rsidRDefault="004276F5" w:rsidP="004276F5">
      <w:pPr>
        <w:jc w:val="center"/>
        <w:rPr>
          <w:bCs/>
          <w:sz w:val="28"/>
          <w:szCs w:val="28"/>
        </w:rPr>
      </w:pPr>
    </w:p>
    <w:p w:rsidR="004276F5" w:rsidRPr="00305ED8" w:rsidRDefault="004276F5" w:rsidP="004276F5">
      <w:pPr>
        <w:jc w:val="center"/>
        <w:rPr>
          <w:bCs/>
          <w:sz w:val="28"/>
          <w:szCs w:val="28"/>
        </w:rPr>
      </w:pPr>
      <w:r w:rsidRPr="00305ED8">
        <w:rPr>
          <w:bCs/>
          <w:sz w:val="28"/>
          <w:szCs w:val="28"/>
        </w:rPr>
        <w:t>Report to the Legislature</w:t>
      </w:r>
    </w:p>
    <w:p w:rsidR="004276F5" w:rsidRPr="00305ED8" w:rsidRDefault="004276F5" w:rsidP="004276F5">
      <w:pPr>
        <w:jc w:val="center"/>
        <w:rPr>
          <w:bCs/>
          <w:sz w:val="28"/>
          <w:szCs w:val="28"/>
        </w:rPr>
      </w:pPr>
    </w:p>
    <w:p w:rsidR="004276F5" w:rsidRPr="00305ED8" w:rsidRDefault="004276F5" w:rsidP="004276F5">
      <w:pPr>
        <w:jc w:val="center"/>
        <w:rPr>
          <w:bCs/>
          <w:sz w:val="28"/>
          <w:szCs w:val="28"/>
        </w:rPr>
      </w:pPr>
      <w:r w:rsidRPr="00305ED8">
        <w:rPr>
          <w:bCs/>
          <w:sz w:val="28"/>
          <w:szCs w:val="28"/>
        </w:rPr>
        <w:t>Summary of Business and Financial Assistance Reported</w:t>
      </w:r>
    </w:p>
    <w:p w:rsidR="004276F5" w:rsidRPr="00305ED8" w:rsidRDefault="004276F5" w:rsidP="004276F5">
      <w:pPr>
        <w:jc w:val="center"/>
        <w:rPr>
          <w:bCs/>
          <w:sz w:val="28"/>
          <w:szCs w:val="28"/>
        </w:rPr>
      </w:pPr>
      <w:r w:rsidRPr="00305ED8">
        <w:rPr>
          <w:bCs/>
          <w:sz w:val="28"/>
          <w:szCs w:val="28"/>
        </w:rPr>
        <w:t xml:space="preserve">By State and Local Government Agencies </w:t>
      </w:r>
      <w:r w:rsidR="00F27CC1">
        <w:rPr>
          <w:bCs/>
          <w:sz w:val="28"/>
          <w:szCs w:val="28"/>
        </w:rPr>
        <w:t xml:space="preserve">Provided </w:t>
      </w:r>
      <w:r w:rsidRPr="00305ED8">
        <w:rPr>
          <w:bCs/>
          <w:sz w:val="28"/>
          <w:szCs w:val="28"/>
        </w:rPr>
        <w:t>Between</w:t>
      </w:r>
    </w:p>
    <w:p w:rsidR="004276F5" w:rsidRPr="00305ED8" w:rsidRDefault="004276F5" w:rsidP="004276F5">
      <w:pPr>
        <w:jc w:val="center"/>
        <w:rPr>
          <w:bCs/>
          <w:sz w:val="28"/>
          <w:szCs w:val="28"/>
        </w:rPr>
      </w:pPr>
      <w:r w:rsidRPr="00305ED8">
        <w:rPr>
          <w:bCs/>
          <w:sz w:val="28"/>
          <w:szCs w:val="28"/>
        </w:rPr>
        <w:t>July 1,</w:t>
      </w:r>
      <w:r w:rsidR="00364579">
        <w:rPr>
          <w:bCs/>
          <w:sz w:val="28"/>
          <w:szCs w:val="28"/>
        </w:rPr>
        <w:t xml:space="preserve"> 1995 and December 31, 2013</w:t>
      </w:r>
    </w:p>
    <w:p w:rsidR="004276F5" w:rsidRPr="00305ED8" w:rsidRDefault="004276F5" w:rsidP="004276F5">
      <w:pPr>
        <w:jc w:val="center"/>
        <w:rPr>
          <w:bCs/>
          <w:sz w:val="28"/>
          <w:szCs w:val="28"/>
        </w:rPr>
      </w:pPr>
      <w:r w:rsidRPr="00305ED8">
        <w:rPr>
          <w:bCs/>
          <w:sz w:val="28"/>
          <w:szCs w:val="28"/>
        </w:rPr>
        <w:t>In Accordance With</w:t>
      </w:r>
    </w:p>
    <w:p w:rsidR="004276F5" w:rsidRPr="00305ED8" w:rsidRDefault="004276F5" w:rsidP="004276F5">
      <w:pPr>
        <w:jc w:val="center"/>
        <w:rPr>
          <w:sz w:val="28"/>
          <w:szCs w:val="28"/>
        </w:rPr>
      </w:pPr>
      <w:r w:rsidRPr="00305ED8">
        <w:rPr>
          <w:bCs/>
          <w:sz w:val="28"/>
          <w:szCs w:val="28"/>
        </w:rPr>
        <w:t xml:space="preserve">Minnesota Statutes § 116J.993 </w:t>
      </w:r>
      <w:proofErr w:type="gramStart"/>
      <w:r w:rsidRPr="00305ED8">
        <w:rPr>
          <w:bCs/>
          <w:sz w:val="28"/>
          <w:szCs w:val="28"/>
        </w:rPr>
        <w:t>Through</w:t>
      </w:r>
      <w:proofErr w:type="gramEnd"/>
      <w:r w:rsidRPr="00305ED8">
        <w:rPr>
          <w:bCs/>
          <w:sz w:val="28"/>
          <w:szCs w:val="28"/>
        </w:rPr>
        <w:t xml:space="preserve"> § 116J.995</w:t>
      </w:r>
      <w:r w:rsidRPr="00305ED8">
        <w:rPr>
          <w:bCs/>
          <w:sz w:val="28"/>
          <w:szCs w:val="28"/>
        </w:rPr>
        <w:br/>
      </w:r>
    </w:p>
    <w:p w:rsidR="004276F5" w:rsidRDefault="004276F5" w:rsidP="004276F5">
      <w:pPr>
        <w:jc w:val="center"/>
        <w:rPr>
          <w:rFonts w:ascii="Arial" w:hAnsi="Arial" w:cs="Arial"/>
        </w:rPr>
      </w:pPr>
    </w:p>
    <w:p w:rsidR="004276F5" w:rsidRDefault="004276F5" w:rsidP="004276F5">
      <w:pPr>
        <w:jc w:val="center"/>
        <w:rPr>
          <w:rFonts w:ascii="Arial" w:hAnsi="Arial" w:cs="Arial"/>
        </w:rPr>
      </w:pPr>
    </w:p>
    <w:p w:rsidR="004276F5" w:rsidRPr="00305ED8" w:rsidRDefault="004276F5" w:rsidP="004276F5">
      <w:pPr>
        <w:jc w:val="center"/>
      </w:pPr>
      <w:r w:rsidRPr="00305ED8">
        <w:t xml:space="preserve">(Appendices </w:t>
      </w:r>
      <w:r w:rsidR="00967738" w:rsidRPr="00305ED8">
        <w:t xml:space="preserve">Available </w:t>
      </w:r>
      <w:r w:rsidRPr="00305ED8">
        <w:t>Under Separate Cover)</w:t>
      </w:r>
    </w:p>
    <w:p w:rsidR="004276F5" w:rsidRPr="00305ED8" w:rsidRDefault="004276F5" w:rsidP="004276F5">
      <w:pPr>
        <w:jc w:val="center"/>
      </w:pPr>
    </w:p>
    <w:p w:rsidR="004276F5" w:rsidRPr="00305ED8" w:rsidRDefault="004276F5" w:rsidP="004276F5">
      <w:pPr>
        <w:jc w:val="right"/>
      </w:pPr>
    </w:p>
    <w:p w:rsidR="004276F5" w:rsidRPr="00305ED8" w:rsidRDefault="004276F5" w:rsidP="004276F5">
      <w:pPr>
        <w:jc w:val="right"/>
      </w:pPr>
    </w:p>
    <w:p w:rsidR="004276F5" w:rsidRPr="00305ED8" w:rsidRDefault="00364579" w:rsidP="004276F5">
      <w:pPr>
        <w:jc w:val="right"/>
      </w:pPr>
      <w:r>
        <w:t>December 2014</w:t>
      </w:r>
    </w:p>
    <w:p w:rsidR="008F159D" w:rsidRPr="00305ED8" w:rsidRDefault="008F159D" w:rsidP="004276F5">
      <w:pPr>
        <w:jc w:val="right"/>
      </w:pPr>
    </w:p>
    <w:p w:rsidR="008F159D" w:rsidRPr="00305ED8" w:rsidRDefault="008F159D" w:rsidP="004276F5">
      <w:pPr>
        <w:jc w:val="right"/>
      </w:pPr>
    </w:p>
    <w:p w:rsidR="008F159D" w:rsidRPr="00305ED8" w:rsidRDefault="008F159D" w:rsidP="004276F5">
      <w:pPr>
        <w:jc w:val="right"/>
      </w:pPr>
    </w:p>
    <w:p w:rsidR="004276F5" w:rsidRPr="00305ED8" w:rsidRDefault="004276F5" w:rsidP="004276F5">
      <w:pPr>
        <w:jc w:val="right"/>
      </w:pPr>
      <w:r w:rsidRPr="00305ED8">
        <w:t>Edwin Hodder</w:t>
      </w:r>
    </w:p>
    <w:p w:rsidR="004276F5" w:rsidRPr="00305ED8" w:rsidRDefault="004276F5" w:rsidP="004276F5">
      <w:pPr>
        <w:jc w:val="right"/>
      </w:pPr>
      <w:r w:rsidRPr="00305ED8">
        <w:t>Economic Analyst</w:t>
      </w:r>
    </w:p>
    <w:p w:rsidR="004276F5" w:rsidRPr="00305ED8" w:rsidRDefault="00D3040E" w:rsidP="004276F5">
      <w:pPr>
        <w:jc w:val="right"/>
      </w:pPr>
      <w:r>
        <w:t>Economic Analysis Unit</w:t>
      </w:r>
    </w:p>
    <w:p w:rsidR="004276F5" w:rsidRPr="00305ED8" w:rsidRDefault="004276F5" w:rsidP="004276F5">
      <w:pPr>
        <w:jc w:val="right"/>
      </w:pPr>
      <w:r w:rsidRPr="00305ED8">
        <w:t>Minnesota Department of Employment and Economic Development</w:t>
      </w:r>
      <w:r w:rsidRPr="00305ED8">
        <w:br/>
      </w:r>
    </w:p>
    <w:p w:rsidR="004276F5" w:rsidRPr="00305ED8" w:rsidRDefault="004276F5" w:rsidP="004276F5">
      <w:pPr>
        <w:jc w:val="right"/>
      </w:pPr>
    </w:p>
    <w:p w:rsidR="004276F5" w:rsidRPr="00305ED8" w:rsidRDefault="004276F5" w:rsidP="004276F5">
      <w:pPr>
        <w:jc w:val="right"/>
      </w:pPr>
    </w:p>
    <w:p w:rsidR="004276F5" w:rsidRPr="00305ED8" w:rsidRDefault="004276F5" w:rsidP="004276F5">
      <w:pPr>
        <w:jc w:val="right"/>
      </w:pPr>
      <w:r w:rsidRPr="00305ED8">
        <w:t>Total cost of salaries, printing, and supplies in</w:t>
      </w:r>
      <w:r w:rsidRPr="00305ED8">
        <w:br/>
        <w:t xml:space="preserve">developing/preparing this report is </w:t>
      </w:r>
      <w:r w:rsidR="00950074">
        <w:t>$</w:t>
      </w:r>
      <w:r w:rsidR="000059C4">
        <w:t>31,611.55</w:t>
      </w:r>
      <w:r w:rsidRPr="00305ED8">
        <w:br/>
        <w:t>(reported as required by Minn. Stat. 3.197)</w:t>
      </w:r>
    </w:p>
    <w:p w:rsidR="00730FC1" w:rsidRPr="00305ED8" w:rsidRDefault="00730FC1" w:rsidP="00730FC1">
      <w:pPr>
        <w:jc w:val="center"/>
        <w:rPr>
          <w:color w:val="003366"/>
        </w:rPr>
      </w:pPr>
    </w:p>
    <w:p w:rsidR="00730FC1" w:rsidRPr="00305ED8" w:rsidRDefault="00730FC1" w:rsidP="00730FC1">
      <w:pPr>
        <w:jc w:val="center"/>
        <w:rPr>
          <w:color w:val="003366"/>
        </w:rPr>
      </w:pPr>
    </w:p>
    <w:p w:rsidR="00730FC1" w:rsidRDefault="00730FC1" w:rsidP="00730FC1">
      <w:pPr>
        <w:jc w:val="center"/>
        <w:rPr>
          <w:rFonts w:ascii="Arial" w:hAnsi="Arial" w:cs="Arial"/>
          <w:color w:val="003366"/>
          <w:sz w:val="18"/>
          <w:szCs w:val="18"/>
        </w:rPr>
      </w:pPr>
    </w:p>
    <w:p w:rsidR="00730FC1" w:rsidRDefault="00730FC1" w:rsidP="00730FC1">
      <w:pPr>
        <w:jc w:val="center"/>
        <w:rPr>
          <w:rFonts w:ascii="Arial" w:hAnsi="Arial" w:cs="Arial"/>
          <w:color w:val="003366"/>
          <w:sz w:val="18"/>
          <w:szCs w:val="18"/>
        </w:rPr>
      </w:pPr>
      <w:r w:rsidRPr="00884207">
        <w:rPr>
          <w:rFonts w:ascii="Arial" w:hAnsi="Arial" w:cs="Arial"/>
          <w:color w:val="003366"/>
          <w:sz w:val="18"/>
          <w:szCs w:val="18"/>
        </w:rPr>
        <w:t xml:space="preserve">1st National Bank Building </w:t>
      </w:r>
      <w:r>
        <w:rPr>
          <w:rFonts w:ascii="Arial" w:hAnsi="Arial" w:cs="Arial"/>
          <w:color w:val="003366"/>
          <w:sz w:val="18"/>
          <w:szCs w:val="18"/>
        </w:rPr>
        <w:t xml:space="preserve"> </w:t>
      </w:r>
      <w:r w:rsidRPr="00884207">
        <w:rPr>
          <w:rFonts w:ascii="Arial" w:hAnsi="Arial" w:cs="Arial"/>
          <w:color w:val="003366"/>
          <w:sz w:val="18"/>
          <w:szCs w:val="18"/>
        </w:rPr>
        <w:sym w:font="ZapfDingbats" w:char="F06E"/>
      </w:r>
      <w:r w:rsidRPr="00884207">
        <w:rPr>
          <w:rFonts w:ascii="Arial" w:hAnsi="Arial" w:cs="Arial"/>
          <w:color w:val="003366"/>
          <w:sz w:val="18"/>
          <w:szCs w:val="18"/>
        </w:rPr>
        <w:t xml:space="preserve"> </w:t>
      </w:r>
      <w:r>
        <w:rPr>
          <w:rFonts w:ascii="Arial" w:hAnsi="Arial" w:cs="Arial"/>
          <w:color w:val="003366"/>
          <w:sz w:val="18"/>
          <w:szCs w:val="18"/>
        </w:rPr>
        <w:t xml:space="preserve"> </w:t>
      </w:r>
      <w:r w:rsidRPr="00884207">
        <w:rPr>
          <w:rFonts w:ascii="Arial" w:hAnsi="Arial" w:cs="Arial"/>
          <w:color w:val="003366"/>
          <w:sz w:val="18"/>
          <w:szCs w:val="18"/>
        </w:rPr>
        <w:t>332 Minnesota Street, Suite E200</w:t>
      </w:r>
      <w:r>
        <w:rPr>
          <w:rFonts w:ascii="Arial" w:hAnsi="Arial" w:cs="Arial"/>
          <w:color w:val="003366"/>
          <w:sz w:val="18"/>
          <w:szCs w:val="18"/>
        </w:rPr>
        <w:t xml:space="preserve"> </w:t>
      </w:r>
      <w:r w:rsidRPr="00884207">
        <w:rPr>
          <w:rFonts w:ascii="Arial" w:hAnsi="Arial" w:cs="Arial"/>
          <w:color w:val="003366"/>
          <w:sz w:val="18"/>
          <w:szCs w:val="18"/>
        </w:rPr>
        <w:t xml:space="preserve"> </w:t>
      </w:r>
      <w:r w:rsidRPr="00884207">
        <w:rPr>
          <w:rFonts w:ascii="Arial" w:hAnsi="Arial" w:cs="Arial"/>
          <w:color w:val="003366"/>
          <w:sz w:val="18"/>
          <w:szCs w:val="18"/>
        </w:rPr>
        <w:sym w:font="ZapfDingbats" w:char="F06E"/>
      </w:r>
      <w:r w:rsidRPr="00884207">
        <w:rPr>
          <w:rFonts w:ascii="Arial" w:hAnsi="Arial" w:cs="Arial"/>
          <w:color w:val="003366"/>
          <w:sz w:val="18"/>
          <w:szCs w:val="18"/>
        </w:rPr>
        <w:t xml:space="preserve"> </w:t>
      </w:r>
      <w:r>
        <w:rPr>
          <w:rFonts w:ascii="Arial" w:hAnsi="Arial" w:cs="Arial"/>
          <w:color w:val="003366"/>
          <w:sz w:val="18"/>
          <w:szCs w:val="18"/>
        </w:rPr>
        <w:t xml:space="preserve"> </w:t>
      </w:r>
      <w:r w:rsidRPr="00884207">
        <w:rPr>
          <w:rFonts w:ascii="Arial" w:hAnsi="Arial" w:cs="Arial"/>
          <w:color w:val="003366"/>
          <w:sz w:val="18"/>
          <w:szCs w:val="18"/>
        </w:rPr>
        <w:t>Saint Paul, MN 55101-</w:t>
      </w:r>
      <w:r w:rsidR="004A3E91">
        <w:rPr>
          <w:rFonts w:ascii="Arial" w:hAnsi="Arial" w:cs="Arial"/>
          <w:color w:val="003366"/>
          <w:sz w:val="18"/>
          <w:szCs w:val="18"/>
        </w:rPr>
        <w:t>1351</w:t>
      </w:r>
      <w:r w:rsidRPr="00884207">
        <w:rPr>
          <w:rFonts w:ascii="Arial" w:hAnsi="Arial" w:cs="Arial"/>
          <w:color w:val="003366"/>
          <w:sz w:val="18"/>
          <w:szCs w:val="18"/>
        </w:rPr>
        <w:t xml:space="preserve">  USA</w:t>
      </w:r>
      <w:r w:rsidR="00364579">
        <w:rPr>
          <w:rFonts w:ascii="Arial" w:hAnsi="Arial" w:cs="Arial"/>
          <w:color w:val="003366"/>
          <w:sz w:val="18"/>
          <w:szCs w:val="18"/>
        </w:rPr>
        <w:t xml:space="preserve"> http://mn.gov/deed</w:t>
      </w:r>
    </w:p>
    <w:p w:rsidR="00730FC1" w:rsidRDefault="00730FC1" w:rsidP="00730FC1">
      <w:pPr>
        <w:jc w:val="center"/>
        <w:rPr>
          <w:rFonts w:ascii="Arial" w:hAnsi="Arial" w:cs="Arial"/>
          <w:color w:val="003366"/>
          <w:sz w:val="18"/>
          <w:szCs w:val="18"/>
        </w:rPr>
      </w:pPr>
      <w:r>
        <w:rPr>
          <w:rFonts w:ascii="Arial" w:hAnsi="Arial" w:cs="Arial"/>
          <w:color w:val="003366"/>
          <w:sz w:val="18"/>
          <w:szCs w:val="18"/>
        </w:rPr>
        <w:t xml:space="preserve"> Toll Free: 800-657-3858 </w:t>
      </w:r>
      <w:r w:rsidRPr="00884207">
        <w:rPr>
          <w:rFonts w:ascii="Arial" w:hAnsi="Arial" w:cs="Arial"/>
          <w:color w:val="003366"/>
          <w:sz w:val="18"/>
          <w:szCs w:val="18"/>
        </w:rPr>
        <w:t xml:space="preserve"> </w:t>
      </w:r>
      <w:r w:rsidRPr="00884207">
        <w:rPr>
          <w:rFonts w:ascii="Arial" w:hAnsi="Arial" w:cs="Arial"/>
          <w:color w:val="003366"/>
          <w:sz w:val="18"/>
          <w:szCs w:val="18"/>
        </w:rPr>
        <w:sym w:font="ZapfDingbats" w:char="F06E"/>
      </w:r>
      <w:r>
        <w:rPr>
          <w:rFonts w:ascii="Arial" w:hAnsi="Arial" w:cs="Arial"/>
          <w:color w:val="003366"/>
          <w:sz w:val="18"/>
          <w:szCs w:val="18"/>
        </w:rPr>
        <w:t xml:space="preserve"> Phone: 651-259-7114 </w:t>
      </w:r>
      <w:r w:rsidRPr="00884207">
        <w:rPr>
          <w:rFonts w:ascii="Arial" w:hAnsi="Arial" w:cs="Arial"/>
          <w:color w:val="003366"/>
          <w:sz w:val="18"/>
          <w:szCs w:val="18"/>
        </w:rPr>
        <w:t xml:space="preserve"> </w:t>
      </w:r>
      <w:r w:rsidRPr="00884207">
        <w:rPr>
          <w:rFonts w:ascii="Arial" w:hAnsi="Arial" w:cs="Arial"/>
          <w:color w:val="003366"/>
          <w:sz w:val="18"/>
          <w:szCs w:val="18"/>
        </w:rPr>
        <w:sym w:font="ZapfDingbats" w:char="F06E"/>
      </w:r>
      <w:r>
        <w:rPr>
          <w:rFonts w:ascii="Arial" w:hAnsi="Arial" w:cs="Arial"/>
          <w:color w:val="003366"/>
          <w:sz w:val="18"/>
          <w:szCs w:val="18"/>
        </w:rPr>
        <w:t xml:space="preserve">  Fax: 651-215-3841 </w:t>
      </w:r>
      <w:r w:rsidRPr="00884207">
        <w:rPr>
          <w:rFonts w:ascii="Arial" w:hAnsi="Arial" w:cs="Arial"/>
          <w:color w:val="003366"/>
          <w:sz w:val="18"/>
          <w:szCs w:val="18"/>
        </w:rPr>
        <w:t xml:space="preserve"> </w:t>
      </w:r>
      <w:r w:rsidRPr="00884207">
        <w:rPr>
          <w:rFonts w:ascii="Arial" w:hAnsi="Arial" w:cs="Arial"/>
          <w:color w:val="003366"/>
          <w:sz w:val="18"/>
          <w:szCs w:val="18"/>
        </w:rPr>
        <w:sym w:font="ZapfDingbats" w:char="F06E"/>
      </w:r>
      <w:r>
        <w:rPr>
          <w:rFonts w:ascii="Arial" w:hAnsi="Arial" w:cs="Arial"/>
          <w:color w:val="003366"/>
          <w:sz w:val="18"/>
          <w:szCs w:val="18"/>
        </w:rPr>
        <w:t xml:space="preserve">  TTY: 651-296-3900</w:t>
      </w:r>
    </w:p>
    <w:p w:rsidR="00E55BED" w:rsidRDefault="00730FC1">
      <w:r w:rsidRPr="009B5850">
        <w:rPr>
          <w:i/>
          <w:color w:val="003366"/>
          <w:sz w:val="18"/>
          <w:szCs w:val="18"/>
        </w:rPr>
        <w:t>An Equal Opportunity Employer and Service Provider</w:t>
      </w:r>
      <w:r w:rsidR="00E55BED">
        <w:br w:type="page"/>
      </w:r>
    </w:p>
    <w:p w:rsidR="00730FC1" w:rsidRDefault="00730FC1" w:rsidP="00730FC1">
      <w:pPr>
        <w:jc w:val="center"/>
      </w:pPr>
    </w:p>
    <w:p w:rsidR="00AF0E79" w:rsidRDefault="00AF0E79" w:rsidP="00AF0E79">
      <w:pPr>
        <w:jc w:val="center"/>
      </w:pPr>
      <w:r>
        <w:t>TABLE OF CONTENTS</w:t>
      </w:r>
    </w:p>
    <w:p w:rsidR="00AF0E79" w:rsidRDefault="00AF0E79" w:rsidP="00AF0E79">
      <w:pPr>
        <w:tabs>
          <w:tab w:val="left" w:pos="7560"/>
        </w:tabs>
        <w:ind w:left="7560"/>
      </w:pPr>
      <w:r>
        <w:t xml:space="preserve">   PAGE</w:t>
      </w:r>
    </w:p>
    <w:p w:rsidR="00AF0E79" w:rsidRDefault="00AF0E79" w:rsidP="00AF0E79">
      <w:pPr>
        <w:tabs>
          <w:tab w:val="left" w:pos="7560"/>
        </w:tabs>
        <w:ind w:left="7560"/>
        <w:rPr>
          <w:u w:val="single"/>
        </w:rPr>
      </w:pPr>
      <w:r w:rsidRPr="00785ACE">
        <w:rPr>
          <w:u w:val="single"/>
        </w:rPr>
        <w:t>NUMBER</w:t>
      </w:r>
    </w:p>
    <w:p w:rsidR="00AF0E79" w:rsidRDefault="00AF0E79" w:rsidP="00AF0E79">
      <w:pPr>
        <w:tabs>
          <w:tab w:val="left" w:pos="7560"/>
        </w:tabs>
        <w:ind w:left="7560"/>
      </w:pPr>
    </w:p>
    <w:p w:rsidR="00AF0E79" w:rsidRDefault="00AF0E79" w:rsidP="00AF0E79">
      <w:pPr>
        <w:tabs>
          <w:tab w:val="left" w:pos="720"/>
          <w:tab w:val="right" w:pos="7080"/>
          <w:tab w:val="right" w:pos="8280"/>
        </w:tabs>
        <w:spacing w:line="360" w:lineRule="auto"/>
      </w:pPr>
      <w:r>
        <w:t>Introduction</w:t>
      </w:r>
      <w:r>
        <w:tab/>
        <w:t>..............................................................................................</w:t>
      </w:r>
      <w:r>
        <w:tab/>
        <w:t>1</w:t>
      </w:r>
    </w:p>
    <w:p w:rsidR="00AF0E79" w:rsidRDefault="00AF0E79" w:rsidP="00AF0E79">
      <w:pPr>
        <w:tabs>
          <w:tab w:val="left" w:pos="720"/>
          <w:tab w:val="right" w:pos="7080"/>
          <w:tab w:val="right" w:pos="8280"/>
        </w:tabs>
        <w:spacing w:line="360" w:lineRule="auto"/>
      </w:pPr>
      <w:r>
        <w:t>Data Collection</w:t>
      </w:r>
      <w:r>
        <w:tab/>
        <w:t>.........................................................................................</w:t>
      </w:r>
      <w:r>
        <w:tab/>
      </w:r>
      <w:r w:rsidR="00E55BED">
        <w:t>2</w:t>
      </w:r>
    </w:p>
    <w:p w:rsidR="00AF0E79" w:rsidRDefault="00AF0E79" w:rsidP="00AF0E79">
      <w:pPr>
        <w:tabs>
          <w:tab w:val="left" w:pos="720"/>
          <w:tab w:val="right" w:pos="7080"/>
          <w:tab w:val="right" w:pos="8280"/>
        </w:tabs>
        <w:spacing w:line="360" w:lineRule="auto"/>
      </w:pPr>
      <w:r>
        <w:t>Overview</w:t>
      </w:r>
      <w:r>
        <w:tab/>
        <w:t>..................................................................................................</w:t>
      </w:r>
      <w:r>
        <w:tab/>
      </w:r>
      <w:r w:rsidR="00280CAA">
        <w:t>2</w:t>
      </w:r>
    </w:p>
    <w:p w:rsidR="00AF0E79" w:rsidRDefault="00AF0E79" w:rsidP="00AF0E79">
      <w:pPr>
        <w:tabs>
          <w:tab w:val="left" w:pos="720"/>
          <w:tab w:val="right" w:pos="7080"/>
          <w:tab w:val="right" w:pos="8280"/>
        </w:tabs>
        <w:spacing w:line="360" w:lineRule="auto"/>
      </w:pPr>
      <w:r>
        <w:t>Overview of Non-JOBZ Findings</w:t>
      </w:r>
      <w:r>
        <w:tab/>
        <w:t>...........................................................</w:t>
      </w:r>
      <w:r>
        <w:tab/>
      </w:r>
      <w:r w:rsidR="002670E1">
        <w:t>3</w:t>
      </w:r>
    </w:p>
    <w:p w:rsidR="00AF0E79" w:rsidRDefault="00364579" w:rsidP="00AF0E79">
      <w:pPr>
        <w:tabs>
          <w:tab w:val="left" w:pos="720"/>
          <w:tab w:val="right" w:pos="7080"/>
          <w:tab w:val="right" w:pos="8280"/>
        </w:tabs>
        <w:spacing w:line="360" w:lineRule="auto"/>
      </w:pPr>
      <w:r>
        <w:t>2013</w:t>
      </w:r>
      <w:r w:rsidR="00AF0E79">
        <w:t xml:space="preserve"> Activity Findings</w:t>
      </w:r>
      <w:r w:rsidR="00AF0E79">
        <w:tab/>
        <w:t>.............................................</w:t>
      </w:r>
      <w:r w:rsidR="007D030D">
        <w:t>..............................</w:t>
      </w:r>
      <w:r w:rsidR="007D030D">
        <w:tab/>
      </w:r>
      <w:r w:rsidR="0051301F">
        <w:t>10</w:t>
      </w:r>
    </w:p>
    <w:p w:rsidR="00F5348C" w:rsidRDefault="00F5348C" w:rsidP="00AF0E79">
      <w:pPr>
        <w:tabs>
          <w:tab w:val="left" w:pos="720"/>
          <w:tab w:val="right" w:pos="7080"/>
          <w:tab w:val="right" w:pos="8280"/>
        </w:tabs>
        <w:spacing w:line="360" w:lineRule="auto"/>
      </w:pPr>
    </w:p>
    <w:p w:rsidR="00AF0E79" w:rsidRDefault="00AF0E79" w:rsidP="00AF0E79">
      <w:pPr>
        <w:tabs>
          <w:tab w:val="left" w:pos="720"/>
          <w:tab w:val="right" w:pos="7080"/>
          <w:tab w:val="right" w:pos="8280"/>
        </w:tabs>
        <w:spacing w:line="360" w:lineRule="auto"/>
      </w:pPr>
      <w:r>
        <w:t>Appendices (under separate cover)</w:t>
      </w:r>
    </w:p>
    <w:p w:rsidR="00AF0E79" w:rsidRPr="00DB4DFB" w:rsidRDefault="00AF0E79" w:rsidP="00AF0E79">
      <w:pPr>
        <w:tabs>
          <w:tab w:val="left" w:pos="720"/>
          <w:tab w:val="left" w:pos="2280"/>
          <w:tab w:val="right" w:pos="6840"/>
          <w:tab w:val="right" w:pos="8280"/>
        </w:tabs>
        <w:ind w:left="2160" w:hanging="2160"/>
        <w:rPr>
          <w:sz w:val="20"/>
          <w:szCs w:val="20"/>
        </w:rPr>
      </w:pPr>
      <w:r>
        <w:tab/>
      </w:r>
      <w:r w:rsidRPr="00DB4DFB">
        <w:rPr>
          <w:sz w:val="20"/>
          <w:szCs w:val="20"/>
        </w:rPr>
        <w:t>Appendix A:</w:t>
      </w:r>
      <w:r w:rsidRPr="00DB4DFB">
        <w:rPr>
          <w:sz w:val="20"/>
          <w:szCs w:val="20"/>
        </w:rPr>
        <w:tab/>
        <w:t>Listing of Ag</w:t>
      </w:r>
      <w:r w:rsidR="00364579" w:rsidRPr="00DB4DFB">
        <w:rPr>
          <w:sz w:val="20"/>
          <w:szCs w:val="20"/>
        </w:rPr>
        <w:t xml:space="preserve">encies Required </w:t>
      </w:r>
      <w:proofErr w:type="gramStart"/>
      <w:r w:rsidR="00364579" w:rsidRPr="00DB4DFB">
        <w:rPr>
          <w:sz w:val="20"/>
          <w:szCs w:val="20"/>
        </w:rPr>
        <w:t>to Submit</w:t>
      </w:r>
      <w:proofErr w:type="gramEnd"/>
      <w:r w:rsidR="00364579" w:rsidRPr="00DB4DFB">
        <w:rPr>
          <w:sz w:val="20"/>
          <w:szCs w:val="20"/>
        </w:rPr>
        <w:t xml:space="preserve"> a 2014</w:t>
      </w:r>
      <w:r w:rsidRPr="00DB4DFB">
        <w:rPr>
          <w:sz w:val="20"/>
          <w:szCs w:val="20"/>
        </w:rPr>
        <w:t xml:space="preserve"> MBAF</w:t>
      </w:r>
    </w:p>
    <w:p w:rsidR="00364579" w:rsidRPr="00DB4DFB" w:rsidRDefault="00364579" w:rsidP="004F314D">
      <w:pPr>
        <w:tabs>
          <w:tab w:val="left" w:pos="720"/>
          <w:tab w:val="left" w:pos="2520"/>
          <w:tab w:val="right" w:pos="6840"/>
          <w:tab w:val="right" w:pos="8280"/>
        </w:tabs>
        <w:ind w:left="2160" w:hanging="2160"/>
        <w:rPr>
          <w:sz w:val="20"/>
          <w:szCs w:val="20"/>
        </w:rPr>
      </w:pPr>
      <w:r w:rsidRPr="00DB4DFB">
        <w:rPr>
          <w:sz w:val="20"/>
          <w:szCs w:val="20"/>
        </w:rPr>
        <w:tab/>
        <w:t>Appendix B:</w:t>
      </w:r>
      <w:r w:rsidRPr="00DB4DFB">
        <w:rPr>
          <w:sz w:val="20"/>
          <w:szCs w:val="20"/>
        </w:rPr>
        <w:tab/>
        <w:t>Summary of 2013 Non-JOBZ Business and F</w:t>
      </w:r>
      <w:r w:rsidR="004F314D">
        <w:rPr>
          <w:sz w:val="20"/>
          <w:szCs w:val="20"/>
        </w:rPr>
        <w:t xml:space="preserve">inancial Assistance Agreements </w:t>
      </w:r>
      <w:r w:rsidRPr="00DB4DFB">
        <w:rPr>
          <w:sz w:val="20"/>
          <w:szCs w:val="20"/>
        </w:rPr>
        <w:t>Reporte</w:t>
      </w:r>
      <w:r w:rsidR="00E25801" w:rsidRPr="00DB4DFB">
        <w:rPr>
          <w:sz w:val="20"/>
          <w:szCs w:val="20"/>
        </w:rPr>
        <w:t>d by Government Agencies in 2014</w:t>
      </w:r>
    </w:p>
    <w:p w:rsidR="00364579" w:rsidRPr="00DB4DFB" w:rsidRDefault="00364579" w:rsidP="00364579">
      <w:pPr>
        <w:tabs>
          <w:tab w:val="left" w:pos="720"/>
          <w:tab w:val="left" w:pos="2280"/>
          <w:tab w:val="right" w:pos="6840"/>
          <w:tab w:val="right" w:pos="8280"/>
        </w:tabs>
        <w:ind w:left="2160" w:hanging="2160"/>
        <w:rPr>
          <w:sz w:val="20"/>
          <w:szCs w:val="20"/>
        </w:rPr>
      </w:pPr>
      <w:r w:rsidRPr="00DB4DFB">
        <w:rPr>
          <w:sz w:val="20"/>
          <w:szCs w:val="20"/>
        </w:rPr>
        <w:tab/>
        <w:t>Appendix C:</w:t>
      </w:r>
      <w:r w:rsidRPr="00DB4DFB">
        <w:rPr>
          <w:sz w:val="20"/>
          <w:szCs w:val="20"/>
        </w:rPr>
        <w:tab/>
        <w:t>Summary of 2012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D</w:t>
      </w:r>
      <w:r w:rsidR="000E3251" w:rsidRPr="00DB4DFB">
        <w:rPr>
          <w:sz w:val="20"/>
          <w:szCs w:val="20"/>
        </w:rPr>
        <w:t>:</w:t>
      </w:r>
      <w:r w:rsidR="000E3251" w:rsidRPr="00DB4DFB">
        <w:rPr>
          <w:sz w:val="20"/>
          <w:szCs w:val="20"/>
        </w:rPr>
        <w:tab/>
        <w:t>Summary of 2011</w:t>
      </w:r>
      <w:r w:rsidR="00AF0E79" w:rsidRPr="00DB4DFB">
        <w:rPr>
          <w:sz w:val="20"/>
          <w:szCs w:val="20"/>
        </w:rPr>
        <w:t xml:space="preserve"> Non-JOBZ Business </w:t>
      </w:r>
      <w:r w:rsidR="00E319A0" w:rsidRPr="00DB4DFB">
        <w:rPr>
          <w:sz w:val="20"/>
          <w:szCs w:val="20"/>
        </w:rPr>
        <w:t xml:space="preserve">and Financial </w:t>
      </w:r>
      <w:r w:rsidR="004F314D">
        <w:rPr>
          <w:sz w:val="20"/>
          <w:szCs w:val="20"/>
        </w:rPr>
        <w:t xml:space="preserve">Assistance Agreements </w:t>
      </w:r>
      <w:r w:rsidR="00AF0E79" w:rsidRPr="00DB4DFB">
        <w:rPr>
          <w:sz w:val="20"/>
          <w:szCs w:val="20"/>
        </w:rPr>
        <w:t xml:space="preserve">Reported by Government </w:t>
      </w:r>
      <w:r w:rsidR="00E25801" w:rsidRPr="00DB4DFB">
        <w:rPr>
          <w:sz w:val="20"/>
          <w:szCs w:val="20"/>
        </w:rPr>
        <w:t>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E</w:t>
      </w:r>
      <w:r w:rsidR="000E3251" w:rsidRPr="00DB4DFB">
        <w:rPr>
          <w:sz w:val="20"/>
          <w:szCs w:val="20"/>
        </w:rPr>
        <w:t>:</w:t>
      </w:r>
      <w:r w:rsidR="000E3251" w:rsidRPr="00DB4DFB">
        <w:rPr>
          <w:sz w:val="20"/>
          <w:szCs w:val="20"/>
        </w:rPr>
        <w:tab/>
        <w:t>Summary of 2010</w:t>
      </w:r>
      <w:r w:rsidR="00AF0E79" w:rsidRPr="00DB4DFB">
        <w:rPr>
          <w:sz w:val="20"/>
          <w:szCs w:val="20"/>
        </w:rPr>
        <w:t xml:space="preserve">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F</w:t>
      </w:r>
      <w:r w:rsidR="000E3251" w:rsidRPr="00DB4DFB">
        <w:rPr>
          <w:sz w:val="20"/>
          <w:szCs w:val="20"/>
        </w:rPr>
        <w:t>:</w:t>
      </w:r>
      <w:r w:rsidR="000E3251" w:rsidRPr="00DB4DFB">
        <w:rPr>
          <w:sz w:val="20"/>
          <w:szCs w:val="20"/>
        </w:rPr>
        <w:tab/>
        <w:t>Summary of 2009</w:t>
      </w:r>
      <w:r w:rsidR="00AF0E79" w:rsidRPr="00DB4DFB">
        <w:rPr>
          <w:sz w:val="20"/>
          <w:szCs w:val="20"/>
        </w:rPr>
        <w:t xml:space="preserve"> Non-JOBZ Business and Financial Assistance Agreements Reported by Government Agencies i</w:t>
      </w:r>
      <w:r w:rsidR="00E25801" w:rsidRPr="00DB4DFB">
        <w:rPr>
          <w:sz w:val="20"/>
          <w:szCs w:val="20"/>
        </w:rPr>
        <w:t>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G</w:t>
      </w:r>
      <w:r w:rsidR="000E3251" w:rsidRPr="00DB4DFB">
        <w:rPr>
          <w:sz w:val="20"/>
          <w:szCs w:val="20"/>
        </w:rPr>
        <w:t>:</w:t>
      </w:r>
      <w:r w:rsidR="000E3251" w:rsidRPr="00DB4DFB">
        <w:rPr>
          <w:sz w:val="20"/>
          <w:szCs w:val="20"/>
        </w:rPr>
        <w:tab/>
        <w:t>Summary of 2008</w:t>
      </w:r>
      <w:r w:rsidR="00AF0E79" w:rsidRPr="00DB4DFB">
        <w:rPr>
          <w:sz w:val="20"/>
          <w:szCs w:val="20"/>
        </w:rPr>
        <w:t xml:space="preserve">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H</w:t>
      </w:r>
      <w:r w:rsidR="000E3251" w:rsidRPr="00DB4DFB">
        <w:rPr>
          <w:sz w:val="20"/>
          <w:szCs w:val="20"/>
        </w:rPr>
        <w:t>:</w:t>
      </w:r>
      <w:r w:rsidR="000E3251" w:rsidRPr="00DB4DFB">
        <w:rPr>
          <w:sz w:val="20"/>
          <w:szCs w:val="20"/>
        </w:rPr>
        <w:tab/>
        <w:t>Summary of 2007</w:t>
      </w:r>
      <w:r w:rsidR="00AF0E79" w:rsidRPr="00DB4DFB">
        <w:rPr>
          <w:sz w:val="20"/>
          <w:szCs w:val="20"/>
        </w:rPr>
        <w:t xml:space="preserve"> Non-JOBZ Business and Financial Assistance Agreements Reporte</w:t>
      </w:r>
      <w:r w:rsidR="00E25801" w:rsidRPr="00DB4DFB">
        <w:rPr>
          <w:sz w:val="20"/>
          <w:szCs w:val="20"/>
        </w:rPr>
        <w:t>d by Government Agencies in 2014</w:t>
      </w:r>
    </w:p>
    <w:p w:rsidR="00AF0E79" w:rsidRPr="00DB4DFB" w:rsidRDefault="00AF0E79" w:rsidP="00AF0E79">
      <w:pPr>
        <w:tabs>
          <w:tab w:val="left" w:pos="720"/>
          <w:tab w:val="left" w:pos="2280"/>
          <w:tab w:val="right" w:pos="6840"/>
          <w:tab w:val="right" w:pos="8280"/>
        </w:tabs>
        <w:ind w:left="2160" w:hanging="2160"/>
        <w:rPr>
          <w:sz w:val="20"/>
          <w:szCs w:val="20"/>
        </w:rPr>
      </w:pPr>
      <w:r w:rsidRPr="00DB4DFB">
        <w:rPr>
          <w:sz w:val="20"/>
          <w:szCs w:val="20"/>
        </w:rPr>
        <w:tab/>
        <w:t>Ap</w:t>
      </w:r>
      <w:r w:rsidR="00364579" w:rsidRPr="00DB4DFB">
        <w:rPr>
          <w:sz w:val="20"/>
          <w:szCs w:val="20"/>
        </w:rPr>
        <w:t>pendix I</w:t>
      </w:r>
      <w:r w:rsidR="000E3251" w:rsidRPr="00DB4DFB">
        <w:rPr>
          <w:sz w:val="20"/>
          <w:szCs w:val="20"/>
        </w:rPr>
        <w:t>:</w:t>
      </w:r>
      <w:r w:rsidR="000E3251" w:rsidRPr="00DB4DFB">
        <w:rPr>
          <w:sz w:val="20"/>
          <w:szCs w:val="20"/>
        </w:rPr>
        <w:tab/>
        <w:t>Summary of 2006</w:t>
      </w:r>
      <w:r w:rsidRPr="00DB4DFB">
        <w:rPr>
          <w:sz w:val="20"/>
          <w:szCs w:val="20"/>
        </w:rPr>
        <w:t xml:space="preserve">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J</w:t>
      </w:r>
      <w:r w:rsidR="000E3251" w:rsidRPr="00DB4DFB">
        <w:rPr>
          <w:sz w:val="20"/>
          <w:szCs w:val="20"/>
        </w:rPr>
        <w:t>:</w:t>
      </w:r>
      <w:r w:rsidR="000E3251" w:rsidRPr="00DB4DFB">
        <w:rPr>
          <w:sz w:val="20"/>
          <w:szCs w:val="20"/>
        </w:rPr>
        <w:tab/>
        <w:t>Summary of 2005</w:t>
      </w:r>
      <w:r w:rsidR="00AF0E79" w:rsidRPr="00DB4DFB">
        <w:rPr>
          <w:sz w:val="20"/>
          <w:szCs w:val="20"/>
        </w:rPr>
        <w:t xml:space="preserve">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K</w:t>
      </w:r>
      <w:r w:rsidR="00AF0E79" w:rsidRPr="00DB4DFB">
        <w:rPr>
          <w:sz w:val="20"/>
          <w:szCs w:val="20"/>
        </w:rPr>
        <w:t>:</w:t>
      </w:r>
      <w:r w:rsidR="00AF0E79" w:rsidRPr="00DB4DFB">
        <w:rPr>
          <w:sz w:val="20"/>
          <w:szCs w:val="20"/>
        </w:rPr>
        <w:tab/>
      </w:r>
      <w:r w:rsidR="000E3251" w:rsidRPr="00DB4DFB">
        <w:rPr>
          <w:sz w:val="20"/>
          <w:szCs w:val="20"/>
        </w:rPr>
        <w:t>Summary of 2004</w:t>
      </w:r>
      <w:r w:rsidR="00AF0E79" w:rsidRPr="00DB4DFB">
        <w:rPr>
          <w:sz w:val="20"/>
          <w:szCs w:val="20"/>
        </w:rPr>
        <w:t xml:space="preserve"> Non-JOBZ Business and Financial Assistance Agreements Reporte</w:t>
      </w:r>
      <w:r w:rsidR="00E25801" w:rsidRPr="00DB4DFB">
        <w:rPr>
          <w:sz w:val="20"/>
          <w:szCs w:val="20"/>
        </w:rPr>
        <w:t>d by Government Agencies in 2014</w:t>
      </w:r>
    </w:p>
    <w:p w:rsidR="000E3251"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L</w:t>
      </w:r>
      <w:r w:rsidR="000E3251" w:rsidRPr="00DB4DFB">
        <w:rPr>
          <w:sz w:val="20"/>
          <w:szCs w:val="20"/>
        </w:rPr>
        <w:t>:</w:t>
      </w:r>
      <w:r w:rsidR="000E3251" w:rsidRPr="00DB4DFB">
        <w:rPr>
          <w:sz w:val="20"/>
          <w:szCs w:val="20"/>
        </w:rPr>
        <w:tab/>
        <w:t>Summary of 2003 Non-JOBZ Business and Financial Assistance Agreements Reporte</w:t>
      </w:r>
      <w:r w:rsidR="00E25801" w:rsidRPr="00DB4DFB">
        <w:rPr>
          <w:sz w:val="20"/>
          <w:szCs w:val="20"/>
        </w:rPr>
        <w:t>d by Government Agencies in 2014</w:t>
      </w:r>
    </w:p>
    <w:p w:rsidR="000E3251"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M</w:t>
      </w:r>
      <w:r w:rsidR="000E3251" w:rsidRPr="00DB4DFB">
        <w:rPr>
          <w:sz w:val="20"/>
          <w:szCs w:val="20"/>
        </w:rPr>
        <w:t>:</w:t>
      </w:r>
      <w:r w:rsidR="000E3251" w:rsidRPr="00DB4DFB">
        <w:rPr>
          <w:sz w:val="20"/>
          <w:szCs w:val="20"/>
        </w:rPr>
        <w:tab/>
        <w:t>Summary of 2002 Non-JOBZ Business and Financial Assistance Agreements Reporte</w:t>
      </w:r>
      <w:r w:rsidR="00E25801" w:rsidRPr="00DB4DFB">
        <w:rPr>
          <w:sz w:val="20"/>
          <w:szCs w:val="20"/>
        </w:rPr>
        <w:t>d by Government Agencies in 2014</w:t>
      </w:r>
    </w:p>
    <w:p w:rsidR="000E3251"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N</w:t>
      </w:r>
      <w:r w:rsidR="000E3251" w:rsidRPr="00DB4DFB">
        <w:rPr>
          <w:sz w:val="20"/>
          <w:szCs w:val="20"/>
        </w:rPr>
        <w:t>:</w:t>
      </w:r>
      <w:r w:rsidR="000E3251" w:rsidRPr="00DB4DFB">
        <w:rPr>
          <w:sz w:val="20"/>
          <w:szCs w:val="20"/>
        </w:rPr>
        <w:tab/>
        <w:t>Summary of 2001 Non-JOBZ Business and Financial Assistance Agreements Reporte</w:t>
      </w:r>
      <w:r w:rsidR="00E25801" w:rsidRPr="00DB4DFB">
        <w:rPr>
          <w:sz w:val="20"/>
          <w:szCs w:val="20"/>
        </w:rPr>
        <w:t>d by Government Agencies in 2014</w:t>
      </w:r>
    </w:p>
    <w:p w:rsidR="000E3251" w:rsidRPr="00DB4DFB" w:rsidRDefault="00364579" w:rsidP="000E3251">
      <w:pPr>
        <w:tabs>
          <w:tab w:val="left" w:pos="720"/>
          <w:tab w:val="left" w:pos="2280"/>
          <w:tab w:val="right" w:pos="6840"/>
          <w:tab w:val="right" w:pos="8280"/>
        </w:tabs>
        <w:ind w:left="2160" w:hanging="2160"/>
        <w:rPr>
          <w:sz w:val="20"/>
          <w:szCs w:val="20"/>
        </w:rPr>
      </w:pPr>
      <w:r w:rsidRPr="00DB4DFB">
        <w:rPr>
          <w:sz w:val="20"/>
          <w:szCs w:val="20"/>
        </w:rPr>
        <w:tab/>
        <w:t>Appendix O</w:t>
      </w:r>
      <w:r w:rsidR="000E3251" w:rsidRPr="00DB4DFB">
        <w:rPr>
          <w:sz w:val="20"/>
          <w:szCs w:val="20"/>
        </w:rPr>
        <w:t>:</w:t>
      </w:r>
      <w:r w:rsidR="000E3251" w:rsidRPr="00DB4DFB">
        <w:rPr>
          <w:sz w:val="20"/>
          <w:szCs w:val="20"/>
        </w:rPr>
        <w:tab/>
        <w:t>Summary of 2000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P</w:t>
      </w:r>
      <w:r w:rsidR="00AF0E79" w:rsidRPr="00DB4DFB">
        <w:rPr>
          <w:sz w:val="20"/>
          <w:szCs w:val="20"/>
        </w:rPr>
        <w:t>:</w:t>
      </w:r>
      <w:r w:rsidR="00AF0E79" w:rsidRPr="00DB4DFB">
        <w:rPr>
          <w:sz w:val="20"/>
          <w:szCs w:val="20"/>
        </w:rPr>
        <w:tab/>
        <w:t>Summary of 1999 (August 1 - December 31, 1999) Non-JOBZ Business and Financial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Q</w:t>
      </w:r>
      <w:r w:rsidR="00AF0E79" w:rsidRPr="00DB4DFB">
        <w:rPr>
          <w:sz w:val="20"/>
          <w:szCs w:val="20"/>
        </w:rPr>
        <w:t>:</w:t>
      </w:r>
      <w:r w:rsidR="00AF0E79" w:rsidRPr="00DB4DFB">
        <w:rPr>
          <w:sz w:val="20"/>
          <w:szCs w:val="20"/>
        </w:rPr>
        <w:tab/>
        <w:t>Summary of July 1, 1995 - July 31, 1999 Non-JOBZ Business Assistance Agreements Reporte</w:t>
      </w:r>
      <w:r w:rsidR="00E25801" w:rsidRPr="00DB4DFB">
        <w:rPr>
          <w:sz w:val="20"/>
          <w:szCs w:val="20"/>
        </w:rPr>
        <w:t>d by Government Agencies in 2014</w:t>
      </w:r>
    </w:p>
    <w:p w:rsidR="00AF0E79"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R</w:t>
      </w:r>
      <w:r w:rsidR="00AF0E79" w:rsidRPr="00DB4DFB">
        <w:rPr>
          <w:sz w:val="20"/>
          <w:szCs w:val="20"/>
        </w:rPr>
        <w:t>:</w:t>
      </w:r>
      <w:r w:rsidR="00AF0E79" w:rsidRPr="00DB4DFB">
        <w:rPr>
          <w:sz w:val="20"/>
          <w:szCs w:val="20"/>
        </w:rPr>
        <w:tab/>
        <w:t>Listing of Agencies that Held a Public Hearing and Adopted Criteria Per M.S. 116J.993 - M.S. 116J.995</w:t>
      </w:r>
    </w:p>
    <w:p w:rsidR="000E3251" w:rsidRPr="00DB4DFB" w:rsidRDefault="00364579" w:rsidP="00AF0E79">
      <w:pPr>
        <w:tabs>
          <w:tab w:val="left" w:pos="720"/>
          <w:tab w:val="left" w:pos="2280"/>
          <w:tab w:val="right" w:pos="6840"/>
          <w:tab w:val="right" w:pos="8280"/>
        </w:tabs>
        <w:ind w:left="2160" w:hanging="2160"/>
        <w:rPr>
          <w:sz w:val="20"/>
          <w:szCs w:val="20"/>
        </w:rPr>
      </w:pPr>
      <w:r w:rsidRPr="00DB4DFB">
        <w:rPr>
          <w:sz w:val="20"/>
          <w:szCs w:val="20"/>
        </w:rPr>
        <w:tab/>
        <w:t>Appendix S</w:t>
      </w:r>
      <w:r w:rsidR="000E3251" w:rsidRPr="00DB4DFB">
        <w:rPr>
          <w:sz w:val="20"/>
          <w:szCs w:val="20"/>
        </w:rPr>
        <w:t>:</w:t>
      </w:r>
      <w:r w:rsidR="000E3251" w:rsidRPr="00DB4DFB">
        <w:rPr>
          <w:sz w:val="20"/>
          <w:szCs w:val="20"/>
        </w:rPr>
        <w:tab/>
        <w:t>Summary of Au</w:t>
      </w:r>
      <w:r w:rsidR="000D5A02" w:rsidRPr="00DB4DFB">
        <w:rPr>
          <w:sz w:val="20"/>
          <w:szCs w:val="20"/>
        </w:rPr>
        <w:t>gust 1, 1999 - December 31, 2013</w:t>
      </w:r>
      <w:r w:rsidR="000E3251" w:rsidRPr="00DB4DFB">
        <w:rPr>
          <w:sz w:val="20"/>
          <w:szCs w:val="20"/>
        </w:rPr>
        <w:t xml:space="preserve"> Business Assistance Agreements Reported by Government Agencies that Failed to Fulfill all Goals and </w:t>
      </w:r>
      <w:r w:rsidR="00E25801" w:rsidRPr="00DB4DFB">
        <w:rPr>
          <w:sz w:val="20"/>
          <w:szCs w:val="20"/>
        </w:rPr>
        <w:t>Obligations in 2000 through 2014</w:t>
      </w:r>
    </w:p>
    <w:p w:rsidR="00E55BED" w:rsidRDefault="00364579" w:rsidP="00932B54">
      <w:pPr>
        <w:tabs>
          <w:tab w:val="left" w:pos="720"/>
          <w:tab w:val="left" w:pos="2280"/>
          <w:tab w:val="right" w:pos="6840"/>
          <w:tab w:val="right" w:pos="8280"/>
        </w:tabs>
        <w:ind w:left="2160" w:hanging="2160"/>
        <w:rPr>
          <w:sz w:val="20"/>
          <w:szCs w:val="20"/>
        </w:rPr>
      </w:pPr>
      <w:r w:rsidRPr="00DB4DFB">
        <w:rPr>
          <w:sz w:val="20"/>
          <w:szCs w:val="20"/>
        </w:rPr>
        <w:tab/>
        <w:t>Appendix T</w:t>
      </w:r>
      <w:r w:rsidR="000E3251" w:rsidRPr="00DB4DFB">
        <w:rPr>
          <w:sz w:val="20"/>
          <w:szCs w:val="20"/>
        </w:rPr>
        <w:t>:</w:t>
      </w:r>
      <w:r w:rsidR="000E3251" w:rsidRPr="00DB4DFB">
        <w:rPr>
          <w:sz w:val="20"/>
          <w:szCs w:val="20"/>
        </w:rPr>
        <w:tab/>
        <w:t>Summary of Au</w:t>
      </w:r>
      <w:r w:rsidR="000D5A02" w:rsidRPr="00DB4DFB">
        <w:rPr>
          <w:sz w:val="20"/>
          <w:szCs w:val="20"/>
        </w:rPr>
        <w:t>gust 1, 1999 – December 31, 2013</w:t>
      </w:r>
      <w:r w:rsidR="000E3251" w:rsidRPr="00DB4DFB">
        <w:rPr>
          <w:sz w:val="20"/>
          <w:szCs w:val="20"/>
        </w:rPr>
        <w:t xml:space="preserve"> Business Assistance Agreements that were Terminated by Governme</w:t>
      </w:r>
      <w:r w:rsidR="00E25801" w:rsidRPr="00DB4DFB">
        <w:rPr>
          <w:sz w:val="20"/>
          <w:szCs w:val="20"/>
        </w:rPr>
        <w:t>nt Agencies in 2000 through 2014</w:t>
      </w:r>
      <w:bookmarkStart w:id="0" w:name="_GoBack"/>
      <w:bookmarkEnd w:id="0"/>
    </w:p>
    <w:p w:rsidR="00DB4DFB" w:rsidRDefault="00DB4DFB" w:rsidP="00AF0E79">
      <w:pPr>
        <w:tabs>
          <w:tab w:val="left" w:pos="720"/>
          <w:tab w:val="left" w:pos="2280"/>
          <w:tab w:val="right" w:pos="6840"/>
          <w:tab w:val="right" w:pos="8280"/>
        </w:tabs>
        <w:ind w:left="2160" w:hanging="2160"/>
        <w:rPr>
          <w:sz w:val="20"/>
          <w:szCs w:val="20"/>
        </w:rPr>
      </w:pPr>
    </w:p>
    <w:p w:rsidR="00DB4DFB" w:rsidRDefault="00DB4DFB">
      <w:pPr>
        <w:rPr>
          <w:sz w:val="20"/>
          <w:szCs w:val="20"/>
        </w:rPr>
      </w:pPr>
      <w:r>
        <w:rPr>
          <w:sz w:val="20"/>
          <w:szCs w:val="20"/>
        </w:rPr>
        <w:br w:type="page"/>
      </w:r>
    </w:p>
    <w:p w:rsidR="000E3251" w:rsidRPr="00BF17D4" w:rsidRDefault="00BF17D4" w:rsidP="00AF0E79">
      <w:pPr>
        <w:jc w:val="center"/>
        <w:rPr>
          <w:b/>
          <w:i/>
          <w:u w:val="single"/>
        </w:rPr>
      </w:pPr>
      <w:r>
        <w:rPr>
          <w:b/>
          <w:i/>
          <w:u w:val="single"/>
        </w:rPr>
        <w:lastRenderedPageBreak/>
        <w:t>Minnesota Department of Employment and Economic Development                                 Page 1</w:t>
      </w:r>
    </w:p>
    <w:p w:rsidR="00F5348C" w:rsidRDefault="00F5348C" w:rsidP="00E25801">
      <w:pPr>
        <w:rPr>
          <w:b/>
          <w:sz w:val="28"/>
          <w:szCs w:val="28"/>
        </w:rPr>
      </w:pPr>
    </w:p>
    <w:p w:rsidR="00BF17D4" w:rsidRDefault="00BF17D4" w:rsidP="00E25801">
      <w:pPr>
        <w:rPr>
          <w:b/>
          <w:sz w:val="28"/>
          <w:szCs w:val="28"/>
        </w:rPr>
      </w:pPr>
    </w:p>
    <w:p w:rsidR="00BF17D4" w:rsidRDefault="00BF17D4" w:rsidP="00E25801">
      <w:pPr>
        <w:rPr>
          <w:b/>
          <w:sz w:val="28"/>
          <w:szCs w:val="28"/>
        </w:rPr>
      </w:pPr>
    </w:p>
    <w:p w:rsidR="00676155" w:rsidRPr="00E25801" w:rsidRDefault="00E25801" w:rsidP="00E25801">
      <w:pPr>
        <w:jc w:val="center"/>
        <w:rPr>
          <w:b/>
          <w:sz w:val="28"/>
          <w:szCs w:val="28"/>
        </w:rPr>
      </w:pPr>
      <w:r>
        <w:rPr>
          <w:b/>
          <w:sz w:val="28"/>
          <w:szCs w:val="28"/>
        </w:rPr>
        <w:t>2014</w:t>
      </w:r>
      <w:r w:rsidR="00676155" w:rsidRPr="00676155">
        <w:rPr>
          <w:b/>
          <w:sz w:val="28"/>
          <w:szCs w:val="28"/>
        </w:rPr>
        <w:t xml:space="preserve"> BUSINESS ASSISTANCE REPORT</w:t>
      </w:r>
    </w:p>
    <w:p w:rsidR="00AF0E79" w:rsidRDefault="00AF0E79"/>
    <w:p w:rsidR="00676155" w:rsidRDefault="00676155">
      <w:pPr>
        <w:rPr>
          <w:b/>
        </w:rPr>
      </w:pPr>
      <w:r w:rsidRPr="00676155">
        <w:rPr>
          <w:b/>
        </w:rPr>
        <w:t>Introduction</w:t>
      </w:r>
    </w:p>
    <w:p w:rsidR="00676155" w:rsidRDefault="00676155">
      <w:r>
        <w:t>The business subsidy law, Minnesota Statutes §116J.993 through §116J.995, provides a mechanism for taxpayers to learn about state and local funds used for business subsidies and financial assistance.  The law applies to state and local government agencies with the authority to provide business subsidies including Job Opportunity Building Zone (JOBZ) and financial assistance</w:t>
      </w:r>
      <w:r w:rsidR="00BF3116">
        <w:t xml:space="preserve">.  </w:t>
      </w:r>
      <w:r>
        <w:t xml:space="preserve">Grantors are required to submit a Minnesota Business Assistance Form (MBAF) to the </w:t>
      </w:r>
      <w:r w:rsidR="003E0BE6">
        <w:t xml:space="preserve">Minnesota </w:t>
      </w:r>
      <w:r>
        <w:t>Department of Employment and Economic Development (DEED) for each agreement signed since July 1, 1995 for two years after the benefit date or until all goals are met, whichever is later.</w:t>
      </w:r>
    </w:p>
    <w:p w:rsidR="00676155" w:rsidRDefault="00676155"/>
    <w:p w:rsidR="001D0E62" w:rsidRDefault="00FB769A">
      <w:r>
        <w:t>Under the law, local government agencies in communities with a popul</w:t>
      </w:r>
      <w:r w:rsidR="00A265F3">
        <w:t>ation of more than 2,500</w:t>
      </w:r>
      <w:r>
        <w:t xml:space="preserve"> and state agencies with authority to grant subsidies must submit a report to DEED, regardless of whether they have awarded business subsidies.  Local government agencies </w:t>
      </w:r>
      <w:r w:rsidR="00A265F3">
        <w:t xml:space="preserve">in communities with a population of 2,500 or less are exempt from filing the MBAF unless they have awarded a subsidy in the past five </w:t>
      </w:r>
      <w:r w:rsidR="00A265F3" w:rsidRPr="00190058">
        <w:t xml:space="preserve">years.  </w:t>
      </w:r>
      <w:r w:rsidR="00190058" w:rsidRPr="00E55BED">
        <w:t>Of the 652 state and local government agencies that were required to file in 2014 either because of population size, previous business subsidy activity or current activity in 2013, 282 agencies (43.3 percent) submitted a MBAF and 370 agencies (56.7 percent) did not submit a form (see Appendix A).</w:t>
      </w:r>
      <w:r w:rsidR="00190058">
        <w:rPr>
          <w:b/>
        </w:rPr>
        <w:t xml:space="preserve">  </w:t>
      </w:r>
      <w:r w:rsidR="00A265F3">
        <w:t>DEED is required to complete a report that summarizes submitted MBAFs every even-numbered year.</w:t>
      </w:r>
    </w:p>
    <w:p w:rsidR="001D0E62" w:rsidRPr="00E55BED" w:rsidRDefault="001D0E62"/>
    <w:p w:rsidR="00546CD4" w:rsidRPr="00E55BED" w:rsidRDefault="00546CD4" w:rsidP="00546CD4">
      <w:r w:rsidRPr="00E55BED">
        <w:t>Forms summarized in this report are primarily reported by local government agencies and are primarily local aid.  Examples of local aid include loans, grants, tax abatements and tax increment financing.  Some, but not all, state subsidies are captured in this report but are only reflected if the local entity receiving the subsidy submits their report.  Minnesota Investment Fund loans provided by DEED and reported by local government agencies are also summarized in the report.</w:t>
      </w:r>
    </w:p>
    <w:p w:rsidR="00546CD4" w:rsidRPr="00E55BED" w:rsidRDefault="00546CD4" w:rsidP="00546CD4"/>
    <w:p w:rsidR="00190058" w:rsidRPr="00E55BED" w:rsidRDefault="00546CD4" w:rsidP="00546CD4">
      <w:r w:rsidRPr="00E55BED">
        <w:t>State government agencies are also required to report if they have the authority to award business subsidies.  Eligible business assistance loans and grants reported from the Minnesota Department of Agriculture, Minnesota Agricultural and Economic Development Board, Iron Range Resources and Rehabilitation Board, and Minnesota Rural Finance Authority are summarized in this report.  The Minnesota Job Creation Fund and the Greater Minnesota Job Expansion Program are new programs and will be reported in the next business assistance reporting cycle.  Public facilities funding programs, flood recovery funding programs, housing financing, federal loan funds and angel tax credits are not subject to business subsidy reporting.  DEED monitors and reports on all agency run programs, and the annual program summaries can be found at DEED’s website located at http://mn.gov/deed/about/what-we-do/agency-results/program-summaries/index.jsp.</w:t>
      </w:r>
    </w:p>
    <w:p w:rsidR="00546CD4" w:rsidRDefault="00546CD4">
      <w:pPr>
        <w:rPr>
          <w:b/>
        </w:rPr>
      </w:pPr>
      <w:r>
        <w:rPr>
          <w:b/>
        </w:rPr>
        <w:br w:type="page"/>
      </w:r>
    </w:p>
    <w:p w:rsidR="00546CD4" w:rsidRPr="006659A4" w:rsidRDefault="00546CD4" w:rsidP="00546CD4">
      <w:pPr>
        <w:rPr>
          <w:b/>
          <w:i/>
          <w:u w:val="single"/>
        </w:rPr>
      </w:pPr>
      <w:r>
        <w:rPr>
          <w:b/>
          <w:i/>
          <w:u w:val="single"/>
        </w:rPr>
        <w:lastRenderedPageBreak/>
        <w:t>Page 2                                                                        2014 Minnesota Business Assistance Report</w:t>
      </w:r>
    </w:p>
    <w:p w:rsidR="00546CD4" w:rsidRDefault="00546CD4">
      <w:pPr>
        <w:rPr>
          <w:b/>
        </w:rPr>
      </w:pPr>
    </w:p>
    <w:p w:rsidR="00546CD4" w:rsidRDefault="00546CD4">
      <w:pPr>
        <w:rPr>
          <w:b/>
        </w:rPr>
      </w:pPr>
    </w:p>
    <w:p w:rsidR="00546CD4" w:rsidRPr="00706F75" w:rsidRDefault="00546CD4" w:rsidP="00546CD4">
      <w:pPr>
        <w:rPr>
          <w:b/>
        </w:rPr>
      </w:pPr>
      <w:r w:rsidRPr="00706F75">
        <w:rPr>
          <w:b/>
        </w:rPr>
        <w:t>Data Collection</w:t>
      </w:r>
    </w:p>
    <w:p w:rsidR="00BF17D4" w:rsidRDefault="001D0E62">
      <w:r>
        <w:t>Reports can be filed to DEED by mailing a hard copy or using the online</w:t>
      </w:r>
      <w:r w:rsidR="00706F75">
        <w:t xml:space="preserve"> application launched in 2004.  </w:t>
      </w:r>
      <w:r>
        <w:t xml:space="preserve">Because reporting requirements changed in 1999, for </w:t>
      </w:r>
      <w:r w:rsidR="00706F75">
        <w:t xml:space="preserve">business assistance </w:t>
      </w:r>
      <w:r>
        <w:t xml:space="preserve">agreements entered into </w:t>
      </w:r>
      <w:r w:rsidR="00505B48">
        <w:t>by agencies between July 1, 1995 and</w:t>
      </w:r>
      <w:r>
        <w:t xml:space="preserve"> July 31, 1999, agencies use the 1999 MBAF to fulfill reporting requirements.  </w:t>
      </w:r>
      <w:r w:rsidR="00E84EF6">
        <w:t>For agreements entered between Augu</w:t>
      </w:r>
      <w:r w:rsidR="00364579">
        <w:t>st 1, 1999 and</w:t>
      </w:r>
    </w:p>
    <w:p w:rsidR="00190058" w:rsidRDefault="00364579">
      <w:r>
        <w:t>December 31, 2013</w:t>
      </w:r>
      <w:r w:rsidR="00E84EF6">
        <w:t xml:space="preserve">, agencies use the standard MBAF form. </w:t>
      </w:r>
      <w:r w:rsidR="00B87ED2">
        <w:t xml:space="preserve"> </w:t>
      </w:r>
      <w:r w:rsidR="004D121F">
        <w:t xml:space="preserve">A separate </w:t>
      </w:r>
      <w:r w:rsidR="00B47242">
        <w:t xml:space="preserve">form </w:t>
      </w:r>
      <w:r w:rsidR="004D121F">
        <w:t>is now required for financial assistance of $25,000 and greater that is excluded from the definition of “business subsidy” by Minnesota Statutes §116J.993, subdivision 3, clause (1), and of business loans and loan guarantees from $75,000 and $150,000 for agreements signed on or after</w:t>
      </w:r>
      <w:r w:rsidR="008F36D8">
        <w:t xml:space="preserve"> </w:t>
      </w:r>
      <w:r w:rsidR="004D121F">
        <w:t>January</w:t>
      </w:r>
      <w:r w:rsidR="008F36D8">
        <w:t> </w:t>
      </w:r>
      <w:r w:rsidR="004D121F">
        <w:t>1, 2008.  For agreements prior to that period agencies use the standard MBAF form.</w:t>
      </w:r>
    </w:p>
    <w:p w:rsidR="004D121F" w:rsidRDefault="004D121F"/>
    <w:p w:rsidR="006C33FA" w:rsidRDefault="00A66E11">
      <w:r>
        <w:t>A</w:t>
      </w:r>
      <w:r w:rsidR="00AB22C8">
        <w:t xml:space="preserve"> separate JOBZ MBAF reporting form was developed</w:t>
      </w:r>
      <w:r w:rsidR="00E84EF6">
        <w:t xml:space="preserve"> to address recommendations in the </w:t>
      </w:r>
      <w:r w:rsidR="0026301B">
        <w:t>2008</w:t>
      </w:r>
      <w:r w:rsidR="00E84EF6">
        <w:t xml:space="preserve"> </w:t>
      </w:r>
      <w:r w:rsidR="00706F75">
        <w:t xml:space="preserve">JOBZ Program </w:t>
      </w:r>
      <w:r w:rsidR="00E84EF6">
        <w:t>Evalu</w:t>
      </w:r>
      <w:r w:rsidR="0026301B">
        <w:t>ation Report</w:t>
      </w:r>
      <w:r w:rsidR="00706F75">
        <w:t xml:space="preserve"> from the Office of the Legislative Auditor</w:t>
      </w:r>
      <w:r>
        <w:t xml:space="preserve">.  </w:t>
      </w:r>
      <w:r w:rsidR="00B861D7">
        <w:t>Two</w:t>
      </w:r>
      <w:r w:rsidR="000D7330">
        <w:t xml:space="preserve"> </w:t>
      </w:r>
      <w:r w:rsidR="00AB22C8">
        <w:t>report</w:t>
      </w:r>
      <w:r w:rsidR="00B861D7">
        <w:t xml:space="preserve">s summarizing JOBZ MBAF activity in CY 2012 and CY 2013 </w:t>
      </w:r>
      <w:r w:rsidR="00B41FD1">
        <w:t>will be avail</w:t>
      </w:r>
      <w:r w:rsidR="00364579">
        <w:t>able by December 1, 2014</w:t>
      </w:r>
      <w:r w:rsidR="00AB22C8">
        <w:t>.</w:t>
      </w:r>
    </w:p>
    <w:p w:rsidR="006C33FA" w:rsidRDefault="006C33FA"/>
    <w:p w:rsidR="000C590F" w:rsidRPr="00E55BED" w:rsidRDefault="00073AE9">
      <w:r>
        <w:t>Forms summarized in this</w:t>
      </w:r>
      <w:r w:rsidR="006C33FA">
        <w:t xml:space="preserve"> report cover </w:t>
      </w:r>
      <w:r w:rsidR="00AB22C8">
        <w:t xml:space="preserve">non-JOBZ </w:t>
      </w:r>
      <w:r w:rsidR="006C33FA">
        <w:t>b</w:t>
      </w:r>
      <w:r w:rsidR="00C928E2">
        <w:t>usiness assistance</w:t>
      </w:r>
      <w:r w:rsidR="006C33FA">
        <w:t xml:space="preserve"> agreements reached between Ju</w:t>
      </w:r>
      <w:r w:rsidR="00364579">
        <w:t>ly 1, 1995 and December 31, 2013</w:t>
      </w:r>
      <w:r w:rsidR="006C33FA">
        <w:t xml:space="preserve"> </w:t>
      </w:r>
      <w:r w:rsidR="004D121F">
        <w:t xml:space="preserve">and financial assistance agreements reached between July 1, 1995 and December 31, 2007 </w:t>
      </w:r>
      <w:r w:rsidR="006C33FA">
        <w:t>that were s</w:t>
      </w:r>
      <w:r w:rsidR="00C928E2">
        <w:t xml:space="preserve">ubmitted </w:t>
      </w:r>
      <w:r w:rsidR="00364579">
        <w:t>to DEED by June 1, 2014</w:t>
      </w:r>
      <w:r w:rsidR="006C33FA">
        <w:t>.  These forms and forms submitted by government agencies after June 1</w:t>
      </w:r>
      <w:r w:rsidR="00D50CD0">
        <w:t>, 2014</w:t>
      </w:r>
      <w:r w:rsidR="006C33FA">
        <w:t xml:space="preserve"> are available</w:t>
      </w:r>
      <w:r w:rsidR="000A6221">
        <w:t xml:space="preserve"> on DEED’s website.</w:t>
      </w:r>
      <w:r w:rsidR="00190058">
        <w:t xml:space="preserve">  </w:t>
      </w:r>
      <w:r w:rsidR="00190058" w:rsidRPr="00E55BED">
        <w:t>The report includes all forms received by September 30, 2014.</w:t>
      </w:r>
    </w:p>
    <w:p w:rsidR="00BF17D4" w:rsidRPr="00E55BED" w:rsidRDefault="00BF17D4"/>
    <w:p w:rsidR="000C590F" w:rsidRPr="000A6221" w:rsidRDefault="000C590F" w:rsidP="000C590F">
      <w:pPr>
        <w:rPr>
          <w:b/>
        </w:rPr>
      </w:pPr>
      <w:r w:rsidRPr="000A6221">
        <w:rPr>
          <w:b/>
        </w:rPr>
        <w:t>Overview</w:t>
      </w:r>
    </w:p>
    <w:p w:rsidR="00EC3DDC" w:rsidRDefault="000C590F">
      <w:r>
        <w:t xml:space="preserve">Because the statute requires DEED to track each individual project awarded, grantors are required to submit information annually for each project for two years or until each project achieves its goals, whichever is later.  Grantors (local and state government agencies) are </w:t>
      </w:r>
      <w:r w:rsidR="00EC3DDC">
        <w:t>responsible for reporting and updating their business and financial assistance projects as required by the business subsidy</w:t>
      </w:r>
      <w:r w:rsidR="00505B48">
        <w:t xml:space="preserve"> law.  DEED also sends </w:t>
      </w:r>
      <w:r w:rsidR="00EC3DDC">
        <w:t xml:space="preserve">postcards annually to grantors </w:t>
      </w:r>
      <w:r w:rsidR="00505B48">
        <w:t xml:space="preserve">to remind them </w:t>
      </w:r>
      <w:r w:rsidR="00EC3DDC">
        <w:t>to report on eligible business and financial assistance and previously reported assistance until all goals and obligations are met.</w:t>
      </w:r>
      <w:r w:rsidR="009817EB">
        <w:rPr>
          <w:rStyle w:val="FootnoteReference"/>
        </w:rPr>
        <w:footnoteReference w:id="1"/>
      </w:r>
      <w:r w:rsidR="00364579">
        <w:t xml:space="preserve">  In 2013</w:t>
      </w:r>
      <w:r w:rsidR="00094588">
        <w:t>, DEED sent out letters to each grantor to report on any outstanding business and fi</w:t>
      </w:r>
      <w:r w:rsidR="00505B48">
        <w:t>nancial assistance projects between</w:t>
      </w:r>
      <w:r w:rsidR="00094588">
        <w:t xml:space="preserve"> July 1</w:t>
      </w:r>
      <w:r w:rsidR="00505B48">
        <w:t>, 1995 and</w:t>
      </w:r>
      <w:r w:rsidR="00D213F1">
        <w:t xml:space="preserve"> December 31, 2013</w:t>
      </w:r>
      <w:r w:rsidR="00E67E17">
        <w:t xml:space="preserve">.  DEED received updates on </w:t>
      </w:r>
      <w:r w:rsidR="00D213F1">
        <w:t>170</w:t>
      </w:r>
      <w:r w:rsidR="00094588">
        <w:t xml:space="preserve"> projects and </w:t>
      </w:r>
      <w:r w:rsidR="00D028F8">
        <w:t xml:space="preserve">revealing that </w:t>
      </w:r>
      <w:r w:rsidR="00E67E17">
        <w:t xml:space="preserve">goals were met for more than </w:t>
      </w:r>
      <w:r w:rsidR="00D213F1">
        <w:t>95</w:t>
      </w:r>
      <w:r w:rsidR="00D028F8">
        <w:t xml:space="preserve"> of them</w:t>
      </w:r>
      <w:r w:rsidR="00094588">
        <w:t>.  DEED will continue to send out letters during non-reporting years for any past due projects.</w:t>
      </w:r>
    </w:p>
    <w:p w:rsidR="00EC3DDC" w:rsidRDefault="00EC3DDC"/>
    <w:p w:rsidR="000A6221" w:rsidRDefault="000A6221">
      <w:r>
        <w:t>This report summarizes business s</w:t>
      </w:r>
      <w:r w:rsidR="00384047">
        <w:t xml:space="preserve">ubsidy agreements signed in </w:t>
      </w:r>
      <w:r w:rsidR="00E67E17">
        <w:t>2013</w:t>
      </w:r>
      <w:r w:rsidR="00505B48">
        <w:t>.  A</w:t>
      </w:r>
      <w:r>
        <w:t>greements signed in previous years are updated a</w:t>
      </w:r>
      <w:r w:rsidR="00E67E17">
        <w:t>nd summarized in Appendices (B-Q</w:t>
      </w:r>
      <w:r>
        <w:t>).</w:t>
      </w:r>
    </w:p>
    <w:p w:rsidR="00943693" w:rsidRDefault="00943693"/>
    <w:p w:rsidR="00546CD4" w:rsidRDefault="00943693">
      <w:r w:rsidRPr="00E25801">
        <w:t>Business assistance activity has varied significantly from year to year as reported by state and local government agencies.  Non-JOBZ activity pea</w:t>
      </w:r>
      <w:r w:rsidR="00E25801" w:rsidRPr="00E25801">
        <w:t>ked in 2000 with 196</w:t>
      </w:r>
      <w:r w:rsidRPr="00E25801">
        <w:t xml:space="preserve"> agreements, falling to </w:t>
      </w:r>
      <w:r w:rsidR="00E25801" w:rsidRPr="00E25801">
        <w:t>20 agreements in 2013</w:t>
      </w:r>
      <w:r w:rsidRPr="00E25801">
        <w:t>.</w:t>
      </w:r>
    </w:p>
    <w:p w:rsidR="00546CD4" w:rsidRDefault="00546CD4">
      <w:r>
        <w:br w:type="page"/>
      </w:r>
    </w:p>
    <w:p w:rsidR="00546CD4" w:rsidRPr="00BF17D4" w:rsidRDefault="00546CD4" w:rsidP="00546CD4">
      <w:pPr>
        <w:jc w:val="center"/>
        <w:rPr>
          <w:b/>
          <w:i/>
          <w:u w:val="single"/>
        </w:rPr>
      </w:pPr>
      <w:r>
        <w:rPr>
          <w:b/>
          <w:i/>
          <w:u w:val="single"/>
        </w:rPr>
        <w:lastRenderedPageBreak/>
        <w:t>Minnesota Department of Employment and Economic Development                                 Page 3</w:t>
      </w:r>
    </w:p>
    <w:p w:rsidR="00943693" w:rsidRDefault="00943693"/>
    <w:p w:rsidR="005638F7" w:rsidRDefault="005638F7"/>
    <w:p w:rsidR="00713F2B" w:rsidRPr="00943693" w:rsidRDefault="00943693">
      <w:pPr>
        <w:rPr>
          <w:b/>
        </w:rPr>
      </w:pPr>
      <w:r w:rsidRPr="00B67432">
        <w:rPr>
          <w:b/>
        </w:rPr>
        <w:t>Overview of Non-JOBZ Findings</w:t>
      </w:r>
    </w:p>
    <w:p w:rsidR="00F002E5" w:rsidRDefault="00A34721">
      <w:r>
        <w:t>The activity levels and total value of non-JOBZ business assistance have varied significantly from year to year as reported by state and local gov</w:t>
      </w:r>
      <w:r w:rsidR="006B7EEC">
        <w:t>ernment agencies.  There were 20</w:t>
      </w:r>
      <w:r>
        <w:t xml:space="preserve"> non-JOBZ business assistance agreements reported by government age</w:t>
      </w:r>
      <w:r w:rsidR="006B7EEC">
        <w:t>ncies in 2014 for 2013</w:t>
      </w:r>
      <w:r>
        <w:t xml:space="preserve"> activity, compar</w:t>
      </w:r>
      <w:r w:rsidR="00B67432">
        <w:t>ed to 196</w:t>
      </w:r>
      <w:r>
        <w:t xml:space="preserve"> agreements for 2000 activity.  The total value of business assistance agreements has also varied significantly from year to ye</w:t>
      </w:r>
      <w:r w:rsidR="00B67432">
        <w:t>ar, from a total value of $611.2</w:t>
      </w:r>
      <w:r>
        <w:t xml:space="preserve"> mi</w:t>
      </w:r>
      <w:r w:rsidR="009E5ED5">
        <w:t>llion for 2000 activity to $13.9</w:t>
      </w:r>
      <w:r w:rsidR="00F2653A">
        <w:t xml:space="preserve"> </w:t>
      </w:r>
      <w:r w:rsidR="0010000C">
        <w:t xml:space="preserve">million </w:t>
      </w:r>
      <w:r w:rsidR="006B0138">
        <w:t>for 2008 activity</w:t>
      </w:r>
      <w:r>
        <w:t xml:space="preserve"> (see Table 1).</w:t>
      </w:r>
    </w:p>
    <w:p w:rsidR="00713F2B" w:rsidRDefault="00713F2B"/>
    <w:p w:rsidR="00A34721" w:rsidRPr="0073652E" w:rsidRDefault="00A34721" w:rsidP="0073652E">
      <w:pPr>
        <w:jc w:val="center"/>
        <w:rPr>
          <w:sz w:val="18"/>
          <w:szCs w:val="18"/>
        </w:rPr>
      </w:pPr>
      <w:r w:rsidRPr="0073652E">
        <w:rPr>
          <w:sz w:val="18"/>
          <w:szCs w:val="18"/>
        </w:rPr>
        <w:t>TABLE 1</w:t>
      </w:r>
    </w:p>
    <w:p w:rsidR="00A34721" w:rsidRPr="0073652E" w:rsidRDefault="00A34721" w:rsidP="00A34721">
      <w:pPr>
        <w:jc w:val="center"/>
        <w:rPr>
          <w:sz w:val="18"/>
          <w:szCs w:val="18"/>
        </w:rPr>
      </w:pPr>
      <w:r w:rsidRPr="0073652E">
        <w:rPr>
          <w:sz w:val="18"/>
          <w:szCs w:val="18"/>
        </w:rPr>
        <w:t>Activity Levels and Total Value of Non-JOBZ Business Assistance</w:t>
      </w:r>
    </w:p>
    <w:p w:rsidR="00713F2B" w:rsidRPr="0073652E" w:rsidRDefault="00A34721" w:rsidP="00A34721">
      <w:pPr>
        <w:jc w:val="center"/>
        <w:rPr>
          <w:sz w:val="18"/>
          <w:szCs w:val="18"/>
        </w:rPr>
      </w:pPr>
      <w:r w:rsidRPr="0073652E">
        <w:rPr>
          <w:sz w:val="18"/>
          <w:szCs w:val="18"/>
        </w:rPr>
        <w:t>Reached Between Ju</w:t>
      </w:r>
      <w:r w:rsidR="001A34FD">
        <w:rPr>
          <w:sz w:val="18"/>
          <w:szCs w:val="18"/>
        </w:rPr>
        <w:t>ly 1, 1995 and December 31, 2013</w:t>
      </w:r>
    </w:p>
    <w:tbl>
      <w:tblPr>
        <w:tblStyle w:val="TableGrid"/>
        <w:tblW w:w="0" w:type="auto"/>
        <w:tblInd w:w="918" w:type="dxa"/>
        <w:tblLook w:val="01E0" w:firstRow="1" w:lastRow="1" w:firstColumn="1" w:lastColumn="1" w:noHBand="0" w:noVBand="0"/>
      </w:tblPr>
      <w:tblGrid>
        <w:gridCol w:w="2970"/>
        <w:gridCol w:w="2016"/>
        <w:gridCol w:w="2952"/>
      </w:tblGrid>
      <w:tr w:rsidR="00713F2B" w:rsidRPr="00B41FD1" w:rsidTr="0080195F">
        <w:tc>
          <w:tcPr>
            <w:tcW w:w="2970" w:type="dxa"/>
          </w:tcPr>
          <w:p w:rsidR="00713F2B" w:rsidRPr="0073652E" w:rsidRDefault="00713F2B" w:rsidP="00713F2B">
            <w:pPr>
              <w:jc w:val="center"/>
              <w:rPr>
                <w:b/>
                <w:sz w:val="16"/>
                <w:szCs w:val="16"/>
              </w:rPr>
            </w:pPr>
            <w:r w:rsidRPr="0073652E">
              <w:rPr>
                <w:b/>
                <w:sz w:val="16"/>
                <w:szCs w:val="16"/>
              </w:rPr>
              <w:t>Activity Period</w:t>
            </w:r>
          </w:p>
        </w:tc>
        <w:tc>
          <w:tcPr>
            <w:tcW w:w="2016" w:type="dxa"/>
          </w:tcPr>
          <w:p w:rsidR="00713F2B" w:rsidRPr="0073652E" w:rsidRDefault="00713F2B" w:rsidP="00713F2B">
            <w:pPr>
              <w:jc w:val="center"/>
              <w:rPr>
                <w:b/>
                <w:sz w:val="16"/>
                <w:szCs w:val="16"/>
              </w:rPr>
            </w:pPr>
            <w:r w:rsidRPr="0073652E">
              <w:rPr>
                <w:b/>
                <w:sz w:val="16"/>
                <w:szCs w:val="16"/>
              </w:rPr>
              <w:t>Activity Levels</w:t>
            </w:r>
          </w:p>
        </w:tc>
        <w:tc>
          <w:tcPr>
            <w:tcW w:w="2952" w:type="dxa"/>
          </w:tcPr>
          <w:p w:rsidR="00713F2B" w:rsidRPr="0073652E" w:rsidRDefault="00713F2B" w:rsidP="000C590F">
            <w:pPr>
              <w:jc w:val="center"/>
              <w:rPr>
                <w:b/>
                <w:sz w:val="16"/>
                <w:szCs w:val="16"/>
              </w:rPr>
            </w:pPr>
            <w:r w:rsidRPr="0073652E">
              <w:rPr>
                <w:b/>
                <w:sz w:val="16"/>
                <w:szCs w:val="16"/>
              </w:rPr>
              <w:t>Total Value</w:t>
            </w:r>
            <w:r w:rsidR="000C590F">
              <w:rPr>
                <w:b/>
                <w:sz w:val="16"/>
                <w:szCs w:val="16"/>
              </w:rPr>
              <w:t xml:space="preserve"> </w:t>
            </w:r>
            <w:r w:rsidRPr="0073652E">
              <w:rPr>
                <w:b/>
                <w:sz w:val="16"/>
                <w:szCs w:val="16"/>
              </w:rPr>
              <w:t>(in millions)</w:t>
            </w:r>
          </w:p>
        </w:tc>
      </w:tr>
      <w:tr w:rsidR="001A34FD" w:rsidRPr="00B41FD1" w:rsidTr="0080195F">
        <w:tc>
          <w:tcPr>
            <w:tcW w:w="2970" w:type="dxa"/>
          </w:tcPr>
          <w:p w:rsidR="001A34FD" w:rsidRPr="0073652E" w:rsidRDefault="001A34FD">
            <w:pPr>
              <w:rPr>
                <w:sz w:val="16"/>
                <w:szCs w:val="16"/>
              </w:rPr>
            </w:pPr>
            <w:r>
              <w:rPr>
                <w:sz w:val="16"/>
                <w:szCs w:val="16"/>
              </w:rPr>
              <w:t>January 1, 2013 –</w:t>
            </w:r>
            <w:r w:rsidR="0019641F">
              <w:rPr>
                <w:sz w:val="16"/>
                <w:szCs w:val="16"/>
              </w:rPr>
              <w:t xml:space="preserve"> </w:t>
            </w:r>
            <w:r>
              <w:rPr>
                <w:sz w:val="16"/>
                <w:szCs w:val="16"/>
              </w:rPr>
              <w:t>December 31, 2013</w:t>
            </w:r>
          </w:p>
        </w:tc>
        <w:tc>
          <w:tcPr>
            <w:tcW w:w="2016" w:type="dxa"/>
          </w:tcPr>
          <w:p w:rsidR="001A34FD" w:rsidRDefault="0080195F" w:rsidP="001A34FD">
            <w:pPr>
              <w:jc w:val="center"/>
              <w:rPr>
                <w:sz w:val="16"/>
                <w:szCs w:val="16"/>
              </w:rPr>
            </w:pPr>
            <w:r>
              <w:rPr>
                <w:sz w:val="16"/>
                <w:szCs w:val="16"/>
              </w:rPr>
              <w:t xml:space="preserve">    </w:t>
            </w:r>
            <w:r w:rsidR="001A34FD">
              <w:rPr>
                <w:sz w:val="16"/>
                <w:szCs w:val="16"/>
              </w:rPr>
              <w:t>2</w:t>
            </w:r>
            <w:r w:rsidR="006B7EEC">
              <w:rPr>
                <w:sz w:val="16"/>
                <w:szCs w:val="16"/>
              </w:rPr>
              <w:t>0</w:t>
            </w:r>
          </w:p>
        </w:tc>
        <w:tc>
          <w:tcPr>
            <w:tcW w:w="2952" w:type="dxa"/>
          </w:tcPr>
          <w:p w:rsidR="001A34FD" w:rsidRDefault="004F314D" w:rsidP="001A34FD">
            <w:pPr>
              <w:jc w:val="center"/>
              <w:rPr>
                <w:sz w:val="16"/>
                <w:szCs w:val="16"/>
              </w:rPr>
            </w:pPr>
            <w:r>
              <w:rPr>
                <w:sz w:val="16"/>
                <w:szCs w:val="16"/>
              </w:rPr>
              <w:t xml:space="preserve">    </w:t>
            </w:r>
            <w:r w:rsidR="001A34FD">
              <w:rPr>
                <w:sz w:val="16"/>
                <w:szCs w:val="16"/>
              </w:rPr>
              <w:t>$14.4</w:t>
            </w:r>
          </w:p>
        </w:tc>
      </w:tr>
      <w:tr w:rsidR="001A34FD" w:rsidRPr="00B41FD1" w:rsidTr="0080195F">
        <w:tc>
          <w:tcPr>
            <w:tcW w:w="2970" w:type="dxa"/>
          </w:tcPr>
          <w:p w:rsidR="001A34FD" w:rsidRPr="0073652E" w:rsidRDefault="001A34FD">
            <w:pPr>
              <w:rPr>
                <w:sz w:val="16"/>
                <w:szCs w:val="16"/>
              </w:rPr>
            </w:pPr>
            <w:r>
              <w:rPr>
                <w:sz w:val="16"/>
                <w:szCs w:val="16"/>
              </w:rPr>
              <w:t>January 1, 2012 –</w:t>
            </w:r>
            <w:r w:rsidR="0019641F">
              <w:rPr>
                <w:sz w:val="16"/>
                <w:szCs w:val="16"/>
              </w:rPr>
              <w:t xml:space="preserve"> </w:t>
            </w:r>
            <w:r>
              <w:rPr>
                <w:sz w:val="16"/>
                <w:szCs w:val="16"/>
              </w:rPr>
              <w:t>December 31, 2012</w:t>
            </w:r>
          </w:p>
        </w:tc>
        <w:tc>
          <w:tcPr>
            <w:tcW w:w="2016" w:type="dxa"/>
          </w:tcPr>
          <w:p w:rsidR="001A34FD" w:rsidRDefault="0080195F" w:rsidP="001A34FD">
            <w:pPr>
              <w:jc w:val="center"/>
              <w:rPr>
                <w:sz w:val="16"/>
                <w:szCs w:val="16"/>
              </w:rPr>
            </w:pPr>
            <w:r>
              <w:rPr>
                <w:sz w:val="16"/>
                <w:szCs w:val="16"/>
              </w:rPr>
              <w:t xml:space="preserve">    </w:t>
            </w:r>
            <w:r w:rsidR="001A34FD">
              <w:rPr>
                <w:sz w:val="16"/>
                <w:szCs w:val="16"/>
              </w:rPr>
              <w:t>42</w:t>
            </w:r>
          </w:p>
        </w:tc>
        <w:tc>
          <w:tcPr>
            <w:tcW w:w="2952" w:type="dxa"/>
          </w:tcPr>
          <w:p w:rsidR="001A34FD" w:rsidRDefault="004F314D" w:rsidP="001A34FD">
            <w:pPr>
              <w:jc w:val="center"/>
              <w:rPr>
                <w:sz w:val="16"/>
                <w:szCs w:val="16"/>
              </w:rPr>
            </w:pPr>
            <w:r>
              <w:rPr>
                <w:sz w:val="16"/>
                <w:szCs w:val="16"/>
              </w:rPr>
              <w:t xml:space="preserve">    </w:t>
            </w:r>
            <w:r w:rsidR="001A34FD">
              <w:rPr>
                <w:sz w:val="16"/>
                <w:szCs w:val="16"/>
              </w:rPr>
              <w:t>$36.5</w:t>
            </w:r>
          </w:p>
        </w:tc>
      </w:tr>
      <w:tr w:rsidR="00384047" w:rsidRPr="001A34FD" w:rsidTr="0080195F">
        <w:tc>
          <w:tcPr>
            <w:tcW w:w="2970" w:type="dxa"/>
          </w:tcPr>
          <w:p w:rsidR="00384047" w:rsidRPr="001A34FD" w:rsidRDefault="00384047">
            <w:pPr>
              <w:rPr>
                <w:sz w:val="16"/>
                <w:szCs w:val="16"/>
                <w:highlight w:val="yellow"/>
              </w:rPr>
            </w:pPr>
            <w:r w:rsidRPr="008B1E8B">
              <w:rPr>
                <w:sz w:val="16"/>
                <w:szCs w:val="16"/>
              </w:rPr>
              <w:t>January 1, 2011 – December 31, 2011</w:t>
            </w:r>
          </w:p>
        </w:tc>
        <w:tc>
          <w:tcPr>
            <w:tcW w:w="2016" w:type="dxa"/>
          </w:tcPr>
          <w:p w:rsidR="00384047" w:rsidRPr="001A34FD" w:rsidRDefault="0080195F" w:rsidP="001A34FD">
            <w:pPr>
              <w:jc w:val="center"/>
              <w:rPr>
                <w:sz w:val="16"/>
                <w:szCs w:val="16"/>
                <w:highlight w:val="yellow"/>
              </w:rPr>
            </w:pPr>
            <w:r>
              <w:rPr>
                <w:sz w:val="16"/>
                <w:szCs w:val="16"/>
              </w:rPr>
              <w:t xml:space="preserve">    </w:t>
            </w:r>
            <w:r w:rsidR="009063FA" w:rsidRPr="008B1E8B">
              <w:rPr>
                <w:sz w:val="16"/>
                <w:szCs w:val="16"/>
              </w:rPr>
              <w:t>3</w:t>
            </w:r>
            <w:r w:rsidR="008B1E8B" w:rsidRPr="008B1E8B">
              <w:rPr>
                <w:sz w:val="16"/>
                <w:szCs w:val="16"/>
              </w:rPr>
              <w:t>8</w:t>
            </w:r>
          </w:p>
        </w:tc>
        <w:tc>
          <w:tcPr>
            <w:tcW w:w="2952" w:type="dxa"/>
          </w:tcPr>
          <w:p w:rsidR="00384047" w:rsidRPr="001A34FD" w:rsidRDefault="004F314D" w:rsidP="001A34FD">
            <w:pPr>
              <w:jc w:val="center"/>
              <w:rPr>
                <w:sz w:val="16"/>
                <w:szCs w:val="16"/>
                <w:highlight w:val="yellow"/>
              </w:rPr>
            </w:pPr>
            <w:r>
              <w:rPr>
                <w:sz w:val="16"/>
                <w:szCs w:val="16"/>
              </w:rPr>
              <w:t xml:space="preserve">    </w:t>
            </w:r>
            <w:r w:rsidR="00C23C41" w:rsidRPr="008B1E8B">
              <w:rPr>
                <w:sz w:val="16"/>
                <w:szCs w:val="16"/>
              </w:rPr>
              <w:t>$</w:t>
            </w:r>
            <w:r w:rsidR="008B1E8B" w:rsidRPr="008B1E8B">
              <w:rPr>
                <w:sz w:val="16"/>
                <w:szCs w:val="16"/>
              </w:rPr>
              <w:t>24.2</w:t>
            </w:r>
          </w:p>
        </w:tc>
      </w:tr>
      <w:tr w:rsidR="00384047" w:rsidRPr="001A34FD" w:rsidTr="0080195F">
        <w:tc>
          <w:tcPr>
            <w:tcW w:w="2970" w:type="dxa"/>
          </w:tcPr>
          <w:p w:rsidR="00384047" w:rsidRPr="005269A7" w:rsidRDefault="00384047">
            <w:pPr>
              <w:rPr>
                <w:sz w:val="16"/>
                <w:szCs w:val="16"/>
              </w:rPr>
            </w:pPr>
            <w:r w:rsidRPr="005269A7">
              <w:rPr>
                <w:sz w:val="16"/>
                <w:szCs w:val="16"/>
              </w:rPr>
              <w:t>January 1, 2010 – December 31, 2010</w:t>
            </w:r>
          </w:p>
        </w:tc>
        <w:tc>
          <w:tcPr>
            <w:tcW w:w="2016" w:type="dxa"/>
          </w:tcPr>
          <w:p w:rsidR="00384047" w:rsidRPr="005269A7" w:rsidRDefault="0080195F" w:rsidP="001A34FD">
            <w:pPr>
              <w:jc w:val="center"/>
              <w:rPr>
                <w:sz w:val="16"/>
                <w:szCs w:val="16"/>
              </w:rPr>
            </w:pPr>
            <w:r>
              <w:rPr>
                <w:sz w:val="16"/>
                <w:szCs w:val="16"/>
              </w:rPr>
              <w:t xml:space="preserve">    </w:t>
            </w:r>
            <w:r w:rsidR="009E5ED5" w:rsidRPr="005269A7">
              <w:rPr>
                <w:sz w:val="16"/>
                <w:szCs w:val="16"/>
              </w:rPr>
              <w:t>2</w:t>
            </w:r>
            <w:r w:rsidR="005269A7" w:rsidRPr="005269A7">
              <w:rPr>
                <w:sz w:val="16"/>
                <w:szCs w:val="16"/>
              </w:rPr>
              <w:t>8</w:t>
            </w:r>
          </w:p>
        </w:tc>
        <w:tc>
          <w:tcPr>
            <w:tcW w:w="2952" w:type="dxa"/>
          </w:tcPr>
          <w:p w:rsidR="00384047" w:rsidRPr="005269A7" w:rsidRDefault="004F314D" w:rsidP="001A34FD">
            <w:pPr>
              <w:jc w:val="center"/>
              <w:rPr>
                <w:sz w:val="16"/>
                <w:szCs w:val="16"/>
              </w:rPr>
            </w:pPr>
            <w:r>
              <w:rPr>
                <w:sz w:val="16"/>
                <w:szCs w:val="16"/>
              </w:rPr>
              <w:t xml:space="preserve">    </w:t>
            </w:r>
            <w:r w:rsidR="00C23C41" w:rsidRPr="005269A7">
              <w:rPr>
                <w:sz w:val="16"/>
                <w:szCs w:val="16"/>
              </w:rPr>
              <w:t>$</w:t>
            </w:r>
            <w:r w:rsidR="005269A7" w:rsidRPr="005269A7">
              <w:rPr>
                <w:sz w:val="16"/>
                <w:szCs w:val="16"/>
              </w:rPr>
              <w:t>19.8</w:t>
            </w:r>
          </w:p>
        </w:tc>
      </w:tr>
      <w:tr w:rsidR="00F2653A" w:rsidRPr="001A34FD" w:rsidTr="0080195F">
        <w:tc>
          <w:tcPr>
            <w:tcW w:w="2970" w:type="dxa"/>
          </w:tcPr>
          <w:p w:rsidR="00F2653A" w:rsidRPr="005269A7" w:rsidRDefault="00F2653A">
            <w:pPr>
              <w:rPr>
                <w:sz w:val="16"/>
                <w:szCs w:val="16"/>
              </w:rPr>
            </w:pPr>
            <w:r w:rsidRPr="005269A7">
              <w:rPr>
                <w:sz w:val="16"/>
                <w:szCs w:val="16"/>
              </w:rPr>
              <w:t>January 1, 2009 – December 31, 2009</w:t>
            </w:r>
          </w:p>
        </w:tc>
        <w:tc>
          <w:tcPr>
            <w:tcW w:w="2016" w:type="dxa"/>
          </w:tcPr>
          <w:p w:rsidR="00F2653A" w:rsidRPr="005269A7" w:rsidRDefault="0080195F" w:rsidP="001A34FD">
            <w:pPr>
              <w:jc w:val="center"/>
              <w:rPr>
                <w:sz w:val="16"/>
                <w:szCs w:val="16"/>
              </w:rPr>
            </w:pPr>
            <w:r>
              <w:rPr>
                <w:sz w:val="16"/>
                <w:szCs w:val="16"/>
              </w:rPr>
              <w:t xml:space="preserve">    </w:t>
            </w:r>
            <w:r w:rsidR="005269A7" w:rsidRPr="005269A7">
              <w:rPr>
                <w:sz w:val="16"/>
                <w:szCs w:val="16"/>
              </w:rPr>
              <w:t>20</w:t>
            </w:r>
          </w:p>
        </w:tc>
        <w:tc>
          <w:tcPr>
            <w:tcW w:w="2952" w:type="dxa"/>
          </w:tcPr>
          <w:p w:rsidR="00F2653A" w:rsidRPr="005269A7" w:rsidRDefault="00EA7225" w:rsidP="001A34FD">
            <w:pPr>
              <w:jc w:val="center"/>
              <w:rPr>
                <w:sz w:val="16"/>
                <w:szCs w:val="16"/>
              </w:rPr>
            </w:pPr>
            <w:r>
              <w:rPr>
                <w:sz w:val="16"/>
                <w:szCs w:val="16"/>
              </w:rPr>
              <w:t xml:space="preserve">    </w:t>
            </w:r>
            <w:r w:rsidR="00F2653A" w:rsidRPr="005269A7">
              <w:rPr>
                <w:sz w:val="16"/>
                <w:szCs w:val="16"/>
              </w:rPr>
              <w:t>$</w:t>
            </w:r>
            <w:r w:rsidR="005269A7" w:rsidRPr="005269A7">
              <w:rPr>
                <w:sz w:val="16"/>
                <w:szCs w:val="16"/>
              </w:rPr>
              <w:t>27.0</w:t>
            </w:r>
          </w:p>
        </w:tc>
      </w:tr>
      <w:tr w:rsidR="00F2653A" w:rsidRPr="001A34FD" w:rsidTr="0080195F">
        <w:tc>
          <w:tcPr>
            <w:tcW w:w="2970" w:type="dxa"/>
          </w:tcPr>
          <w:p w:rsidR="00F2653A" w:rsidRPr="005269A7" w:rsidRDefault="00F2653A">
            <w:pPr>
              <w:rPr>
                <w:sz w:val="16"/>
                <w:szCs w:val="16"/>
              </w:rPr>
            </w:pPr>
            <w:r w:rsidRPr="005269A7">
              <w:rPr>
                <w:sz w:val="16"/>
                <w:szCs w:val="16"/>
              </w:rPr>
              <w:t>January 1, 2008 – December 31, 2008</w:t>
            </w:r>
          </w:p>
        </w:tc>
        <w:tc>
          <w:tcPr>
            <w:tcW w:w="2016" w:type="dxa"/>
          </w:tcPr>
          <w:p w:rsidR="00F2653A" w:rsidRPr="005269A7" w:rsidRDefault="0080195F" w:rsidP="001A34FD">
            <w:pPr>
              <w:jc w:val="center"/>
              <w:rPr>
                <w:sz w:val="16"/>
                <w:szCs w:val="16"/>
              </w:rPr>
            </w:pPr>
            <w:r>
              <w:rPr>
                <w:sz w:val="16"/>
                <w:szCs w:val="16"/>
              </w:rPr>
              <w:t xml:space="preserve">    </w:t>
            </w:r>
            <w:r w:rsidR="00F2653A" w:rsidRPr="005269A7">
              <w:rPr>
                <w:sz w:val="16"/>
                <w:szCs w:val="16"/>
              </w:rPr>
              <w:t>2</w:t>
            </w:r>
            <w:r w:rsidR="004C3D2A" w:rsidRPr="005269A7">
              <w:rPr>
                <w:sz w:val="16"/>
                <w:szCs w:val="16"/>
              </w:rPr>
              <w:t>3</w:t>
            </w:r>
          </w:p>
        </w:tc>
        <w:tc>
          <w:tcPr>
            <w:tcW w:w="2952" w:type="dxa"/>
          </w:tcPr>
          <w:p w:rsidR="00F2653A" w:rsidRPr="005269A7" w:rsidRDefault="00EA7225" w:rsidP="001A34FD">
            <w:pPr>
              <w:jc w:val="center"/>
              <w:rPr>
                <w:sz w:val="16"/>
                <w:szCs w:val="16"/>
              </w:rPr>
            </w:pPr>
            <w:r>
              <w:rPr>
                <w:sz w:val="16"/>
                <w:szCs w:val="16"/>
              </w:rPr>
              <w:t xml:space="preserve">    </w:t>
            </w:r>
            <w:r w:rsidR="00A12DF0" w:rsidRPr="005269A7">
              <w:rPr>
                <w:sz w:val="16"/>
                <w:szCs w:val="16"/>
              </w:rPr>
              <w:t>$13</w:t>
            </w:r>
            <w:r w:rsidR="00F2653A" w:rsidRPr="005269A7">
              <w:rPr>
                <w:sz w:val="16"/>
                <w:szCs w:val="16"/>
              </w:rPr>
              <w:t>.</w:t>
            </w:r>
            <w:r w:rsidR="004C3D2A" w:rsidRPr="005269A7">
              <w:rPr>
                <w:sz w:val="16"/>
                <w:szCs w:val="16"/>
              </w:rPr>
              <w:t>9</w:t>
            </w:r>
          </w:p>
        </w:tc>
      </w:tr>
      <w:tr w:rsidR="00713F2B" w:rsidRPr="001A34FD" w:rsidTr="0080195F">
        <w:tc>
          <w:tcPr>
            <w:tcW w:w="2970" w:type="dxa"/>
          </w:tcPr>
          <w:p w:rsidR="00713F2B" w:rsidRPr="005269A7" w:rsidRDefault="007024EB">
            <w:pPr>
              <w:rPr>
                <w:sz w:val="16"/>
                <w:szCs w:val="16"/>
              </w:rPr>
            </w:pPr>
            <w:r w:rsidRPr="005269A7">
              <w:rPr>
                <w:sz w:val="16"/>
                <w:szCs w:val="16"/>
              </w:rPr>
              <w:t>January 1, 2007 – December 31, 2007</w:t>
            </w:r>
          </w:p>
        </w:tc>
        <w:tc>
          <w:tcPr>
            <w:tcW w:w="2016" w:type="dxa"/>
          </w:tcPr>
          <w:p w:rsidR="00713F2B" w:rsidRPr="005269A7" w:rsidRDefault="0080195F" w:rsidP="001A34FD">
            <w:pPr>
              <w:jc w:val="center"/>
              <w:rPr>
                <w:sz w:val="16"/>
                <w:szCs w:val="16"/>
              </w:rPr>
            </w:pPr>
            <w:r>
              <w:rPr>
                <w:sz w:val="16"/>
                <w:szCs w:val="16"/>
              </w:rPr>
              <w:t xml:space="preserve">    </w:t>
            </w:r>
            <w:r w:rsidR="004C3D2A" w:rsidRPr="005269A7">
              <w:rPr>
                <w:sz w:val="16"/>
                <w:szCs w:val="16"/>
              </w:rPr>
              <w:t>65</w:t>
            </w:r>
          </w:p>
        </w:tc>
        <w:tc>
          <w:tcPr>
            <w:tcW w:w="2952" w:type="dxa"/>
          </w:tcPr>
          <w:p w:rsidR="00713F2B" w:rsidRPr="005269A7" w:rsidRDefault="00EA7225" w:rsidP="001A34FD">
            <w:pPr>
              <w:jc w:val="center"/>
              <w:rPr>
                <w:sz w:val="16"/>
                <w:szCs w:val="16"/>
              </w:rPr>
            </w:pPr>
            <w:r>
              <w:rPr>
                <w:sz w:val="16"/>
                <w:szCs w:val="16"/>
              </w:rPr>
              <w:t xml:space="preserve">    </w:t>
            </w:r>
            <w:r w:rsidR="004C3D2A" w:rsidRPr="005269A7">
              <w:rPr>
                <w:sz w:val="16"/>
                <w:szCs w:val="16"/>
              </w:rPr>
              <w:t>$45</w:t>
            </w:r>
            <w:r w:rsidR="006B6A6F" w:rsidRPr="005269A7">
              <w:rPr>
                <w:sz w:val="16"/>
                <w:szCs w:val="16"/>
              </w:rPr>
              <w:t>.</w:t>
            </w:r>
            <w:r w:rsidR="005269A7" w:rsidRPr="005269A7">
              <w:rPr>
                <w:sz w:val="16"/>
                <w:szCs w:val="16"/>
              </w:rPr>
              <w:t>9</w:t>
            </w:r>
          </w:p>
        </w:tc>
      </w:tr>
      <w:tr w:rsidR="007024EB" w:rsidRPr="001A34FD" w:rsidTr="0080195F">
        <w:tc>
          <w:tcPr>
            <w:tcW w:w="2970" w:type="dxa"/>
          </w:tcPr>
          <w:p w:rsidR="007024EB" w:rsidRPr="005269A7" w:rsidRDefault="007024EB" w:rsidP="007024EB">
            <w:pPr>
              <w:rPr>
                <w:sz w:val="16"/>
                <w:szCs w:val="16"/>
              </w:rPr>
            </w:pPr>
            <w:r w:rsidRPr="005269A7">
              <w:rPr>
                <w:sz w:val="16"/>
                <w:szCs w:val="16"/>
              </w:rPr>
              <w:t>January 1, 2006 – December 31, 2006</w:t>
            </w:r>
          </w:p>
        </w:tc>
        <w:tc>
          <w:tcPr>
            <w:tcW w:w="2016" w:type="dxa"/>
          </w:tcPr>
          <w:p w:rsidR="007024EB" w:rsidRPr="005269A7" w:rsidRDefault="0080195F" w:rsidP="001A34FD">
            <w:pPr>
              <w:jc w:val="center"/>
              <w:rPr>
                <w:sz w:val="16"/>
                <w:szCs w:val="16"/>
              </w:rPr>
            </w:pPr>
            <w:r>
              <w:rPr>
                <w:sz w:val="16"/>
                <w:szCs w:val="16"/>
              </w:rPr>
              <w:t xml:space="preserve">    </w:t>
            </w:r>
            <w:r w:rsidR="005269A7" w:rsidRPr="005269A7">
              <w:rPr>
                <w:sz w:val="16"/>
                <w:szCs w:val="16"/>
              </w:rPr>
              <w:t>60</w:t>
            </w:r>
          </w:p>
        </w:tc>
        <w:tc>
          <w:tcPr>
            <w:tcW w:w="2952" w:type="dxa"/>
          </w:tcPr>
          <w:p w:rsidR="007024EB" w:rsidRPr="005269A7" w:rsidRDefault="00EA7225" w:rsidP="001A34FD">
            <w:pPr>
              <w:jc w:val="center"/>
              <w:rPr>
                <w:sz w:val="16"/>
                <w:szCs w:val="16"/>
              </w:rPr>
            </w:pPr>
            <w:r>
              <w:rPr>
                <w:sz w:val="16"/>
                <w:szCs w:val="16"/>
              </w:rPr>
              <w:t xml:space="preserve">    </w:t>
            </w:r>
            <w:r w:rsidR="00533A10" w:rsidRPr="005269A7">
              <w:rPr>
                <w:sz w:val="16"/>
                <w:szCs w:val="16"/>
              </w:rPr>
              <w:t>$28</w:t>
            </w:r>
            <w:r w:rsidR="006B6A6F" w:rsidRPr="005269A7">
              <w:rPr>
                <w:sz w:val="16"/>
                <w:szCs w:val="16"/>
              </w:rPr>
              <w:t>.</w:t>
            </w:r>
            <w:r w:rsidR="005269A7" w:rsidRPr="005269A7">
              <w:rPr>
                <w:sz w:val="16"/>
                <w:szCs w:val="16"/>
              </w:rPr>
              <w:t>9</w:t>
            </w:r>
          </w:p>
        </w:tc>
      </w:tr>
      <w:tr w:rsidR="007024EB" w:rsidRPr="001A34FD" w:rsidTr="0080195F">
        <w:tc>
          <w:tcPr>
            <w:tcW w:w="2970" w:type="dxa"/>
          </w:tcPr>
          <w:p w:rsidR="007024EB" w:rsidRPr="005269A7" w:rsidRDefault="007024EB" w:rsidP="007024EB">
            <w:pPr>
              <w:rPr>
                <w:sz w:val="16"/>
                <w:szCs w:val="16"/>
              </w:rPr>
            </w:pPr>
            <w:r w:rsidRPr="005269A7">
              <w:rPr>
                <w:sz w:val="16"/>
                <w:szCs w:val="16"/>
              </w:rPr>
              <w:t>January 1, 2005 – December 31, 2005</w:t>
            </w:r>
          </w:p>
        </w:tc>
        <w:tc>
          <w:tcPr>
            <w:tcW w:w="2016" w:type="dxa"/>
          </w:tcPr>
          <w:p w:rsidR="007024EB" w:rsidRPr="005269A7" w:rsidRDefault="0080195F" w:rsidP="001A34FD">
            <w:pPr>
              <w:jc w:val="center"/>
              <w:rPr>
                <w:sz w:val="16"/>
                <w:szCs w:val="16"/>
              </w:rPr>
            </w:pPr>
            <w:r>
              <w:rPr>
                <w:sz w:val="16"/>
                <w:szCs w:val="16"/>
              </w:rPr>
              <w:t xml:space="preserve">    </w:t>
            </w:r>
            <w:r w:rsidR="00533A10" w:rsidRPr="005269A7">
              <w:rPr>
                <w:sz w:val="16"/>
                <w:szCs w:val="16"/>
              </w:rPr>
              <w:t>90</w:t>
            </w:r>
          </w:p>
        </w:tc>
        <w:tc>
          <w:tcPr>
            <w:tcW w:w="2952" w:type="dxa"/>
          </w:tcPr>
          <w:p w:rsidR="007024EB" w:rsidRPr="005269A7" w:rsidRDefault="00EA7225" w:rsidP="00B61C6A">
            <w:pPr>
              <w:jc w:val="center"/>
              <w:rPr>
                <w:sz w:val="16"/>
                <w:szCs w:val="16"/>
              </w:rPr>
            </w:pPr>
            <w:r>
              <w:rPr>
                <w:sz w:val="16"/>
                <w:szCs w:val="16"/>
              </w:rPr>
              <w:t xml:space="preserve">    </w:t>
            </w:r>
            <w:r w:rsidR="006B6A6F" w:rsidRPr="005269A7">
              <w:rPr>
                <w:sz w:val="16"/>
                <w:szCs w:val="16"/>
              </w:rPr>
              <w:t>$</w:t>
            </w:r>
            <w:r w:rsidR="00B61C6A">
              <w:rPr>
                <w:sz w:val="16"/>
                <w:szCs w:val="16"/>
              </w:rPr>
              <w:t>67.8</w:t>
            </w:r>
          </w:p>
        </w:tc>
      </w:tr>
      <w:tr w:rsidR="007024EB" w:rsidRPr="001A34FD" w:rsidTr="0080195F">
        <w:tc>
          <w:tcPr>
            <w:tcW w:w="2970" w:type="dxa"/>
          </w:tcPr>
          <w:p w:rsidR="007024EB" w:rsidRPr="005269A7" w:rsidRDefault="007024EB" w:rsidP="007024EB">
            <w:pPr>
              <w:rPr>
                <w:sz w:val="16"/>
                <w:szCs w:val="16"/>
              </w:rPr>
            </w:pPr>
            <w:r w:rsidRPr="005269A7">
              <w:rPr>
                <w:sz w:val="16"/>
                <w:szCs w:val="16"/>
              </w:rPr>
              <w:t>January 1, 2004 – December 31, 2004</w:t>
            </w:r>
          </w:p>
        </w:tc>
        <w:tc>
          <w:tcPr>
            <w:tcW w:w="2016" w:type="dxa"/>
          </w:tcPr>
          <w:p w:rsidR="007024EB" w:rsidRPr="005269A7" w:rsidRDefault="0080195F" w:rsidP="001A34FD">
            <w:pPr>
              <w:jc w:val="center"/>
              <w:rPr>
                <w:sz w:val="16"/>
                <w:szCs w:val="16"/>
              </w:rPr>
            </w:pPr>
            <w:r>
              <w:rPr>
                <w:sz w:val="16"/>
                <w:szCs w:val="16"/>
              </w:rPr>
              <w:t xml:space="preserve">    </w:t>
            </w:r>
            <w:r w:rsidR="006B6A6F" w:rsidRPr="005269A7">
              <w:rPr>
                <w:sz w:val="16"/>
                <w:szCs w:val="16"/>
              </w:rPr>
              <w:t>9</w:t>
            </w:r>
            <w:r w:rsidR="005269A7" w:rsidRPr="005269A7">
              <w:rPr>
                <w:sz w:val="16"/>
                <w:szCs w:val="16"/>
              </w:rPr>
              <w:t>1</w:t>
            </w:r>
          </w:p>
        </w:tc>
        <w:tc>
          <w:tcPr>
            <w:tcW w:w="2952" w:type="dxa"/>
          </w:tcPr>
          <w:p w:rsidR="007024EB" w:rsidRPr="005269A7" w:rsidRDefault="00EA7225" w:rsidP="001A34FD">
            <w:pPr>
              <w:jc w:val="center"/>
              <w:rPr>
                <w:sz w:val="16"/>
                <w:szCs w:val="16"/>
              </w:rPr>
            </w:pPr>
            <w:r>
              <w:rPr>
                <w:sz w:val="16"/>
                <w:szCs w:val="16"/>
              </w:rPr>
              <w:t xml:space="preserve">    </w:t>
            </w:r>
            <w:r w:rsidR="006B6A6F" w:rsidRPr="005269A7">
              <w:rPr>
                <w:sz w:val="16"/>
                <w:szCs w:val="16"/>
              </w:rPr>
              <w:t>$34.</w:t>
            </w:r>
            <w:r w:rsidR="005269A7" w:rsidRPr="005269A7">
              <w:rPr>
                <w:sz w:val="16"/>
                <w:szCs w:val="16"/>
              </w:rPr>
              <w:t>7</w:t>
            </w:r>
          </w:p>
        </w:tc>
      </w:tr>
      <w:tr w:rsidR="007024EB" w:rsidRPr="001A34FD" w:rsidTr="0080195F">
        <w:tc>
          <w:tcPr>
            <w:tcW w:w="2970" w:type="dxa"/>
          </w:tcPr>
          <w:p w:rsidR="007024EB" w:rsidRPr="005269A7" w:rsidRDefault="007024EB" w:rsidP="007024EB">
            <w:pPr>
              <w:rPr>
                <w:sz w:val="16"/>
                <w:szCs w:val="16"/>
              </w:rPr>
            </w:pPr>
            <w:r w:rsidRPr="005269A7">
              <w:rPr>
                <w:sz w:val="16"/>
                <w:szCs w:val="16"/>
              </w:rPr>
              <w:t>January 1, 2003 – December 31, 2003</w:t>
            </w:r>
          </w:p>
        </w:tc>
        <w:tc>
          <w:tcPr>
            <w:tcW w:w="2016" w:type="dxa"/>
          </w:tcPr>
          <w:p w:rsidR="007024EB" w:rsidRPr="005269A7" w:rsidRDefault="0080195F" w:rsidP="001A34FD">
            <w:pPr>
              <w:jc w:val="center"/>
              <w:rPr>
                <w:sz w:val="16"/>
                <w:szCs w:val="16"/>
              </w:rPr>
            </w:pPr>
            <w:r>
              <w:rPr>
                <w:sz w:val="16"/>
                <w:szCs w:val="16"/>
              </w:rPr>
              <w:t xml:space="preserve">  </w:t>
            </w:r>
            <w:r w:rsidR="00A511FC" w:rsidRPr="005269A7">
              <w:rPr>
                <w:sz w:val="16"/>
                <w:szCs w:val="16"/>
              </w:rPr>
              <w:t>10</w:t>
            </w:r>
            <w:r w:rsidR="005269A7" w:rsidRPr="005269A7">
              <w:rPr>
                <w:sz w:val="16"/>
                <w:szCs w:val="16"/>
              </w:rPr>
              <w:t>0</w:t>
            </w:r>
          </w:p>
        </w:tc>
        <w:tc>
          <w:tcPr>
            <w:tcW w:w="2952" w:type="dxa"/>
          </w:tcPr>
          <w:p w:rsidR="007024EB" w:rsidRPr="005269A7" w:rsidRDefault="00EA7225" w:rsidP="001A34FD">
            <w:pPr>
              <w:jc w:val="center"/>
              <w:rPr>
                <w:sz w:val="16"/>
                <w:szCs w:val="16"/>
              </w:rPr>
            </w:pPr>
            <w:r>
              <w:rPr>
                <w:sz w:val="16"/>
                <w:szCs w:val="16"/>
              </w:rPr>
              <w:t xml:space="preserve">    </w:t>
            </w:r>
            <w:r w:rsidR="00A511FC" w:rsidRPr="005269A7">
              <w:rPr>
                <w:sz w:val="16"/>
                <w:szCs w:val="16"/>
              </w:rPr>
              <w:t>$3</w:t>
            </w:r>
            <w:r w:rsidR="005269A7" w:rsidRPr="005269A7">
              <w:rPr>
                <w:sz w:val="16"/>
                <w:szCs w:val="16"/>
              </w:rPr>
              <w:t>8.0</w:t>
            </w:r>
          </w:p>
        </w:tc>
      </w:tr>
      <w:tr w:rsidR="00A511FC" w:rsidRPr="001A34FD" w:rsidTr="0080195F">
        <w:tc>
          <w:tcPr>
            <w:tcW w:w="2970" w:type="dxa"/>
          </w:tcPr>
          <w:p w:rsidR="00A511FC" w:rsidRPr="005269A7" w:rsidRDefault="00A511FC" w:rsidP="007024EB">
            <w:pPr>
              <w:rPr>
                <w:sz w:val="16"/>
                <w:szCs w:val="16"/>
              </w:rPr>
            </w:pPr>
            <w:r w:rsidRPr="005269A7">
              <w:rPr>
                <w:sz w:val="16"/>
                <w:szCs w:val="16"/>
              </w:rPr>
              <w:t>January 1, 2002 – December 31, 2002</w:t>
            </w:r>
          </w:p>
        </w:tc>
        <w:tc>
          <w:tcPr>
            <w:tcW w:w="2016" w:type="dxa"/>
          </w:tcPr>
          <w:p w:rsidR="00A511FC" w:rsidRPr="005269A7" w:rsidRDefault="0080195F" w:rsidP="001A34FD">
            <w:pPr>
              <w:jc w:val="center"/>
              <w:rPr>
                <w:sz w:val="16"/>
                <w:szCs w:val="16"/>
              </w:rPr>
            </w:pPr>
            <w:r>
              <w:rPr>
                <w:sz w:val="16"/>
                <w:szCs w:val="16"/>
              </w:rPr>
              <w:t xml:space="preserve">  </w:t>
            </w:r>
            <w:r w:rsidR="003D5104" w:rsidRPr="005269A7">
              <w:rPr>
                <w:sz w:val="16"/>
                <w:szCs w:val="16"/>
              </w:rPr>
              <w:t>1</w:t>
            </w:r>
            <w:r w:rsidR="005269A7" w:rsidRPr="005269A7">
              <w:rPr>
                <w:sz w:val="16"/>
                <w:szCs w:val="16"/>
              </w:rPr>
              <w:t>37</w:t>
            </w:r>
          </w:p>
        </w:tc>
        <w:tc>
          <w:tcPr>
            <w:tcW w:w="2952" w:type="dxa"/>
          </w:tcPr>
          <w:p w:rsidR="00A511FC" w:rsidRPr="005269A7" w:rsidRDefault="00EA7225" w:rsidP="001A34FD">
            <w:pPr>
              <w:jc w:val="center"/>
              <w:rPr>
                <w:sz w:val="16"/>
                <w:szCs w:val="16"/>
              </w:rPr>
            </w:pPr>
            <w:r>
              <w:rPr>
                <w:sz w:val="16"/>
                <w:szCs w:val="16"/>
              </w:rPr>
              <w:t xml:space="preserve">    </w:t>
            </w:r>
            <w:r w:rsidR="003D5104" w:rsidRPr="005269A7">
              <w:rPr>
                <w:sz w:val="16"/>
                <w:szCs w:val="16"/>
              </w:rPr>
              <w:t>$3</w:t>
            </w:r>
            <w:r w:rsidR="005269A7" w:rsidRPr="005269A7">
              <w:rPr>
                <w:sz w:val="16"/>
                <w:szCs w:val="16"/>
              </w:rPr>
              <w:t>6.2</w:t>
            </w:r>
          </w:p>
        </w:tc>
      </w:tr>
      <w:tr w:rsidR="00A511FC" w:rsidRPr="001A34FD" w:rsidTr="0080195F">
        <w:tc>
          <w:tcPr>
            <w:tcW w:w="2970" w:type="dxa"/>
          </w:tcPr>
          <w:p w:rsidR="00A511FC" w:rsidRPr="00B67432" w:rsidRDefault="00A511FC" w:rsidP="007024EB">
            <w:pPr>
              <w:rPr>
                <w:sz w:val="16"/>
                <w:szCs w:val="16"/>
              </w:rPr>
            </w:pPr>
            <w:r w:rsidRPr="00B67432">
              <w:rPr>
                <w:sz w:val="16"/>
                <w:szCs w:val="16"/>
              </w:rPr>
              <w:t>January 1, 2001 – December 31, 2001</w:t>
            </w:r>
          </w:p>
        </w:tc>
        <w:tc>
          <w:tcPr>
            <w:tcW w:w="2016" w:type="dxa"/>
          </w:tcPr>
          <w:p w:rsidR="00A511FC" w:rsidRPr="00B67432" w:rsidRDefault="0080195F" w:rsidP="001A34FD">
            <w:pPr>
              <w:jc w:val="center"/>
              <w:rPr>
                <w:sz w:val="16"/>
                <w:szCs w:val="16"/>
              </w:rPr>
            </w:pPr>
            <w:r>
              <w:rPr>
                <w:sz w:val="16"/>
                <w:szCs w:val="16"/>
              </w:rPr>
              <w:t xml:space="preserve">  </w:t>
            </w:r>
            <w:r w:rsidR="0099656C" w:rsidRPr="00B67432">
              <w:rPr>
                <w:sz w:val="16"/>
                <w:szCs w:val="16"/>
              </w:rPr>
              <w:t>17</w:t>
            </w:r>
            <w:r w:rsidR="00A7334F">
              <w:rPr>
                <w:sz w:val="16"/>
                <w:szCs w:val="16"/>
              </w:rPr>
              <w:t>0</w:t>
            </w:r>
          </w:p>
        </w:tc>
        <w:tc>
          <w:tcPr>
            <w:tcW w:w="2952" w:type="dxa"/>
          </w:tcPr>
          <w:p w:rsidR="00A511FC" w:rsidRPr="00B67432" w:rsidRDefault="00EA7225" w:rsidP="001A34FD">
            <w:pPr>
              <w:jc w:val="center"/>
              <w:rPr>
                <w:sz w:val="16"/>
                <w:szCs w:val="16"/>
              </w:rPr>
            </w:pPr>
            <w:r>
              <w:rPr>
                <w:sz w:val="16"/>
                <w:szCs w:val="16"/>
              </w:rPr>
              <w:t xml:space="preserve">   </w:t>
            </w:r>
            <w:r w:rsidR="0074523A" w:rsidRPr="00B67432">
              <w:rPr>
                <w:sz w:val="16"/>
                <w:szCs w:val="16"/>
              </w:rPr>
              <w:t>$10</w:t>
            </w:r>
            <w:r w:rsidR="00B67432" w:rsidRPr="00B67432">
              <w:rPr>
                <w:sz w:val="16"/>
                <w:szCs w:val="16"/>
              </w:rPr>
              <w:t>3.</w:t>
            </w:r>
            <w:r w:rsidR="00A7334F">
              <w:rPr>
                <w:sz w:val="16"/>
                <w:szCs w:val="16"/>
              </w:rPr>
              <w:t>4</w:t>
            </w:r>
          </w:p>
        </w:tc>
      </w:tr>
      <w:tr w:rsidR="007024EB" w:rsidRPr="001A34FD" w:rsidTr="0080195F">
        <w:tc>
          <w:tcPr>
            <w:tcW w:w="2970" w:type="dxa"/>
          </w:tcPr>
          <w:p w:rsidR="007024EB" w:rsidRPr="00B67432" w:rsidRDefault="007024EB" w:rsidP="007024EB">
            <w:pPr>
              <w:rPr>
                <w:sz w:val="16"/>
                <w:szCs w:val="16"/>
              </w:rPr>
            </w:pPr>
            <w:r w:rsidRPr="00B67432">
              <w:rPr>
                <w:sz w:val="16"/>
                <w:szCs w:val="16"/>
              </w:rPr>
              <w:t>January 1, 2000 – December 31, 2000</w:t>
            </w:r>
          </w:p>
        </w:tc>
        <w:tc>
          <w:tcPr>
            <w:tcW w:w="2016" w:type="dxa"/>
          </w:tcPr>
          <w:p w:rsidR="007024EB" w:rsidRPr="00B67432" w:rsidRDefault="0080195F" w:rsidP="001A34FD">
            <w:pPr>
              <w:jc w:val="center"/>
              <w:rPr>
                <w:sz w:val="16"/>
                <w:szCs w:val="16"/>
              </w:rPr>
            </w:pPr>
            <w:r>
              <w:rPr>
                <w:sz w:val="16"/>
                <w:szCs w:val="16"/>
              </w:rPr>
              <w:t xml:space="preserve">  </w:t>
            </w:r>
            <w:r w:rsidR="0099656C" w:rsidRPr="00B67432">
              <w:rPr>
                <w:sz w:val="16"/>
                <w:szCs w:val="16"/>
              </w:rPr>
              <w:t>19</w:t>
            </w:r>
            <w:r w:rsidR="00B67432" w:rsidRPr="00B67432">
              <w:rPr>
                <w:sz w:val="16"/>
                <w:szCs w:val="16"/>
              </w:rPr>
              <w:t>6</w:t>
            </w:r>
          </w:p>
        </w:tc>
        <w:tc>
          <w:tcPr>
            <w:tcW w:w="2952" w:type="dxa"/>
          </w:tcPr>
          <w:p w:rsidR="007024EB" w:rsidRPr="00B67432" w:rsidRDefault="00EA7225" w:rsidP="001A34FD">
            <w:pPr>
              <w:jc w:val="center"/>
              <w:rPr>
                <w:sz w:val="16"/>
                <w:szCs w:val="16"/>
              </w:rPr>
            </w:pPr>
            <w:r>
              <w:rPr>
                <w:sz w:val="16"/>
                <w:szCs w:val="16"/>
              </w:rPr>
              <w:t xml:space="preserve">   </w:t>
            </w:r>
            <w:r w:rsidR="000B02CF" w:rsidRPr="00B67432">
              <w:rPr>
                <w:sz w:val="16"/>
                <w:szCs w:val="16"/>
              </w:rPr>
              <w:t>$611</w:t>
            </w:r>
            <w:r w:rsidR="00A511FC" w:rsidRPr="00B67432">
              <w:rPr>
                <w:sz w:val="16"/>
                <w:szCs w:val="16"/>
              </w:rPr>
              <w:t>.</w:t>
            </w:r>
            <w:r w:rsidR="00B67432" w:rsidRPr="00B67432">
              <w:rPr>
                <w:sz w:val="16"/>
                <w:szCs w:val="16"/>
              </w:rPr>
              <w:t>2</w:t>
            </w:r>
          </w:p>
        </w:tc>
      </w:tr>
      <w:tr w:rsidR="007024EB" w:rsidRPr="001A34FD" w:rsidTr="0080195F">
        <w:tc>
          <w:tcPr>
            <w:tcW w:w="2970" w:type="dxa"/>
          </w:tcPr>
          <w:p w:rsidR="007024EB" w:rsidRPr="00B67432" w:rsidRDefault="007024EB" w:rsidP="007024EB">
            <w:pPr>
              <w:rPr>
                <w:sz w:val="16"/>
                <w:szCs w:val="16"/>
              </w:rPr>
            </w:pPr>
            <w:r w:rsidRPr="00B67432">
              <w:rPr>
                <w:sz w:val="16"/>
                <w:szCs w:val="16"/>
              </w:rPr>
              <w:t>August 1, 1999 – December 31, 1999</w:t>
            </w:r>
          </w:p>
        </w:tc>
        <w:tc>
          <w:tcPr>
            <w:tcW w:w="2016" w:type="dxa"/>
          </w:tcPr>
          <w:p w:rsidR="007024EB" w:rsidRPr="00B67432" w:rsidRDefault="0080195F" w:rsidP="001A34FD">
            <w:pPr>
              <w:jc w:val="center"/>
              <w:rPr>
                <w:sz w:val="16"/>
                <w:szCs w:val="16"/>
              </w:rPr>
            </w:pPr>
            <w:r>
              <w:rPr>
                <w:sz w:val="16"/>
                <w:szCs w:val="16"/>
              </w:rPr>
              <w:t xml:space="preserve">    </w:t>
            </w:r>
            <w:r w:rsidR="00A511FC" w:rsidRPr="00B67432">
              <w:rPr>
                <w:sz w:val="16"/>
                <w:szCs w:val="16"/>
              </w:rPr>
              <w:t>73</w:t>
            </w:r>
          </w:p>
        </w:tc>
        <w:tc>
          <w:tcPr>
            <w:tcW w:w="2952" w:type="dxa"/>
          </w:tcPr>
          <w:p w:rsidR="007024EB" w:rsidRPr="00B67432" w:rsidRDefault="00EA7225" w:rsidP="001A34FD">
            <w:pPr>
              <w:jc w:val="center"/>
              <w:rPr>
                <w:sz w:val="16"/>
                <w:szCs w:val="16"/>
              </w:rPr>
            </w:pPr>
            <w:r>
              <w:rPr>
                <w:sz w:val="16"/>
                <w:szCs w:val="16"/>
              </w:rPr>
              <w:t xml:space="preserve">     </w:t>
            </w:r>
            <w:r w:rsidR="00A511FC" w:rsidRPr="00B67432">
              <w:rPr>
                <w:sz w:val="16"/>
                <w:szCs w:val="16"/>
              </w:rPr>
              <w:t>$17.8</w:t>
            </w:r>
          </w:p>
        </w:tc>
      </w:tr>
      <w:tr w:rsidR="007024EB" w:rsidRPr="001A34FD" w:rsidTr="0080195F">
        <w:tc>
          <w:tcPr>
            <w:tcW w:w="2970" w:type="dxa"/>
          </w:tcPr>
          <w:p w:rsidR="007024EB" w:rsidRPr="00B67432" w:rsidRDefault="007024EB" w:rsidP="007024EB">
            <w:pPr>
              <w:rPr>
                <w:sz w:val="16"/>
                <w:szCs w:val="16"/>
              </w:rPr>
            </w:pPr>
            <w:r w:rsidRPr="00B67432">
              <w:rPr>
                <w:sz w:val="16"/>
                <w:szCs w:val="16"/>
              </w:rPr>
              <w:t>July 1, 1995 – July 31, 1999</w:t>
            </w:r>
          </w:p>
        </w:tc>
        <w:tc>
          <w:tcPr>
            <w:tcW w:w="2016" w:type="dxa"/>
          </w:tcPr>
          <w:p w:rsidR="007024EB" w:rsidRPr="00B67432" w:rsidRDefault="0080195F" w:rsidP="001A34FD">
            <w:pPr>
              <w:jc w:val="center"/>
              <w:rPr>
                <w:sz w:val="16"/>
                <w:szCs w:val="16"/>
              </w:rPr>
            </w:pPr>
            <w:r>
              <w:rPr>
                <w:sz w:val="16"/>
                <w:szCs w:val="16"/>
              </w:rPr>
              <w:t xml:space="preserve">   </w:t>
            </w:r>
            <w:r w:rsidR="000B02CF" w:rsidRPr="00B67432">
              <w:rPr>
                <w:sz w:val="16"/>
                <w:szCs w:val="16"/>
              </w:rPr>
              <w:t>39</w:t>
            </w:r>
            <w:r w:rsidR="00B67432" w:rsidRPr="00B67432">
              <w:rPr>
                <w:sz w:val="16"/>
                <w:szCs w:val="16"/>
              </w:rPr>
              <w:t>3</w:t>
            </w:r>
          </w:p>
        </w:tc>
        <w:tc>
          <w:tcPr>
            <w:tcW w:w="2952" w:type="dxa"/>
          </w:tcPr>
          <w:p w:rsidR="007024EB" w:rsidRPr="00B67432" w:rsidRDefault="00EA7225" w:rsidP="001A34FD">
            <w:pPr>
              <w:jc w:val="center"/>
              <w:rPr>
                <w:sz w:val="16"/>
                <w:szCs w:val="16"/>
              </w:rPr>
            </w:pPr>
            <w:r>
              <w:rPr>
                <w:sz w:val="16"/>
                <w:szCs w:val="16"/>
              </w:rPr>
              <w:t xml:space="preserve">   </w:t>
            </w:r>
            <w:r w:rsidR="000B02CF" w:rsidRPr="00B67432">
              <w:rPr>
                <w:sz w:val="16"/>
                <w:szCs w:val="16"/>
              </w:rPr>
              <w:t>$17</w:t>
            </w:r>
            <w:r w:rsidR="00B67432" w:rsidRPr="00B67432">
              <w:rPr>
                <w:sz w:val="16"/>
                <w:szCs w:val="16"/>
              </w:rPr>
              <w:t>4.</w:t>
            </w:r>
            <w:r w:rsidR="00585AB0">
              <w:rPr>
                <w:sz w:val="16"/>
                <w:szCs w:val="16"/>
              </w:rPr>
              <w:t>3</w:t>
            </w:r>
          </w:p>
        </w:tc>
      </w:tr>
      <w:tr w:rsidR="00713F2B" w:rsidRPr="001A34FD" w:rsidTr="0080195F">
        <w:tc>
          <w:tcPr>
            <w:tcW w:w="2970" w:type="dxa"/>
          </w:tcPr>
          <w:p w:rsidR="00713F2B" w:rsidRPr="00B67432" w:rsidRDefault="006B6A6F">
            <w:pPr>
              <w:rPr>
                <w:b/>
                <w:sz w:val="16"/>
                <w:szCs w:val="16"/>
              </w:rPr>
            </w:pPr>
            <w:r w:rsidRPr="00B67432">
              <w:rPr>
                <w:b/>
                <w:sz w:val="16"/>
                <w:szCs w:val="16"/>
              </w:rPr>
              <w:t>Totals</w:t>
            </w:r>
          </w:p>
        </w:tc>
        <w:tc>
          <w:tcPr>
            <w:tcW w:w="2016" w:type="dxa"/>
          </w:tcPr>
          <w:p w:rsidR="00713F2B" w:rsidRPr="00B67432" w:rsidRDefault="00F2653A" w:rsidP="001A34FD">
            <w:pPr>
              <w:jc w:val="center"/>
              <w:rPr>
                <w:b/>
                <w:sz w:val="16"/>
                <w:szCs w:val="16"/>
              </w:rPr>
            </w:pPr>
            <w:r w:rsidRPr="00B67432">
              <w:rPr>
                <w:b/>
                <w:sz w:val="16"/>
                <w:szCs w:val="16"/>
              </w:rPr>
              <w:t>1,</w:t>
            </w:r>
            <w:r w:rsidR="00B67432" w:rsidRPr="00B67432">
              <w:rPr>
                <w:b/>
                <w:sz w:val="16"/>
                <w:szCs w:val="16"/>
              </w:rPr>
              <w:t>5</w:t>
            </w:r>
            <w:r w:rsidR="00B61C6A">
              <w:rPr>
                <w:b/>
                <w:sz w:val="16"/>
                <w:szCs w:val="16"/>
              </w:rPr>
              <w:t>46</w:t>
            </w:r>
          </w:p>
        </w:tc>
        <w:tc>
          <w:tcPr>
            <w:tcW w:w="2952" w:type="dxa"/>
          </w:tcPr>
          <w:p w:rsidR="00713F2B" w:rsidRPr="00B67432" w:rsidRDefault="004B3AC3" w:rsidP="001A34FD">
            <w:pPr>
              <w:jc w:val="center"/>
              <w:rPr>
                <w:b/>
                <w:sz w:val="16"/>
                <w:szCs w:val="16"/>
              </w:rPr>
            </w:pPr>
            <w:r w:rsidRPr="00B67432">
              <w:rPr>
                <w:b/>
                <w:sz w:val="16"/>
                <w:szCs w:val="16"/>
              </w:rPr>
              <w:t>$</w:t>
            </w:r>
            <w:r w:rsidR="009063FA" w:rsidRPr="00B67432">
              <w:rPr>
                <w:b/>
                <w:sz w:val="16"/>
                <w:szCs w:val="16"/>
              </w:rPr>
              <w:t>1,2</w:t>
            </w:r>
            <w:r w:rsidR="00B61C6A">
              <w:rPr>
                <w:b/>
                <w:sz w:val="16"/>
                <w:szCs w:val="16"/>
              </w:rPr>
              <w:t>94</w:t>
            </w:r>
            <w:r w:rsidR="00B67432" w:rsidRPr="00B67432">
              <w:rPr>
                <w:b/>
                <w:sz w:val="16"/>
                <w:szCs w:val="16"/>
              </w:rPr>
              <w:t>.</w:t>
            </w:r>
            <w:r w:rsidR="00585AB0">
              <w:rPr>
                <w:b/>
                <w:sz w:val="16"/>
                <w:szCs w:val="16"/>
              </w:rPr>
              <w:t>0</w:t>
            </w:r>
          </w:p>
        </w:tc>
      </w:tr>
    </w:tbl>
    <w:p w:rsidR="00B74599" w:rsidRDefault="00B74599">
      <w:pPr>
        <w:rPr>
          <w:b/>
          <w:i/>
        </w:rPr>
      </w:pPr>
    </w:p>
    <w:p w:rsidR="00B74599" w:rsidRDefault="00B74599">
      <w:pPr>
        <w:rPr>
          <w:b/>
          <w:i/>
        </w:rPr>
      </w:pPr>
    </w:p>
    <w:p w:rsidR="00D43A54" w:rsidRPr="00DE1BF3" w:rsidRDefault="00384047">
      <w:pPr>
        <w:rPr>
          <w:b/>
          <w:i/>
        </w:rPr>
      </w:pPr>
      <w:r w:rsidRPr="00DE1BF3">
        <w:rPr>
          <w:b/>
          <w:i/>
        </w:rPr>
        <w:t>201</w:t>
      </w:r>
      <w:r w:rsidR="00E67E17" w:rsidRPr="00DE1BF3">
        <w:rPr>
          <w:b/>
          <w:i/>
        </w:rPr>
        <w:t>3</w:t>
      </w:r>
      <w:r w:rsidR="00F2653A" w:rsidRPr="00DE1BF3">
        <w:rPr>
          <w:b/>
          <w:i/>
        </w:rPr>
        <w:t xml:space="preserve"> </w:t>
      </w:r>
      <w:r w:rsidR="00D43A54" w:rsidRPr="00DE1BF3">
        <w:rPr>
          <w:b/>
          <w:i/>
        </w:rPr>
        <w:t>Non-JOBZ Activity</w:t>
      </w:r>
    </w:p>
    <w:p w:rsidR="007A241A" w:rsidRPr="00141A39" w:rsidRDefault="00D43A54">
      <w:r w:rsidRPr="00141A39">
        <w:t xml:space="preserve">Of the </w:t>
      </w:r>
      <w:r w:rsidR="00955DFD" w:rsidRPr="00141A39">
        <w:t>652</w:t>
      </w:r>
      <w:r w:rsidRPr="00141A39">
        <w:t xml:space="preserve"> state and local government agencies th</w:t>
      </w:r>
      <w:r w:rsidR="00E67E17" w:rsidRPr="00141A39">
        <w:t>at were required to file in 2014</w:t>
      </w:r>
      <w:r w:rsidRPr="00141A39">
        <w:t xml:space="preserve"> eith</w:t>
      </w:r>
      <w:r w:rsidR="00BA0EB8">
        <w:t>er because of population size,</w:t>
      </w:r>
      <w:r w:rsidRPr="00141A39">
        <w:t xml:space="preserve"> previous business subsidy acti</w:t>
      </w:r>
      <w:r w:rsidR="00E67E17" w:rsidRPr="00141A39">
        <w:t>vity or current activity in 2013</w:t>
      </w:r>
      <w:r w:rsidR="004E6E47" w:rsidRPr="00141A39">
        <w:t xml:space="preserve">, </w:t>
      </w:r>
      <w:r w:rsidR="00955DFD" w:rsidRPr="00141A39">
        <w:t>282</w:t>
      </w:r>
      <w:r w:rsidRPr="00141A39">
        <w:t xml:space="preserve"> agencies submitted a MBAF and </w:t>
      </w:r>
      <w:r w:rsidR="00955DFD" w:rsidRPr="00141A39">
        <w:t>370</w:t>
      </w:r>
      <w:r w:rsidRPr="00141A39">
        <w:t xml:space="preserve"> agencies did not submit a form (see Appendix A).</w:t>
      </w:r>
    </w:p>
    <w:p w:rsidR="00596538" w:rsidRPr="00141A39" w:rsidRDefault="00596538"/>
    <w:p w:rsidR="007A241A" w:rsidRDefault="00955DFD">
      <w:r w:rsidRPr="00141A39">
        <w:t>Of the 282</w:t>
      </w:r>
      <w:r w:rsidR="007A241A" w:rsidRPr="00141A39">
        <w:t xml:space="preserve"> ag</w:t>
      </w:r>
      <w:r w:rsidRPr="00141A39">
        <w:t>encies that submitted a form, 19</w:t>
      </w:r>
      <w:r w:rsidR="007A241A" w:rsidRPr="00141A39">
        <w:t xml:space="preserve"> agencies reported on </w:t>
      </w:r>
      <w:r w:rsidRPr="00141A39">
        <w:t>20</w:t>
      </w:r>
      <w:r w:rsidR="007A241A" w:rsidRPr="00141A39">
        <w:t xml:space="preserve"> eligible business assistance agreements that were</w:t>
      </w:r>
      <w:r w:rsidRPr="00141A39">
        <w:t xml:space="preserve"> reached between January 1, 2013 and December 31, 2013</w:t>
      </w:r>
      <w:r w:rsidR="004E6E47" w:rsidRPr="00DE1BF3">
        <w:t xml:space="preserve">. </w:t>
      </w:r>
      <w:r w:rsidR="00DE1BF3" w:rsidRPr="00DE1BF3">
        <w:t xml:space="preserve"> The $14.4</w:t>
      </w:r>
      <w:r w:rsidR="007A241A" w:rsidRPr="00DE1BF3">
        <w:t xml:space="preserve"> million of business</w:t>
      </w:r>
      <w:r w:rsidR="00DE1BF3" w:rsidRPr="00DE1BF3">
        <w:t xml:space="preserve"> assistance provided by those 20 agreements ranged from a $170</w:t>
      </w:r>
      <w:r w:rsidR="007A241A" w:rsidRPr="00DE1BF3">
        <w:t>,</w:t>
      </w:r>
      <w:r w:rsidR="00DE1BF3" w:rsidRPr="00DE1BF3">
        <w:t>000 grant subsidy to a $1.5 million TIF</w:t>
      </w:r>
      <w:r w:rsidR="007A241A" w:rsidRPr="00DE1BF3">
        <w:t xml:space="preserve"> agreement.</w:t>
      </w:r>
    </w:p>
    <w:p w:rsidR="007A241A" w:rsidRDefault="007A241A"/>
    <w:p w:rsidR="00E67E17" w:rsidRDefault="00E67E17">
      <w:r>
        <w:t xml:space="preserve">Of the 20 business assistance </w:t>
      </w:r>
      <w:r w:rsidR="002450AE">
        <w:t xml:space="preserve">agreements </w:t>
      </w:r>
      <w:r>
        <w:t>reached between January 1, 2013 and December 31, 2013, agencies reported that five recipients (25.0</w:t>
      </w:r>
      <w:r w:rsidR="0082325C">
        <w:t xml:space="preserve"> percent</w:t>
      </w:r>
      <w:r w:rsidR="00003E85">
        <w:t xml:space="preserve">) had achieved </w:t>
      </w:r>
      <w:r>
        <w:t>stipulated goals and obligations, compared to 15 recipients (75.0</w:t>
      </w:r>
      <w:r w:rsidR="0082325C">
        <w:t xml:space="preserve"> percent</w:t>
      </w:r>
      <w:r w:rsidR="00003E85">
        <w:t>) that have yet to achieve goals and obligations.  A</w:t>
      </w:r>
      <w:r>
        <w:t xml:space="preserve">gencies reported that recipients had more time to meet their goals and obligations.  The total value of the five agreements </w:t>
      </w:r>
      <w:r w:rsidR="00003E85">
        <w:t xml:space="preserve">that met </w:t>
      </w:r>
      <w:r w:rsidR="00073AE9">
        <w:t xml:space="preserve">goals </w:t>
      </w:r>
      <w:r>
        <w:t>was $4.1 million (28.4</w:t>
      </w:r>
      <w:r w:rsidR="0082325C">
        <w:t xml:space="preserve"> percent</w:t>
      </w:r>
      <w:r>
        <w:t>) compared to $</w:t>
      </w:r>
      <w:r w:rsidR="00073AE9">
        <w:t>10.3 million (71.6</w:t>
      </w:r>
      <w:r w:rsidR="0082325C">
        <w:t xml:space="preserve"> percent</w:t>
      </w:r>
      <w:r w:rsidR="00BA0EB8">
        <w:t xml:space="preserve">) that had yet to achieve </w:t>
      </w:r>
      <w:r w:rsidR="00073AE9">
        <w:t>goals and obligations</w:t>
      </w:r>
      <w:r>
        <w:t xml:space="preserve">.  </w:t>
      </w:r>
      <w:r w:rsidR="00003E85">
        <w:t xml:space="preserve">The business assistance </w:t>
      </w:r>
      <w:r w:rsidR="009A4439">
        <w:t xml:space="preserve">provided </w:t>
      </w:r>
      <w:r w:rsidR="00003E85">
        <w:t>totaled $14.4 million.</w:t>
      </w:r>
    </w:p>
    <w:p w:rsidR="00BA0EB8" w:rsidRDefault="00BA0EB8" w:rsidP="008A623F"/>
    <w:p w:rsidR="00B51EB1" w:rsidRDefault="00233FAF" w:rsidP="008A623F">
      <w:r>
        <w:t>A g</w:t>
      </w:r>
      <w:r w:rsidR="00BA0EB8">
        <w:t>overnment agency reported in 2013 and 2014 for 2013 activity</w:t>
      </w:r>
      <w:r w:rsidR="008A623F">
        <w:t xml:space="preserve"> </w:t>
      </w:r>
      <w:r w:rsidR="00A01B21">
        <w:t xml:space="preserve">that there was </w:t>
      </w:r>
      <w:r w:rsidR="008A623F">
        <w:t>one eligible financial assistance agr</w:t>
      </w:r>
      <w:r w:rsidR="00BA0EB8">
        <w:t>eement in excess of $150,000</w:t>
      </w:r>
      <w:r w:rsidR="008A623F">
        <w:t>.  The agency reported that the recipient had more time to meet its goals and obliga</w:t>
      </w:r>
      <w:r w:rsidR="00003E85">
        <w:t xml:space="preserve">tions.  The financial assistance </w:t>
      </w:r>
      <w:r w:rsidR="009A4439">
        <w:t xml:space="preserve">provided </w:t>
      </w:r>
      <w:r w:rsidR="00003E85">
        <w:t>totaled</w:t>
      </w:r>
    </w:p>
    <w:p w:rsidR="00546CD4" w:rsidRDefault="008A623F" w:rsidP="008A623F">
      <w:r>
        <w:t>$0.3 million</w:t>
      </w:r>
    </w:p>
    <w:p w:rsidR="00546CD4" w:rsidRDefault="00546CD4">
      <w:r>
        <w:br w:type="page"/>
      </w:r>
    </w:p>
    <w:p w:rsidR="00546CD4" w:rsidRPr="00546CD4" w:rsidRDefault="00546CD4" w:rsidP="00546CD4">
      <w:pPr>
        <w:rPr>
          <w:b/>
          <w:i/>
          <w:u w:val="single"/>
        </w:rPr>
      </w:pPr>
      <w:r w:rsidRPr="00546CD4">
        <w:rPr>
          <w:b/>
          <w:i/>
          <w:u w:val="single"/>
        </w:rPr>
        <w:lastRenderedPageBreak/>
        <w:t>Page 4                                                                        2014 Minnesota Business Assistance Report</w:t>
      </w:r>
    </w:p>
    <w:p w:rsidR="008A623F" w:rsidRDefault="008A623F" w:rsidP="008A623F"/>
    <w:p w:rsidR="004E1C4C" w:rsidRDefault="004E1C4C" w:rsidP="008A623F"/>
    <w:p w:rsidR="00546CD4" w:rsidRDefault="00A01B21" w:rsidP="008A623F">
      <w:r>
        <w:t>Government agencies reported in 2013 and 2014 for 2013 activity that there were</w:t>
      </w:r>
      <w:r w:rsidR="004E1C4C">
        <w:t xml:space="preserve"> 10 eligible financial assistance projects where the assistance </w:t>
      </w:r>
      <w:r>
        <w:t>was at or less than $150,000</w:t>
      </w:r>
      <w:r w:rsidR="004E1C4C">
        <w:t>.  Of the 10 financial assistance projects reached by government agencies between January 1, 2013 and December 31, 2013, agencies reported that one recipient (10.0</w:t>
      </w:r>
      <w:r w:rsidR="0082325C">
        <w:t xml:space="preserve"> percent</w:t>
      </w:r>
      <w:r w:rsidR="004E1C4C">
        <w:t>) had achieve</w:t>
      </w:r>
      <w:r w:rsidR="00C079A1">
        <w:t xml:space="preserve">d all </w:t>
      </w:r>
      <w:r w:rsidR="00003E85">
        <w:t>goals compared to nine</w:t>
      </w:r>
      <w:r w:rsidR="004E1C4C">
        <w:t> recipients (90.0</w:t>
      </w:r>
      <w:r w:rsidR="0082325C">
        <w:t xml:space="preserve"> percent</w:t>
      </w:r>
      <w:r w:rsidR="00C079A1">
        <w:t xml:space="preserve">) that have yet to meet </w:t>
      </w:r>
      <w:r w:rsidR="004E1C4C">
        <w:t>their obligations.  The tota</w:t>
      </w:r>
      <w:r w:rsidR="00073AE9">
        <w:t xml:space="preserve">l value </w:t>
      </w:r>
      <w:r w:rsidR="00C079A1">
        <w:t xml:space="preserve">of the one project that met all </w:t>
      </w:r>
      <w:r w:rsidR="00073AE9">
        <w:t>goals</w:t>
      </w:r>
      <w:r w:rsidR="004E1C4C">
        <w:t xml:space="preserve"> was $0.1</w:t>
      </w:r>
      <w:r w:rsidR="00233FAF">
        <w:t xml:space="preserve"> </w:t>
      </w:r>
      <w:r w:rsidR="004E1C4C">
        <w:t>million (9.4</w:t>
      </w:r>
      <w:r w:rsidR="0082325C">
        <w:t xml:space="preserve"> percent</w:t>
      </w:r>
      <w:r w:rsidR="004E1C4C">
        <w:t>) compared to</w:t>
      </w:r>
    </w:p>
    <w:p w:rsidR="004E1C4C" w:rsidRDefault="00073AE9" w:rsidP="008A623F">
      <w:proofErr w:type="gramStart"/>
      <w:r>
        <w:t>$0.9 million (90.6</w:t>
      </w:r>
      <w:r w:rsidR="0082325C">
        <w:t xml:space="preserve"> percent</w:t>
      </w:r>
      <w:r w:rsidR="00C079A1">
        <w:t xml:space="preserve">) that had yet to achieve all </w:t>
      </w:r>
      <w:r>
        <w:t>goals and obligations</w:t>
      </w:r>
      <w:r w:rsidR="004E1C4C">
        <w:t>.</w:t>
      </w:r>
      <w:proofErr w:type="gramEnd"/>
      <w:r w:rsidR="004E1C4C">
        <w:t xml:space="preserve">  The total value of public financial assistance provi</w:t>
      </w:r>
      <w:r w:rsidR="009A4439">
        <w:t xml:space="preserve">ded was $1.0 million.  The </w:t>
      </w:r>
      <w:r w:rsidR="00B76A7E">
        <w:t>project budget for those 10</w:t>
      </w:r>
      <w:r w:rsidR="009A4439">
        <w:t xml:space="preserve"> projects totaled</w:t>
      </w:r>
      <w:r w:rsidR="004E1C4C">
        <w:t xml:space="preserve"> $13.9 million of which $1.0 million (20.0</w:t>
      </w:r>
      <w:r w:rsidR="0082325C">
        <w:t xml:space="preserve"> percent</w:t>
      </w:r>
      <w:r w:rsidR="004E1C4C">
        <w:t>) was provided by the public (see Appendix B).</w:t>
      </w:r>
    </w:p>
    <w:p w:rsidR="00B80C05" w:rsidRDefault="00B80C05" w:rsidP="008A623F"/>
    <w:p w:rsidR="00B80C05" w:rsidRPr="00B80C05" w:rsidRDefault="00B80C05" w:rsidP="008A623F">
      <w:pPr>
        <w:rPr>
          <w:b/>
          <w:i/>
        </w:rPr>
      </w:pPr>
      <w:r w:rsidRPr="00B80C05">
        <w:rPr>
          <w:b/>
          <w:i/>
        </w:rPr>
        <w:t>2012 Non-JOBZ Activity</w:t>
      </w:r>
    </w:p>
    <w:p w:rsidR="00B51EB1" w:rsidRDefault="00003E85" w:rsidP="008A623F">
      <w:r>
        <w:t xml:space="preserve">Government agencies reported in 2013 and 2014 for 2012 activity </w:t>
      </w:r>
      <w:r w:rsidR="0006300A">
        <w:t xml:space="preserve">that </w:t>
      </w:r>
      <w:r>
        <w:t>t</w:t>
      </w:r>
      <w:r w:rsidR="00370B0B">
        <w:t>here were 42 eligible business assistance agree</w:t>
      </w:r>
      <w:r>
        <w:t>ments</w:t>
      </w:r>
      <w:r w:rsidR="00370B0B">
        <w:t xml:space="preserve">.  </w:t>
      </w:r>
      <w:r w:rsidR="00B80C05">
        <w:t>Of the 42 business assistance agreements reached between January 1, 2012 and December 31, 2012, agencies reported that 16 recipients (38.1</w:t>
      </w:r>
      <w:r w:rsidR="0082325C">
        <w:t xml:space="preserve"> percent</w:t>
      </w:r>
      <w:r w:rsidR="00B80C05">
        <w:t>) had achieved all stipulated goals and obligations, compared to</w:t>
      </w:r>
      <w:r w:rsidR="00370B0B">
        <w:t xml:space="preserve"> 26 recipients (61.9</w:t>
      </w:r>
      <w:r w:rsidR="0082325C">
        <w:t xml:space="preserve"> percent</w:t>
      </w:r>
      <w:r w:rsidR="00370B0B">
        <w:t>) that had</w:t>
      </w:r>
      <w:r w:rsidR="00B80C05">
        <w:t xml:space="preserve"> yet to achieve a</w:t>
      </w:r>
      <w:r>
        <w:t>ll goals and obligations.  A</w:t>
      </w:r>
      <w:r w:rsidR="00B80C05">
        <w:t xml:space="preserve">gencies reported that recipients had more time to meet their goals and obligations.  The total value of the 16 agreements </w:t>
      </w:r>
      <w:r w:rsidR="00370B0B">
        <w:t xml:space="preserve">that met all goals </w:t>
      </w:r>
      <w:r w:rsidR="00B80C05">
        <w:t>was</w:t>
      </w:r>
    </w:p>
    <w:p w:rsidR="00B80C05" w:rsidRDefault="00B80C05" w:rsidP="008A623F">
      <w:r>
        <w:t>$20.4 million (55.8</w:t>
      </w:r>
      <w:r w:rsidR="0082325C">
        <w:t xml:space="preserve"> percent</w:t>
      </w:r>
      <w:r>
        <w:t>) compared to $16.1 million (44.2</w:t>
      </w:r>
      <w:r w:rsidR="0082325C">
        <w:t xml:space="preserve"> percent</w:t>
      </w:r>
      <w:r>
        <w:t xml:space="preserve">) </w:t>
      </w:r>
      <w:r w:rsidR="00370B0B">
        <w:t>that</w:t>
      </w:r>
      <w:r w:rsidR="00062B1B">
        <w:t xml:space="preserve"> had yet to achieve</w:t>
      </w:r>
      <w:r w:rsidR="00370B0B">
        <w:t xml:space="preserve"> all goals and obligations</w:t>
      </w:r>
      <w:r w:rsidR="00003E85">
        <w:t xml:space="preserve">.  The business assistance </w:t>
      </w:r>
      <w:r w:rsidR="009A4439">
        <w:t xml:space="preserve">provided </w:t>
      </w:r>
      <w:r w:rsidR="00003E85">
        <w:t>totaled</w:t>
      </w:r>
      <w:r>
        <w:t xml:space="preserve"> $36.5 million.</w:t>
      </w:r>
    </w:p>
    <w:p w:rsidR="00B80C05" w:rsidRDefault="00B80C05" w:rsidP="008A623F"/>
    <w:p w:rsidR="006B7E91" w:rsidRDefault="00856C3B">
      <w:r>
        <w:t xml:space="preserve">Government agencies reported in 2013 and 2014 for 2012 activity </w:t>
      </w:r>
      <w:r w:rsidR="0006300A">
        <w:t xml:space="preserve">that </w:t>
      </w:r>
      <w:r>
        <w:t>there were</w:t>
      </w:r>
      <w:r w:rsidR="00B80C05">
        <w:t xml:space="preserve"> two eligible financial assistance agre</w:t>
      </w:r>
      <w:r>
        <w:t>ements in excess of $150,000</w:t>
      </w:r>
      <w:r w:rsidR="00B80C05">
        <w:t>.  Agencies r</w:t>
      </w:r>
      <w:r w:rsidR="004E1C4C">
        <w:t>eported that one recipient (50.0</w:t>
      </w:r>
      <w:r w:rsidR="0082325C">
        <w:t xml:space="preserve"> percent</w:t>
      </w:r>
      <w:r w:rsidR="00B80C05">
        <w:t xml:space="preserve">) had achieved all goals </w:t>
      </w:r>
      <w:r w:rsidR="004E1C4C">
        <w:t>and obligations, compared to one recipient (50.0</w:t>
      </w:r>
      <w:r w:rsidR="0082325C">
        <w:t xml:space="preserve"> percent</w:t>
      </w:r>
      <w:r w:rsidR="004E1C4C">
        <w:t>)</w:t>
      </w:r>
      <w:r w:rsidR="00F002E5">
        <w:t xml:space="preserve"> </w:t>
      </w:r>
      <w:r w:rsidR="004E1C4C">
        <w:t>that had</w:t>
      </w:r>
      <w:r w:rsidR="00B80C05">
        <w:t xml:space="preserve"> yet to meet their goals and obligations.  The tot</w:t>
      </w:r>
      <w:r w:rsidR="004E1C4C">
        <w:t xml:space="preserve">al value of the project </w:t>
      </w:r>
      <w:r w:rsidR="00370B0B">
        <w:t xml:space="preserve">that met all goals </w:t>
      </w:r>
      <w:r w:rsidR="004E1C4C">
        <w:t>was $0.3 million (</w:t>
      </w:r>
      <w:r w:rsidR="008C2BDD">
        <w:t xml:space="preserve">26.4 </w:t>
      </w:r>
      <w:r w:rsidR="0082325C">
        <w:t>percent</w:t>
      </w:r>
      <w:r w:rsidR="004E1C4C">
        <w:t>) compared to</w:t>
      </w:r>
      <w:r w:rsidR="008C2BDD">
        <w:t xml:space="preserve"> $1.0 million (73.6</w:t>
      </w:r>
      <w:r w:rsidR="00A32A8B">
        <w:t xml:space="preserve"> </w:t>
      </w:r>
      <w:r w:rsidR="0082325C">
        <w:t>percent</w:t>
      </w:r>
      <w:r w:rsidR="00062B1B">
        <w:t>) that had yet to achieve all goals and obligations</w:t>
      </w:r>
      <w:r w:rsidR="00B80C05">
        <w:t>.</w:t>
      </w:r>
    </w:p>
    <w:p w:rsidR="00B51EB1" w:rsidRDefault="00B51EB1"/>
    <w:p w:rsidR="00D85808" w:rsidRDefault="00856C3B" w:rsidP="00D85808">
      <w:r>
        <w:t xml:space="preserve">Government agencies reported in 2013 and 2014 for 2012 activity </w:t>
      </w:r>
      <w:r w:rsidR="0006300A">
        <w:t xml:space="preserve">that </w:t>
      </w:r>
      <w:r>
        <w:t>t</w:t>
      </w:r>
      <w:r w:rsidR="0006300A">
        <w:t>here were</w:t>
      </w:r>
      <w:r w:rsidR="00D85808">
        <w:t xml:space="preserve"> 23 eligible financial assistance projects where the assistance </w:t>
      </w:r>
      <w:r>
        <w:t>was at or less than $150,000</w:t>
      </w:r>
      <w:r w:rsidR="00D85808">
        <w:t>.  Of the 23 financial assistance projects reached by government agencies between January 1, 2012 and December 31, 2012, agencies reported that 14 recipients (60.9</w:t>
      </w:r>
      <w:r w:rsidR="00A01B21">
        <w:t xml:space="preserve"> </w:t>
      </w:r>
      <w:r w:rsidR="0082325C">
        <w:t>percent</w:t>
      </w:r>
      <w:r w:rsidR="00D85808">
        <w:t>) had achieve</w:t>
      </w:r>
      <w:r>
        <w:t>d all stated goals compared to nine</w:t>
      </w:r>
      <w:r w:rsidR="006B7E91">
        <w:t xml:space="preserve"> </w:t>
      </w:r>
      <w:r w:rsidR="00D85808">
        <w:t xml:space="preserve">recipients </w:t>
      </w:r>
      <w:r w:rsidR="00BA0EB8">
        <w:t>(</w:t>
      </w:r>
      <w:r w:rsidR="00D85808">
        <w:t>39.1</w:t>
      </w:r>
      <w:r w:rsidR="0006300A">
        <w:t xml:space="preserve"> </w:t>
      </w:r>
      <w:r w:rsidR="0082325C">
        <w:t>percent</w:t>
      </w:r>
      <w:r w:rsidR="00D85808">
        <w:t>) that have yet to meet all of their obligations.</w:t>
      </w:r>
      <w:r w:rsidR="00062B1B">
        <w:t xml:space="preserve">  The total value of the 14</w:t>
      </w:r>
      <w:r w:rsidR="00D85808">
        <w:t xml:space="preserve"> projects </w:t>
      </w:r>
      <w:r w:rsidR="00062B1B">
        <w:t xml:space="preserve">that met all goals </w:t>
      </w:r>
      <w:r w:rsidR="00D85808">
        <w:t>was $1.5 million (65.0</w:t>
      </w:r>
      <w:r w:rsidR="0082325C">
        <w:t xml:space="preserve"> percent</w:t>
      </w:r>
      <w:r w:rsidR="00D85808">
        <w:t xml:space="preserve">) compared to </w:t>
      </w:r>
      <w:r w:rsidR="00062B1B">
        <w:t>$0.8 million (35.0</w:t>
      </w:r>
      <w:r w:rsidR="0082325C">
        <w:t xml:space="preserve"> percent</w:t>
      </w:r>
      <w:r w:rsidR="00062B1B">
        <w:t>) that had yet to achieve all goals and obligations</w:t>
      </w:r>
      <w:r w:rsidR="00D85808">
        <w:t>.  The total value of public financ</w:t>
      </w:r>
      <w:r w:rsidR="00A40ABB">
        <w:t>ial assistance provided was $2.3</w:t>
      </w:r>
      <w:r w:rsidR="009A4439">
        <w:t xml:space="preserve"> million.  The </w:t>
      </w:r>
      <w:r w:rsidR="00A40ABB">
        <w:t>project budget for those 23</w:t>
      </w:r>
      <w:r w:rsidR="00D85808">
        <w:t xml:space="preserve"> proje</w:t>
      </w:r>
      <w:r w:rsidR="009A4439">
        <w:t>cts totaled</w:t>
      </w:r>
      <w:r w:rsidR="00A40ABB">
        <w:t xml:space="preserve"> $27.0 million of which $2.3 million (22.6</w:t>
      </w:r>
      <w:r w:rsidR="0082325C">
        <w:t xml:space="preserve"> percent</w:t>
      </w:r>
      <w:r w:rsidR="00D85808">
        <w:t>) was provid</w:t>
      </w:r>
      <w:r w:rsidR="00A40ABB">
        <w:t>ed by the public (see Appendix C</w:t>
      </w:r>
      <w:r w:rsidR="00D85808">
        <w:t>).</w:t>
      </w:r>
    </w:p>
    <w:p w:rsidR="00D85808" w:rsidRDefault="00D85808" w:rsidP="008A623F"/>
    <w:p w:rsidR="00E67E17" w:rsidRPr="00A40ABB" w:rsidRDefault="00A40ABB">
      <w:pPr>
        <w:rPr>
          <w:b/>
          <w:i/>
        </w:rPr>
      </w:pPr>
      <w:r w:rsidRPr="008B1E8B">
        <w:rPr>
          <w:b/>
          <w:i/>
        </w:rPr>
        <w:t>2011 Non-JOBZ Activity</w:t>
      </w:r>
    </w:p>
    <w:p w:rsidR="00546CD4" w:rsidRDefault="009A4439">
      <w:r>
        <w:t xml:space="preserve">Government agencies reported in </w:t>
      </w:r>
      <w:r w:rsidR="0006300A">
        <w:t xml:space="preserve">2013 and 2014 for 2011 activity that </w:t>
      </w:r>
      <w:r>
        <w:t>t</w:t>
      </w:r>
      <w:r w:rsidR="008B1E8B">
        <w:t>here were 38</w:t>
      </w:r>
      <w:r w:rsidR="00045E84">
        <w:t xml:space="preserve"> eligible busine</w:t>
      </w:r>
      <w:r>
        <w:t>ss assistance agreements</w:t>
      </w:r>
      <w:r w:rsidR="00045E84">
        <w:t xml:space="preserve">.  </w:t>
      </w:r>
      <w:r w:rsidR="008B1E8B">
        <w:t>Of the 38</w:t>
      </w:r>
      <w:r w:rsidR="007A241A">
        <w:t xml:space="preserve"> business assistance</w:t>
      </w:r>
      <w:r w:rsidR="00B41FD1">
        <w:t xml:space="preserve"> </w:t>
      </w:r>
      <w:r w:rsidR="00233FAF">
        <w:t xml:space="preserve">agreements </w:t>
      </w:r>
      <w:r w:rsidR="00B41FD1">
        <w:t>reached between January 1, 2011</w:t>
      </w:r>
      <w:r w:rsidR="00045E84">
        <w:t xml:space="preserve"> and</w:t>
      </w:r>
      <w:r w:rsidR="008F36D8">
        <w:t xml:space="preserve"> </w:t>
      </w:r>
      <w:r w:rsidR="00045E84">
        <w:t>Decemb</w:t>
      </w:r>
      <w:r w:rsidR="00B41FD1">
        <w:t>er</w:t>
      </w:r>
      <w:r w:rsidR="006B7E91">
        <w:t xml:space="preserve"> </w:t>
      </w:r>
      <w:r w:rsidR="00B41FD1">
        <w:t>31, 2011</w:t>
      </w:r>
      <w:r w:rsidR="007A241A">
        <w:t xml:space="preserve">, agencies reported that </w:t>
      </w:r>
      <w:r w:rsidR="008B1E8B">
        <w:t>17 recipients (44.7</w:t>
      </w:r>
      <w:r w:rsidR="00A32A8B">
        <w:t xml:space="preserve"> </w:t>
      </w:r>
      <w:r w:rsidR="0082325C">
        <w:t>percent</w:t>
      </w:r>
      <w:r w:rsidR="00B72B21">
        <w:t>) had achieved all stipulated goals</w:t>
      </w:r>
      <w:r w:rsidR="008B1E8B">
        <w:t xml:space="preserve"> and obligations, compared to 21 recipients (55.3</w:t>
      </w:r>
      <w:r w:rsidR="00A32A8B">
        <w:t xml:space="preserve"> </w:t>
      </w:r>
      <w:r w:rsidR="0082325C">
        <w:t>percent</w:t>
      </w:r>
      <w:r w:rsidR="00B72B21">
        <w:t>) that have yet to achieve a</w:t>
      </w:r>
      <w:r>
        <w:t>ll goals and obligations.  A</w:t>
      </w:r>
      <w:r w:rsidR="00B72B21">
        <w:t xml:space="preserve">gencies reported that recipients </w:t>
      </w:r>
      <w:r w:rsidR="00366AAC">
        <w:t>had more time to meet</w:t>
      </w:r>
    </w:p>
    <w:p w:rsidR="00546CD4" w:rsidRDefault="00546CD4">
      <w:r>
        <w:br w:type="page"/>
      </w:r>
    </w:p>
    <w:p w:rsidR="00546CD4" w:rsidRPr="00BF17D4" w:rsidRDefault="00546CD4" w:rsidP="00546CD4">
      <w:pPr>
        <w:jc w:val="center"/>
        <w:rPr>
          <w:b/>
          <w:i/>
          <w:u w:val="single"/>
        </w:rPr>
      </w:pPr>
      <w:r>
        <w:rPr>
          <w:b/>
          <w:i/>
          <w:u w:val="single"/>
        </w:rPr>
        <w:lastRenderedPageBreak/>
        <w:t>Minnesota Department of Employment and Economic Development                                 Page 5</w:t>
      </w:r>
    </w:p>
    <w:p w:rsidR="00546CD4" w:rsidRDefault="00546CD4"/>
    <w:p w:rsidR="00546CD4" w:rsidRDefault="00546CD4"/>
    <w:p w:rsidR="00B51EB1" w:rsidRDefault="00366AAC">
      <w:proofErr w:type="gramStart"/>
      <w:r>
        <w:t>their</w:t>
      </w:r>
      <w:proofErr w:type="gramEnd"/>
      <w:r>
        <w:t xml:space="preserve"> goals and obligat</w:t>
      </w:r>
      <w:r w:rsidR="00B41FD1">
        <w:t xml:space="preserve">ions.  The total value of the </w:t>
      </w:r>
      <w:r w:rsidR="008B1E8B">
        <w:t xml:space="preserve">17 agreements </w:t>
      </w:r>
      <w:r w:rsidR="00C167FA">
        <w:t xml:space="preserve">that met all goals </w:t>
      </w:r>
      <w:r w:rsidR="008B1E8B">
        <w:t>was</w:t>
      </w:r>
    </w:p>
    <w:p w:rsidR="007A241A" w:rsidRDefault="008B1E8B">
      <w:r>
        <w:t>$11.4</w:t>
      </w:r>
      <w:r w:rsidR="00B41FD1">
        <w:t xml:space="preserve"> m</w:t>
      </w:r>
      <w:r>
        <w:t>illion (47.2</w:t>
      </w:r>
      <w:r w:rsidR="00A32A8B">
        <w:t xml:space="preserve"> </w:t>
      </w:r>
      <w:r w:rsidR="0082325C">
        <w:t>percent</w:t>
      </w:r>
      <w:r>
        <w:t>) compared to $12.8 million (52.8</w:t>
      </w:r>
      <w:r w:rsidR="00A32A8B">
        <w:t xml:space="preserve"> </w:t>
      </w:r>
      <w:r w:rsidR="0082325C">
        <w:t>percent</w:t>
      </w:r>
      <w:r w:rsidR="00C167FA">
        <w:t>) that had yet to achieve all goals and obligations</w:t>
      </w:r>
      <w:r w:rsidR="009A4439">
        <w:t>.  B</w:t>
      </w:r>
      <w:r w:rsidR="00802D11">
        <w:t>usine</w:t>
      </w:r>
      <w:r w:rsidR="009A4439">
        <w:t>ss assistance provided totaled</w:t>
      </w:r>
      <w:r>
        <w:t xml:space="preserve"> $24.2</w:t>
      </w:r>
      <w:r w:rsidR="00DE4CC8">
        <w:t xml:space="preserve"> million</w:t>
      </w:r>
      <w:r w:rsidR="00366AAC">
        <w:t>.</w:t>
      </w:r>
    </w:p>
    <w:p w:rsidR="006F0959" w:rsidRDefault="006F0959"/>
    <w:p w:rsidR="005F417F" w:rsidRDefault="00A01B21">
      <w:r>
        <w:t>One</w:t>
      </w:r>
      <w:r w:rsidR="006F0959">
        <w:t xml:space="preserve"> eligible financial assistance agreeme</w:t>
      </w:r>
      <w:r w:rsidR="009A4439">
        <w:t>nt in excess of $150,000</w:t>
      </w:r>
      <w:r w:rsidR="0006300A">
        <w:t xml:space="preserve"> was reported by a government agency in 2013 for 2011 activity</w:t>
      </w:r>
      <w:r w:rsidR="006F0959">
        <w:t>.  The agency rep</w:t>
      </w:r>
      <w:r w:rsidR="008B1E8B">
        <w:t>orted that the recipient had m</w:t>
      </w:r>
      <w:r w:rsidR="006F0959">
        <w:t>e</w:t>
      </w:r>
      <w:r w:rsidR="008B1E8B">
        <w:t>t all</w:t>
      </w:r>
      <w:r w:rsidR="006F0959">
        <w:t xml:space="preserve"> its goals and obligations</w:t>
      </w:r>
      <w:r w:rsidR="004867BB">
        <w:t xml:space="preserve"> stipulated in the agreement</w:t>
      </w:r>
      <w:r w:rsidR="009A4439">
        <w:t>.  Financial assistance provided totaled</w:t>
      </w:r>
      <w:r w:rsidR="006F0959">
        <w:t xml:space="preserve"> $0.4 million.</w:t>
      </w:r>
    </w:p>
    <w:p w:rsidR="006F0959" w:rsidRDefault="006F0959"/>
    <w:p w:rsidR="006F0959" w:rsidRDefault="009A4439">
      <w:r>
        <w:t xml:space="preserve">Government agencies reported in 2013 and 2014 for 2011 activity </w:t>
      </w:r>
      <w:r w:rsidR="0006300A">
        <w:t xml:space="preserve">that </w:t>
      </w:r>
      <w:r>
        <w:t>t</w:t>
      </w:r>
      <w:r w:rsidR="0006300A">
        <w:t>here were</w:t>
      </w:r>
      <w:r w:rsidR="00A25049">
        <w:t xml:space="preserve"> </w:t>
      </w:r>
      <w:r w:rsidR="008B1E8B">
        <w:t>24</w:t>
      </w:r>
      <w:r w:rsidR="006F0959">
        <w:t xml:space="preserve"> eligible financial assistance p</w:t>
      </w:r>
      <w:r w:rsidR="00A25049">
        <w:t>rojects where the assistance w</w:t>
      </w:r>
      <w:r w:rsidR="00771D31">
        <w:t>as</w:t>
      </w:r>
      <w:r w:rsidR="006F0959">
        <w:t xml:space="preserve"> </w:t>
      </w:r>
      <w:r>
        <w:t>at or less than $150,000</w:t>
      </w:r>
      <w:r w:rsidR="008B1E8B">
        <w:t>.  Of the 24</w:t>
      </w:r>
      <w:r w:rsidR="006F0959">
        <w:t xml:space="preserve"> financial assistance projects reached by government agencies between January 1, 2011 and December 31, 2011, agencies r</w:t>
      </w:r>
      <w:r w:rsidR="008B1E8B">
        <w:t>eported that 17 recipients (70.8</w:t>
      </w:r>
      <w:r w:rsidR="00A32A8B">
        <w:t xml:space="preserve"> </w:t>
      </w:r>
      <w:r w:rsidR="0082325C">
        <w:t>percent</w:t>
      </w:r>
      <w:r w:rsidR="006F0959">
        <w:t>) had achieve</w:t>
      </w:r>
      <w:r w:rsidR="00BD0B7E">
        <w:t>d all stated goal</w:t>
      </w:r>
      <w:r w:rsidR="0096613E">
        <w:t>s compared to</w:t>
      </w:r>
      <w:r w:rsidR="008F36D8">
        <w:t xml:space="preserve"> </w:t>
      </w:r>
      <w:r>
        <w:t>seven</w:t>
      </w:r>
      <w:r w:rsidR="006B7E91">
        <w:t xml:space="preserve"> </w:t>
      </w:r>
      <w:r w:rsidR="008B1E8B">
        <w:t>recipients (29.2</w:t>
      </w:r>
      <w:r w:rsidR="00A32A8B">
        <w:t xml:space="preserve"> </w:t>
      </w:r>
      <w:r w:rsidR="0082325C">
        <w:t>percent</w:t>
      </w:r>
      <w:r w:rsidR="006F0959">
        <w:t xml:space="preserve">) </w:t>
      </w:r>
      <w:r w:rsidR="00771D31">
        <w:t>that have yet to meet all of their obligations</w:t>
      </w:r>
      <w:r w:rsidR="006F0959">
        <w:t xml:space="preserve">.  The </w:t>
      </w:r>
      <w:r w:rsidR="00DE4CC8">
        <w:t xml:space="preserve">total </w:t>
      </w:r>
      <w:r w:rsidR="0096613E">
        <w:t xml:space="preserve">value of </w:t>
      </w:r>
      <w:r w:rsidR="00771D31">
        <w:t xml:space="preserve">the </w:t>
      </w:r>
      <w:r w:rsidR="00C167FA">
        <w:t xml:space="preserve">17 </w:t>
      </w:r>
      <w:r w:rsidR="00763DE5">
        <w:t xml:space="preserve">projects that met all goals </w:t>
      </w:r>
      <w:r w:rsidR="008B1E8B">
        <w:t>was $1.7 million (70.4</w:t>
      </w:r>
      <w:r w:rsidR="00A32A8B">
        <w:t xml:space="preserve"> </w:t>
      </w:r>
      <w:r w:rsidR="0082325C">
        <w:t>percent</w:t>
      </w:r>
      <w:r w:rsidR="006F0959">
        <w:t xml:space="preserve">) compared to </w:t>
      </w:r>
      <w:r w:rsidR="00A25049">
        <w:t>$</w:t>
      </w:r>
      <w:r w:rsidR="00DB7BEB">
        <w:t>0.</w:t>
      </w:r>
      <w:r w:rsidR="008B1E8B">
        <w:t>7 million (29.6</w:t>
      </w:r>
      <w:r w:rsidR="00A32A8B">
        <w:t xml:space="preserve"> </w:t>
      </w:r>
      <w:r w:rsidR="0082325C">
        <w:t>percent</w:t>
      </w:r>
      <w:r w:rsidR="00763DE5">
        <w:t>) that had yet to achieve all goals and obligations</w:t>
      </w:r>
      <w:r w:rsidR="00DE4CC8">
        <w:t>.  The total value of public financ</w:t>
      </w:r>
      <w:r w:rsidR="008B1E8B">
        <w:t>ial assistance provided was $2.4</w:t>
      </w:r>
      <w:r>
        <w:t xml:space="preserve"> million.  The </w:t>
      </w:r>
      <w:r w:rsidR="00DE4CC8">
        <w:t>project budge</w:t>
      </w:r>
      <w:r w:rsidR="008B1E8B">
        <w:t xml:space="preserve">t for those </w:t>
      </w:r>
      <w:r>
        <w:t>24 projects totaled</w:t>
      </w:r>
      <w:r w:rsidR="008B1E8B">
        <w:t xml:space="preserve"> $12.9</w:t>
      </w:r>
      <w:r w:rsidR="00BD0B7E">
        <w:t xml:space="preserve"> millio</w:t>
      </w:r>
      <w:r w:rsidR="008B1E8B">
        <w:t>n of which $2.4 million (17.6</w:t>
      </w:r>
      <w:r w:rsidR="00A32A8B">
        <w:t xml:space="preserve"> </w:t>
      </w:r>
      <w:r w:rsidR="0082325C">
        <w:t>percent</w:t>
      </w:r>
      <w:r w:rsidR="00DE4CC8">
        <w:t>) was provided by the pu</w:t>
      </w:r>
      <w:r w:rsidR="008B1E8B">
        <w:t>blic (see Appendix D</w:t>
      </w:r>
      <w:r w:rsidR="00DE4CC8">
        <w:t>).</w:t>
      </w:r>
    </w:p>
    <w:p w:rsidR="00366AAC" w:rsidRDefault="00366AAC"/>
    <w:p w:rsidR="00384047" w:rsidRDefault="00384047">
      <w:pPr>
        <w:rPr>
          <w:b/>
          <w:i/>
        </w:rPr>
      </w:pPr>
      <w:r w:rsidRPr="00077F28">
        <w:rPr>
          <w:b/>
          <w:i/>
        </w:rPr>
        <w:t>2010 Non-JOBZ Activity</w:t>
      </w:r>
    </w:p>
    <w:p w:rsidR="00147652" w:rsidRDefault="00C079A1" w:rsidP="00147652">
      <w:r>
        <w:t xml:space="preserve">Government agencies reported in 2013 and 2014 for 2010 activity </w:t>
      </w:r>
      <w:r w:rsidR="0006300A">
        <w:t xml:space="preserve">that </w:t>
      </w:r>
      <w:r>
        <w:t>t</w:t>
      </w:r>
      <w:r w:rsidR="004C7A67">
        <w:t>here were 28</w:t>
      </w:r>
      <w:r w:rsidR="00B41FD1">
        <w:t xml:space="preserve"> eligible bu</w:t>
      </w:r>
      <w:r>
        <w:t>siness assistance agreements</w:t>
      </w:r>
      <w:r w:rsidR="004C7A67">
        <w:t>.  Of the 28</w:t>
      </w:r>
      <w:r w:rsidR="00B41FD1">
        <w:t xml:space="preserve"> business assistance </w:t>
      </w:r>
      <w:r w:rsidR="00771D31">
        <w:t>agreement</w:t>
      </w:r>
      <w:r w:rsidR="00763934">
        <w:t>s</w:t>
      </w:r>
      <w:r w:rsidR="00771D31">
        <w:t xml:space="preserve"> </w:t>
      </w:r>
      <w:r w:rsidR="00B41FD1">
        <w:t>reached between</w:t>
      </w:r>
      <w:r>
        <w:t xml:space="preserve"> </w:t>
      </w:r>
      <w:r w:rsidR="00B41FD1">
        <w:t>January 1, 2010 and December 31</w:t>
      </w:r>
      <w:r w:rsidR="00BD0B7E">
        <w:t>,</w:t>
      </w:r>
      <w:r w:rsidR="004C7A67">
        <w:t xml:space="preserve"> 2010, agencies reported that 17</w:t>
      </w:r>
      <w:r w:rsidR="00B41FD1">
        <w:t xml:space="preserve"> recipie</w:t>
      </w:r>
      <w:r w:rsidR="004C7A67">
        <w:t>nts (60.7</w:t>
      </w:r>
      <w:r w:rsidR="00A32A8B">
        <w:t xml:space="preserve"> </w:t>
      </w:r>
      <w:r w:rsidR="0082325C">
        <w:t>percent</w:t>
      </w:r>
      <w:r w:rsidR="00B41FD1">
        <w:t>) had achieved all stipulated goal</w:t>
      </w:r>
      <w:r w:rsidR="00BD0B7E">
        <w:t>s a</w:t>
      </w:r>
      <w:r w:rsidR="004C7A67">
        <w:t>nd obligations,</w:t>
      </w:r>
      <w:r w:rsidR="008074D4">
        <w:t xml:space="preserve"> compared to 11 recipients (39.3</w:t>
      </w:r>
      <w:r w:rsidR="00A32A8B">
        <w:t xml:space="preserve"> </w:t>
      </w:r>
      <w:r w:rsidR="0082325C">
        <w:t>percent</w:t>
      </w:r>
      <w:r w:rsidR="00B41FD1">
        <w:t xml:space="preserve">) that have yet to achieve all goals and obligations.  </w:t>
      </w:r>
      <w:r w:rsidR="0006300A">
        <w:t>A</w:t>
      </w:r>
      <w:r w:rsidR="00434127">
        <w:t xml:space="preserve">gencies reported that recipients had more time to meet </w:t>
      </w:r>
      <w:r w:rsidR="00147652">
        <w:t>their goals and obligations.  The total value of the 17 agreements that met all goals was</w:t>
      </w:r>
    </w:p>
    <w:p w:rsidR="00147652" w:rsidRDefault="00147652" w:rsidP="00147652">
      <w:r>
        <w:t>$14.1 million (60.7 percent) compared to $5.7 million (39.6 percent) that had yet to achieve all goals and obligations.  Business assistance provided totaled $19.8 million.</w:t>
      </w:r>
    </w:p>
    <w:p w:rsidR="00147652" w:rsidRDefault="00147652"/>
    <w:p w:rsidR="00707AC3" w:rsidRDefault="00233FAF">
      <w:r>
        <w:t xml:space="preserve">Government agencies reported </w:t>
      </w:r>
      <w:r w:rsidR="0006300A">
        <w:t>that there were</w:t>
      </w:r>
      <w:r w:rsidR="00771D31">
        <w:t xml:space="preserve"> </w:t>
      </w:r>
      <w:r w:rsidR="00A25049">
        <w:t>three eligible financial assistance agreements in excess of $150,000 reporte</w:t>
      </w:r>
      <w:r w:rsidR="004C7A67">
        <w:t>d by government agencies in 2013 and 2014</w:t>
      </w:r>
      <w:r w:rsidR="00A25049">
        <w:t xml:space="preserve"> for 2010 activity.  </w:t>
      </w:r>
      <w:r w:rsidR="00771D31">
        <w:t>A</w:t>
      </w:r>
      <w:r w:rsidR="004C7A67">
        <w:t>gencies reported that all of the</w:t>
      </w:r>
      <w:r w:rsidR="00A25049">
        <w:t xml:space="preserve"> recipient</w:t>
      </w:r>
      <w:r w:rsidR="004C7A67">
        <w:t>s had met</w:t>
      </w:r>
      <w:r w:rsidR="00A25049">
        <w:t xml:space="preserve"> all </w:t>
      </w:r>
      <w:r w:rsidR="004C7A67">
        <w:t xml:space="preserve">of their </w:t>
      </w:r>
      <w:r w:rsidR="00A25049">
        <w:t>goals and obligation</w:t>
      </w:r>
      <w:r w:rsidR="004C7A67">
        <w:t>s</w:t>
      </w:r>
      <w:r w:rsidR="004867BB">
        <w:t xml:space="preserve"> stipulated in the agreements</w:t>
      </w:r>
      <w:r w:rsidR="00771D31">
        <w:t xml:space="preserve">.  </w:t>
      </w:r>
      <w:r w:rsidR="0006300A">
        <w:t>Financial assistance provided totaled</w:t>
      </w:r>
      <w:r w:rsidR="00A25049">
        <w:t xml:space="preserve"> $</w:t>
      </w:r>
      <w:r w:rsidR="004C7A67">
        <w:t>1.7 million</w:t>
      </w:r>
      <w:r w:rsidR="001B727C">
        <w:t>.</w:t>
      </w:r>
    </w:p>
    <w:p w:rsidR="00707AC3" w:rsidRDefault="00707AC3"/>
    <w:p w:rsidR="001B727C" w:rsidRDefault="00361172">
      <w:r>
        <w:t>Government agencies reported in 2013 and 2014 for 2010 activity that there were</w:t>
      </w:r>
      <w:r w:rsidR="00997A92">
        <w:t xml:space="preserve"> 16</w:t>
      </w:r>
      <w:r w:rsidR="001B727C">
        <w:t xml:space="preserve"> eligible financial assistance projects where the assistance was at o</w:t>
      </w:r>
      <w:r>
        <w:t>r less than $150,000</w:t>
      </w:r>
      <w:r w:rsidR="00997A92">
        <w:t>.  Of the 16</w:t>
      </w:r>
      <w:r w:rsidR="001B727C">
        <w:t xml:space="preserve"> financial assistance projects reached by government agencies between January 1, 2010 and December 31</w:t>
      </w:r>
      <w:r w:rsidR="00BD0B7E">
        <w:t xml:space="preserve">, 2010, agencies reported that </w:t>
      </w:r>
      <w:r w:rsidR="00997A92">
        <w:t>10 recipients (62.5</w:t>
      </w:r>
      <w:r w:rsidR="00A32A8B">
        <w:t xml:space="preserve"> </w:t>
      </w:r>
      <w:r w:rsidR="0082325C">
        <w:t>percent</w:t>
      </w:r>
      <w:r w:rsidR="001B727C">
        <w:t>) had achieve</w:t>
      </w:r>
      <w:r w:rsidR="00BD0B7E">
        <w:t>d all stated goals compared to</w:t>
      </w:r>
      <w:r w:rsidR="007D2CC9">
        <w:t xml:space="preserve"> </w:t>
      </w:r>
      <w:r>
        <w:t>six</w:t>
      </w:r>
      <w:r w:rsidR="007D2CC9">
        <w:t> </w:t>
      </w:r>
      <w:r w:rsidR="00997A92">
        <w:t>recipients (37.5</w:t>
      </w:r>
      <w:r w:rsidR="00A32A8B">
        <w:t xml:space="preserve"> </w:t>
      </w:r>
      <w:r w:rsidR="0082325C">
        <w:t>percent</w:t>
      </w:r>
      <w:r w:rsidR="001B727C">
        <w:t xml:space="preserve">) </w:t>
      </w:r>
      <w:r w:rsidR="004F4DB0">
        <w:t>that have yet to meet all of their obligations</w:t>
      </w:r>
      <w:r w:rsidR="00BD0B7E">
        <w:t xml:space="preserve">.  The total value of the </w:t>
      </w:r>
      <w:r w:rsidR="00997A92">
        <w:t>10</w:t>
      </w:r>
      <w:r w:rsidR="001B727C">
        <w:t xml:space="preserve"> projects </w:t>
      </w:r>
      <w:r w:rsidR="00763DE5">
        <w:t xml:space="preserve">that met all goals </w:t>
      </w:r>
      <w:r w:rsidR="00997A92">
        <w:t>was $1.1</w:t>
      </w:r>
      <w:r w:rsidR="00DB7BEB">
        <w:t xml:space="preserve"> million compared to $0.</w:t>
      </w:r>
      <w:r w:rsidR="00077F28">
        <w:t>8</w:t>
      </w:r>
      <w:r w:rsidR="00763DE5">
        <w:t xml:space="preserve"> million that had yet to achieve all goals and obligations</w:t>
      </w:r>
      <w:r w:rsidR="001B727C">
        <w:t>.  The total value of the public financ</w:t>
      </w:r>
      <w:r w:rsidR="00BD0B7E">
        <w:t>ial assistan</w:t>
      </w:r>
      <w:r w:rsidR="00997A92">
        <w:t>ce provided was $1.9</w:t>
      </w:r>
      <w:r>
        <w:t xml:space="preserve"> million.  The</w:t>
      </w:r>
      <w:r w:rsidR="001B727C">
        <w:t xml:space="preserve"> proj</w:t>
      </w:r>
      <w:r w:rsidR="00997A92">
        <w:t>ect budget for those 16</w:t>
      </w:r>
      <w:r w:rsidR="001B727C">
        <w:t xml:space="preserve"> project</w:t>
      </w:r>
      <w:r>
        <w:t>s totaled</w:t>
      </w:r>
      <w:r w:rsidR="00997A92">
        <w:t xml:space="preserve"> $27.7 million of which $1.9 million (6.7</w:t>
      </w:r>
      <w:r w:rsidR="00A32A8B">
        <w:t xml:space="preserve"> </w:t>
      </w:r>
      <w:r w:rsidR="0082325C">
        <w:t>percent</w:t>
      </w:r>
      <w:r w:rsidR="001B727C">
        <w:t>) was provid</w:t>
      </w:r>
      <w:r w:rsidR="00077F28">
        <w:t>ed by the public (see Appendix E</w:t>
      </w:r>
      <w:r w:rsidR="001B727C">
        <w:t>).</w:t>
      </w:r>
    </w:p>
    <w:p w:rsidR="00B41FD1" w:rsidRDefault="00B41FD1"/>
    <w:p w:rsidR="00384047" w:rsidRDefault="00384047">
      <w:pPr>
        <w:rPr>
          <w:b/>
          <w:i/>
        </w:rPr>
      </w:pPr>
      <w:r w:rsidRPr="00193B77">
        <w:rPr>
          <w:b/>
          <w:i/>
        </w:rPr>
        <w:t>2009 Non-JOBZ Activity</w:t>
      </w:r>
    </w:p>
    <w:p w:rsidR="00546CD4" w:rsidRDefault="00C079A1">
      <w:r>
        <w:t>Government agencies reported in 2013 and 2014 for 2009 activity t</w:t>
      </w:r>
      <w:r w:rsidR="00233FAF">
        <w:t xml:space="preserve">here were </w:t>
      </w:r>
      <w:r w:rsidR="00193B77">
        <w:t>20</w:t>
      </w:r>
      <w:r w:rsidR="006228AB">
        <w:t xml:space="preserve"> eligible bu</w:t>
      </w:r>
      <w:r>
        <w:t>siness assistance agreements</w:t>
      </w:r>
      <w:r w:rsidR="00193B77">
        <w:t>.  Of the 20</w:t>
      </w:r>
      <w:r w:rsidR="006228AB">
        <w:t xml:space="preserve"> business assistance </w:t>
      </w:r>
      <w:r w:rsidR="00033276">
        <w:t xml:space="preserve">agreements </w:t>
      </w:r>
      <w:r w:rsidR="006228AB">
        <w:t>reached between January 1, 2009 and December 31, 2009, agencies r</w:t>
      </w:r>
      <w:r w:rsidR="00193B77">
        <w:t>eported that 16 recipients (80.0</w:t>
      </w:r>
      <w:r w:rsidR="00A32A8B">
        <w:t xml:space="preserve"> </w:t>
      </w:r>
      <w:r w:rsidR="0082325C">
        <w:t>percent</w:t>
      </w:r>
      <w:r w:rsidR="006228AB">
        <w:t>) had achieved</w:t>
      </w:r>
    </w:p>
    <w:p w:rsidR="00546CD4" w:rsidRDefault="00546CD4">
      <w:r>
        <w:br w:type="page"/>
      </w:r>
    </w:p>
    <w:p w:rsidR="00546CD4" w:rsidRPr="006659A4" w:rsidRDefault="00546CD4" w:rsidP="00546CD4">
      <w:pPr>
        <w:rPr>
          <w:b/>
          <w:i/>
          <w:u w:val="single"/>
        </w:rPr>
      </w:pPr>
      <w:r>
        <w:rPr>
          <w:b/>
          <w:i/>
          <w:u w:val="single"/>
        </w:rPr>
        <w:lastRenderedPageBreak/>
        <w:t>Page 6                                                                        2014 Minnesota Business Assistance Report</w:t>
      </w:r>
    </w:p>
    <w:p w:rsidR="00546CD4" w:rsidRDefault="00546CD4"/>
    <w:p w:rsidR="00546CD4" w:rsidRDefault="00546CD4"/>
    <w:p w:rsidR="005F417F" w:rsidRDefault="006228AB">
      <w:proofErr w:type="gramStart"/>
      <w:r>
        <w:t>all</w:t>
      </w:r>
      <w:proofErr w:type="gramEnd"/>
      <w:r>
        <w:t xml:space="preserve"> stipulated goal</w:t>
      </w:r>
      <w:r w:rsidR="006340EA">
        <w:t xml:space="preserve">s and obligations, compared to </w:t>
      </w:r>
      <w:r w:rsidR="00193B77">
        <w:t>four recipients (20.0</w:t>
      </w:r>
      <w:r w:rsidR="00A32A8B">
        <w:t xml:space="preserve"> </w:t>
      </w:r>
      <w:r w:rsidR="0082325C">
        <w:t>percent</w:t>
      </w:r>
      <w:r>
        <w:t>) that have yet to achieve all goals and obligat</w:t>
      </w:r>
      <w:r w:rsidR="00193B77">
        <w:t>ions.  The total value of the 16</w:t>
      </w:r>
      <w:r>
        <w:t xml:space="preserve"> </w:t>
      </w:r>
      <w:r w:rsidR="00193B77">
        <w:t xml:space="preserve">agreements </w:t>
      </w:r>
      <w:r w:rsidR="00BC2990">
        <w:t xml:space="preserve">that met all goals </w:t>
      </w:r>
      <w:r w:rsidR="00193B77">
        <w:t>was $25.7 million (95.1</w:t>
      </w:r>
      <w:r w:rsidR="00A32A8B">
        <w:t xml:space="preserve"> </w:t>
      </w:r>
      <w:r w:rsidR="0082325C">
        <w:t>percent</w:t>
      </w:r>
      <w:r w:rsidR="00193B77">
        <w:t>) compared to $1.3 million</w:t>
      </w:r>
      <w:r>
        <w:t xml:space="preserve"> </w:t>
      </w:r>
      <w:r w:rsidR="00193B77">
        <w:t>(4.9</w:t>
      </w:r>
      <w:r w:rsidR="00A32A8B">
        <w:t xml:space="preserve"> </w:t>
      </w:r>
      <w:r w:rsidR="0082325C">
        <w:t>percent</w:t>
      </w:r>
      <w:r w:rsidR="00BC2990">
        <w:t>) that had yet to achieve all goals and obligations</w:t>
      </w:r>
      <w:r w:rsidR="00233FAF">
        <w:t>.  Business assistance provided totaled</w:t>
      </w:r>
      <w:r w:rsidR="00193B77">
        <w:t xml:space="preserve"> $27.0</w:t>
      </w:r>
      <w:r w:rsidR="00E752AF">
        <w:t xml:space="preserve"> million</w:t>
      </w:r>
      <w:r>
        <w:t>.</w:t>
      </w:r>
    </w:p>
    <w:p w:rsidR="00A25049" w:rsidRDefault="00A25049"/>
    <w:p w:rsidR="00193B77" w:rsidRDefault="00361172">
      <w:r>
        <w:t>O</w:t>
      </w:r>
      <w:r w:rsidR="00193B77">
        <w:t>ne eligible financial assistance agreement</w:t>
      </w:r>
      <w:r w:rsidR="00C079A1">
        <w:t xml:space="preserve"> in excess of $150,000</w:t>
      </w:r>
      <w:r>
        <w:t xml:space="preserve"> was reported by a government agency in 2013 for 2009 activity</w:t>
      </w:r>
      <w:r w:rsidR="00193B77">
        <w:t>.  The agency reported that the recipient had met all its goals and obligations</w:t>
      </w:r>
      <w:r w:rsidR="004867BB">
        <w:t xml:space="preserve"> stipulated in the agreement</w:t>
      </w:r>
      <w:r w:rsidR="00C079A1">
        <w:t>.  Financial assistance provided totaled</w:t>
      </w:r>
      <w:r w:rsidR="00193B77">
        <w:t xml:space="preserve"> $1.5 million.</w:t>
      </w:r>
    </w:p>
    <w:p w:rsidR="00F02445" w:rsidRDefault="00F02445"/>
    <w:p w:rsidR="00F02445" w:rsidRDefault="00C079A1">
      <w:r>
        <w:t>Government agencies reported in 2013 and 2014 for 2009 activity t</w:t>
      </w:r>
      <w:r w:rsidR="00361172">
        <w:t>here were</w:t>
      </w:r>
      <w:r w:rsidR="006340EA">
        <w:t xml:space="preserve"> 15</w:t>
      </w:r>
      <w:r w:rsidR="00F02445">
        <w:t xml:space="preserve"> eligible financial assistanc</w:t>
      </w:r>
      <w:r>
        <w:t>e projects where the assistance was at or less than $150,000</w:t>
      </w:r>
      <w:r w:rsidR="006340EA">
        <w:t>.  Of the 15</w:t>
      </w:r>
      <w:r w:rsidR="00F02445">
        <w:t xml:space="preserve"> </w:t>
      </w:r>
      <w:r w:rsidR="00DB7BEB">
        <w:t>financial assistance projects reached by government agencies between January 1, 2009 and December 31, 20</w:t>
      </w:r>
      <w:r w:rsidR="006340EA">
        <w:t xml:space="preserve">09, agencies reported that </w:t>
      </w:r>
      <w:r w:rsidR="00193B77">
        <w:t>12 recipients (80.0</w:t>
      </w:r>
      <w:r w:rsidR="00A32A8B">
        <w:t xml:space="preserve"> </w:t>
      </w:r>
      <w:r w:rsidR="0082325C">
        <w:t>percent</w:t>
      </w:r>
      <w:r w:rsidR="00DB7BEB">
        <w:t>) had achieved a</w:t>
      </w:r>
      <w:r w:rsidR="00193B77">
        <w:t>ll stated goals compared to three</w:t>
      </w:r>
      <w:r w:rsidR="00DB7BEB">
        <w:t xml:space="preserve"> recipients </w:t>
      </w:r>
      <w:r w:rsidR="00193B77">
        <w:t>(20.0</w:t>
      </w:r>
      <w:r w:rsidR="00A32A8B">
        <w:t xml:space="preserve"> </w:t>
      </w:r>
      <w:r w:rsidR="0082325C">
        <w:t>percent</w:t>
      </w:r>
      <w:r w:rsidR="006340EA">
        <w:t xml:space="preserve">) </w:t>
      </w:r>
      <w:r w:rsidR="00DB7BEB">
        <w:t>that have yet to meet all of their obligation</w:t>
      </w:r>
      <w:r w:rsidR="00193B77">
        <w:t xml:space="preserve">s.  The total value of the 12 projects </w:t>
      </w:r>
      <w:r w:rsidR="00324E33">
        <w:t xml:space="preserve">that met all goals </w:t>
      </w:r>
      <w:r w:rsidR="00193B77">
        <w:t>was $1.2 million (80.8</w:t>
      </w:r>
      <w:r w:rsidR="00A32A8B">
        <w:t xml:space="preserve"> </w:t>
      </w:r>
      <w:r w:rsidR="0082325C">
        <w:t>percent</w:t>
      </w:r>
      <w:r w:rsidR="00193B77">
        <w:t>) compared to $0.3 million (19.2</w:t>
      </w:r>
      <w:r w:rsidR="00A32A8B">
        <w:t xml:space="preserve"> </w:t>
      </w:r>
      <w:r w:rsidR="0082325C">
        <w:t>percent</w:t>
      </w:r>
      <w:r w:rsidR="00324E33">
        <w:t>) that had yet to achieve all goals and obligations</w:t>
      </w:r>
      <w:r w:rsidR="00DB7BEB">
        <w:t>.  The total value of public finan</w:t>
      </w:r>
      <w:r w:rsidR="00E752AF">
        <w:t>ci</w:t>
      </w:r>
      <w:r w:rsidR="00C60B94">
        <w:t>al assistance provided was $1.5</w:t>
      </w:r>
      <w:r>
        <w:t xml:space="preserve"> million.  The project</w:t>
      </w:r>
      <w:r w:rsidR="00C60B94">
        <w:t xml:space="preserve"> </w:t>
      </w:r>
      <w:r>
        <w:t>budget for those 15 projects totaled</w:t>
      </w:r>
      <w:r w:rsidR="00C60B94">
        <w:t xml:space="preserve"> $17.8 million of which $1.5 million (8.3</w:t>
      </w:r>
      <w:r w:rsidR="00A32A8B">
        <w:t xml:space="preserve"> </w:t>
      </w:r>
      <w:r w:rsidR="0082325C">
        <w:t>percent</w:t>
      </w:r>
      <w:r w:rsidR="00E752AF">
        <w:t>) was provid</w:t>
      </w:r>
      <w:r w:rsidR="00193B77">
        <w:t>ed by the public (see Appendix F</w:t>
      </w:r>
      <w:r w:rsidR="00E752AF">
        <w:t>).</w:t>
      </w:r>
    </w:p>
    <w:p w:rsidR="00EA0D38" w:rsidRPr="00EA0D38" w:rsidRDefault="00EA0D38"/>
    <w:p w:rsidR="00B916FA" w:rsidRPr="00707C77" w:rsidRDefault="00B916FA">
      <w:pPr>
        <w:rPr>
          <w:b/>
          <w:i/>
        </w:rPr>
      </w:pPr>
      <w:r w:rsidRPr="005469C5">
        <w:rPr>
          <w:b/>
          <w:i/>
        </w:rPr>
        <w:t>2008 Non-JOBZ Activity</w:t>
      </w:r>
    </w:p>
    <w:p w:rsidR="00C61048" w:rsidRDefault="00C079A1">
      <w:r>
        <w:t>Government agencies reported in 2013 and 2014 for 2008 activity t</w:t>
      </w:r>
      <w:r w:rsidR="00A12DF0">
        <w:t>here were 23</w:t>
      </w:r>
      <w:r w:rsidR="00FA1CCA">
        <w:t xml:space="preserve"> eligible busine</w:t>
      </w:r>
      <w:r>
        <w:t>ss assistance agreements</w:t>
      </w:r>
      <w:r w:rsidR="00FA1CCA">
        <w:t xml:space="preserve">.  </w:t>
      </w:r>
      <w:r w:rsidR="00AA0CA6">
        <w:t xml:space="preserve">Of the </w:t>
      </w:r>
      <w:r w:rsidR="00A12DF0">
        <w:t>23</w:t>
      </w:r>
      <w:r w:rsidR="00707C77">
        <w:t xml:space="preserve"> business assistance</w:t>
      </w:r>
      <w:r w:rsidR="00045E84">
        <w:t xml:space="preserve"> </w:t>
      </w:r>
      <w:r w:rsidR="004F4DB0">
        <w:t xml:space="preserve">agreements </w:t>
      </w:r>
      <w:r w:rsidR="00045E84">
        <w:t>reached between</w:t>
      </w:r>
      <w:r>
        <w:t xml:space="preserve"> </w:t>
      </w:r>
      <w:r w:rsidR="00045E84">
        <w:t>January 1, 2008 and December 31, 2008</w:t>
      </w:r>
      <w:r w:rsidR="00707C77">
        <w:t>, agencies reported that</w:t>
      </w:r>
      <w:r w:rsidR="006F73D9">
        <w:t xml:space="preserve"> 20</w:t>
      </w:r>
      <w:r w:rsidR="00AA0CA6">
        <w:t xml:space="preserve"> reci</w:t>
      </w:r>
      <w:r w:rsidR="006F73D9">
        <w:t>pients (87.0</w:t>
      </w:r>
      <w:r w:rsidR="00A32A8B">
        <w:t xml:space="preserve"> </w:t>
      </w:r>
      <w:r w:rsidR="0082325C">
        <w:t>percent</w:t>
      </w:r>
      <w:r w:rsidR="00AA0CA6">
        <w:t>) had achieved</w:t>
      </w:r>
      <w:r w:rsidR="005F417F">
        <w:t xml:space="preserve"> </w:t>
      </w:r>
      <w:r w:rsidR="00AA0CA6">
        <w:t>all stipulated goals and obligations,</w:t>
      </w:r>
      <w:r w:rsidR="00A12DF0">
        <w:t xml:space="preserve"> compared to </w:t>
      </w:r>
      <w:r w:rsidR="008074D4">
        <w:t>three</w:t>
      </w:r>
      <w:r w:rsidR="006F73D9">
        <w:t xml:space="preserve"> recipients (13.0</w:t>
      </w:r>
      <w:r w:rsidR="00A32A8B">
        <w:t xml:space="preserve"> </w:t>
      </w:r>
      <w:r w:rsidR="0082325C">
        <w:t>percent</w:t>
      </w:r>
      <w:r w:rsidR="00AA0CA6">
        <w:t>) that have yet to achieve all goals and obligatio</w:t>
      </w:r>
      <w:r w:rsidR="006F73D9">
        <w:t xml:space="preserve">ns.  The total value of the 20 agreements </w:t>
      </w:r>
      <w:r w:rsidR="00324E33">
        <w:t xml:space="preserve">that met all goals </w:t>
      </w:r>
      <w:r w:rsidR="006F73D9">
        <w:t>was $13.3 million (95.5</w:t>
      </w:r>
      <w:r w:rsidR="00A32A8B">
        <w:t xml:space="preserve"> </w:t>
      </w:r>
      <w:r w:rsidR="0082325C">
        <w:t>percent</w:t>
      </w:r>
      <w:r w:rsidR="006F73D9">
        <w:t>) compared to $0.6 million (4.5</w:t>
      </w:r>
      <w:r w:rsidR="0082325C">
        <w:t xml:space="preserve"> percent</w:t>
      </w:r>
      <w:r w:rsidR="00324E33">
        <w:t>) that had yet to achieve all goals and obligations</w:t>
      </w:r>
      <w:r>
        <w:t>.  Business assistance provided totaled</w:t>
      </w:r>
      <w:r w:rsidR="00A12DF0">
        <w:t xml:space="preserve"> $13.9</w:t>
      </w:r>
      <w:r w:rsidR="00802D11">
        <w:t xml:space="preserve"> million</w:t>
      </w:r>
      <w:r w:rsidR="006A152F">
        <w:t>.</w:t>
      </w:r>
    </w:p>
    <w:p w:rsidR="00C61048" w:rsidRDefault="00C61048"/>
    <w:p w:rsidR="00B975F1" w:rsidRDefault="00361172">
      <w:r>
        <w:t>O</w:t>
      </w:r>
      <w:r w:rsidR="00A12DF0">
        <w:t xml:space="preserve">ne eligible financial assistance agreement in excess of $150,000 </w:t>
      </w:r>
      <w:r>
        <w:t xml:space="preserve">was </w:t>
      </w:r>
      <w:r w:rsidR="00A12DF0">
        <w:t>reporte</w:t>
      </w:r>
      <w:r w:rsidR="008074D4">
        <w:t>d by a government agency in 2010</w:t>
      </w:r>
      <w:r w:rsidR="00A12DF0">
        <w:t xml:space="preserve"> for 2008 activity.  The agen</w:t>
      </w:r>
      <w:r>
        <w:t>cy reported in 2010 that the</w:t>
      </w:r>
      <w:r w:rsidR="00A12DF0">
        <w:t xml:space="preserve"> recipient had achieved all goals and obligations stipulated in the </w:t>
      </w:r>
      <w:r>
        <w:t>agreement.  Financial assistance provided totaled</w:t>
      </w:r>
    </w:p>
    <w:p w:rsidR="00E7408C" w:rsidRDefault="00A12DF0">
      <w:proofErr w:type="gramStart"/>
      <w:r>
        <w:t>$0.7 million.</w:t>
      </w:r>
      <w:proofErr w:type="gramEnd"/>
    </w:p>
    <w:p w:rsidR="00707AC3" w:rsidRDefault="00707AC3"/>
    <w:p w:rsidR="00707AC3" w:rsidRDefault="00361172">
      <w:r>
        <w:t>Government a</w:t>
      </w:r>
      <w:r w:rsidR="004B2105">
        <w:t>gencies reported in 2013 and</w:t>
      </w:r>
      <w:r>
        <w:t xml:space="preserve"> 2014 for 2008 activity that there were</w:t>
      </w:r>
      <w:r w:rsidR="008D1060">
        <w:t xml:space="preserve"> 39</w:t>
      </w:r>
      <w:r w:rsidR="00A12DF0">
        <w:t xml:space="preserve"> eligible financial assistance projects where the assistance </w:t>
      </w:r>
      <w:r>
        <w:t>was at or less than $150,000</w:t>
      </w:r>
      <w:r w:rsidR="008D1060">
        <w:t>.  Of the 39</w:t>
      </w:r>
      <w:r w:rsidR="00A12DF0">
        <w:t xml:space="preserve"> financial assistance projects reached by government agencies between Janu</w:t>
      </w:r>
      <w:r w:rsidR="00115B34">
        <w:t>a</w:t>
      </w:r>
      <w:r w:rsidR="008D1060">
        <w:t>ry 1, 2008 and</w:t>
      </w:r>
      <w:r w:rsidR="00E7408C">
        <w:t xml:space="preserve"> </w:t>
      </w:r>
      <w:r w:rsidR="008D1060">
        <w:t>December 31,</w:t>
      </w:r>
      <w:r w:rsidR="006F73D9">
        <w:t xml:space="preserve"> 2008, agencies reported that 34 recipients (87.2</w:t>
      </w:r>
      <w:r w:rsidR="00A32A8B">
        <w:t xml:space="preserve"> </w:t>
      </w:r>
      <w:r w:rsidR="0082325C">
        <w:t>percent</w:t>
      </w:r>
      <w:r w:rsidR="00115B34">
        <w:t>) had achieved</w:t>
      </w:r>
      <w:r w:rsidR="006F73D9">
        <w:t xml:space="preserve"> all stated goals compared to five</w:t>
      </w:r>
      <w:r w:rsidR="00115B34">
        <w:t xml:space="preserve"> recipien</w:t>
      </w:r>
      <w:r w:rsidR="006F73D9">
        <w:t>ts (12.8</w:t>
      </w:r>
      <w:r w:rsidR="00A32A8B">
        <w:t xml:space="preserve"> </w:t>
      </w:r>
      <w:r w:rsidR="0082325C">
        <w:t>percent</w:t>
      </w:r>
      <w:r w:rsidR="00115B34">
        <w:t>) that have yet to meet all of their obligations.</w:t>
      </w:r>
      <w:r w:rsidR="006F73D9">
        <w:t xml:space="preserve">  The total value of the 34</w:t>
      </w:r>
      <w:r w:rsidR="005469C5">
        <w:t xml:space="preserve"> projects </w:t>
      </w:r>
      <w:r w:rsidR="00324E33">
        <w:t xml:space="preserve">that met all goals </w:t>
      </w:r>
      <w:r w:rsidR="005469C5">
        <w:t>was $2.5 million (86.1</w:t>
      </w:r>
      <w:r w:rsidR="00A32A8B">
        <w:t xml:space="preserve"> </w:t>
      </w:r>
      <w:r w:rsidR="0082325C">
        <w:t>percent</w:t>
      </w:r>
      <w:r w:rsidR="005469C5">
        <w:t>) compared to $0.4 million (13.9</w:t>
      </w:r>
      <w:r w:rsidR="00A32A8B">
        <w:t xml:space="preserve"> </w:t>
      </w:r>
      <w:r w:rsidR="0082325C">
        <w:t>percent</w:t>
      </w:r>
      <w:r w:rsidR="00324E33">
        <w:t>) that had yet to achieve all goals and obligations</w:t>
      </w:r>
      <w:r w:rsidR="006A152F">
        <w:t>.  The total value of public financ</w:t>
      </w:r>
      <w:r w:rsidR="008D1060">
        <w:t>ial assistance provided was $2.9</w:t>
      </w:r>
      <w:r w:rsidR="00033276">
        <w:t xml:space="preserve"> million.  The </w:t>
      </w:r>
      <w:r w:rsidR="006A152F">
        <w:t>proj</w:t>
      </w:r>
      <w:r w:rsidR="008D1060">
        <w:t xml:space="preserve">ect </w:t>
      </w:r>
      <w:r w:rsidR="00033276">
        <w:t>budget for those 39 projects totaled</w:t>
      </w:r>
      <w:r w:rsidR="008D1060">
        <w:t xml:space="preserve"> $33.7 million of which $2.9 million (8.4</w:t>
      </w:r>
      <w:r w:rsidR="00A32A8B">
        <w:t xml:space="preserve"> </w:t>
      </w:r>
      <w:r w:rsidR="0082325C">
        <w:t>percent</w:t>
      </w:r>
      <w:r w:rsidR="006A152F">
        <w:t>) was provid</w:t>
      </w:r>
      <w:r w:rsidR="005469C5">
        <w:t>ed by the public (see Appendix G</w:t>
      </w:r>
      <w:r w:rsidR="006A152F">
        <w:t>).</w:t>
      </w:r>
    </w:p>
    <w:p w:rsidR="00707AC3" w:rsidRPr="00AA0CA6" w:rsidRDefault="00707AC3"/>
    <w:p w:rsidR="00665E1E" w:rsidRDefault="00665E1E">
      <w:r>
        <w:br w:type="page"/>
      </w:r>
    </w:p>
    <w:p w:rsidR="00665E1E" w:rsidRPr="00BF17D4" w:rsidRDefault="00665E1E" w:rsidP="00665E1E">
      <w:pPr>
        <w:jc w:val="center"/>
        <w:rPr>
          <w:b/>
          <w:i/>
          <w:u w:val="single"/>
        </w:rPr>
      </w:pPr>
      <w:r>
        <w:rPr>
          <w:b/>
          <w:i/>
          <w:u w:val="single"/>
        </w:rPr>
        <w:lastRenderedPageBreak/>
        <w:t>Minnesota Department of Employment and Economic Development                                 Page 7</w:t>
      </w:r>
    </w:p>
    <w:p w:rsidR="00665E1E" w:rsidRDefault="00665E1E"/>
    <w:p w:rsidR="00546CD4" w:rsidRDefault="00546CD4"/>
    <w:p w:rsidR="00546CD4" w:rsidRPr="00366AAC" w:rsidRDefault="00546CD4" w:rsidP="00546CD4">
      <w:pPr>
        <w:rPr>
          <w:b/>
          <w:i/>
        </w:rPr>
      </w:pPr>
      <w:r w:rsidRPr="00297530">
        <w:rPr>
          <w:b/>
          <w:i/>
        </w:rPr>
        <w:t>2007 Non-JOBZ Activity</w:t>
      </w:r>
    </w:p>
    <w:p w:rsidR="005638F7" w:rsidRDefault="00546CD4">
      <w:r>
        <w:t xml:space="preserve">Government agencies reported in 2013 and 2014 for 2007 activity that there were 65 eligible business assistance agreements.  Of the 65 business assistance agreements reached between January 1, 2007 and December 31, 2007, agencies reported that 49 recipients (75.4 percent) had achieved all stipulated goals and obligations, compared to 16 recipients (24.6 percent) that have </w:t>
      </w:r>
      <w:r w:rsidR="00045E84">
        <w:t>yet to achieve</w:t>
      </w:r>
      <w:r w:rsidR="00981A6B">
        <w:t xml:space="preserve"> all goals and obliga</w:t>
      </w:r>
      <w:r w:rsidR="006A152F">
        <w:t xml:space="preserve">tions.  The total </w:t>
      </w:r>
      <w:r w:rsidR="00297530">
        <w:t xml:space="preserve">value of the 49 agreements </w:t>
      </w:r>
      <w:r w:rsidR="004F01E6">
        <w:t xml:space="preserve">that met all goals </w:t>
      </w:r>
      <w:r w:rsidR="00297530">
        <w:t>was $13.1 million (28.6</w:t>
      </w:r>
      <w:r w:rsidR="00A32A8B">
        <w:t xml:space="preserve"> </w:t>
      </w:r>
      <w:r w:rsidR="0082325C">
        <w:t>percent</w:t>
      </w:r>
      <w:r w:rsidR="00297530">
        <w:t>) compared to $32.8 million (71.4</w:t>
      </w:r>
      <w:r w:rsidR="00A32A8B">
        <w:t xml:space="preserve"> </w:t>
      </w:r>
      <w:r w:rsidR="0082325C">
        <w:t>percent</w:t>
      </w:r>
      <w:r w:rsidR="004F01E6">
        <w:t>) that had yet to achieve all goals and obligations</w:t>
      </w:r>
      <w:r w:rsidR="004B2105">
        <w:t>.  B</w:t>
      </w:r>
      <w:r w:rsidR="00802D11">
        <w:t>usi</w:t>
      </w:r>
      <w:r w:rsidR="00184DFE">
        <w:t>ne</w:t>
      </w:r>
      <w:r w:rsidR="004B2105">
        <w:t xml:space="preserve">ss assistance provided totaled </w:t>
      </w:r>
      <w:r w:rsidR="00297530">
        <w:t>$45.9</w:t>
      </w:r>
      <w:r w:rsidR="00802D11">
        <w:t xml:space="preserve"> million </w:t>
      </w:r>
      <w:r w:rsidR="00297530">
        <w:t>(see Appendix H</w:t>
      </w:r>
      <w:r w:rsidR="00981A6B">
        <w:t>).</w:t>
      </w:r>
    </w:p>
    <w:p w:rsidR="00FA1CCA" w:rsidRPr="00AA0CA6" w:rsidRDefault="00FA1CCA"/>
    <w:p w:rsidR="00366AAC" w:rsidRPr="00366AAC" w:rsidRDefault="00366AAC">
      <w:pPr>
        <w:rPr>
          <w:b/>
          <w:i/>
        </w:rPr>
      </w:pPr>
      <w:r w:rsidRPr="00950074">
        <w:rPr>
          <w:b/>
          <w:i/>
        </w:rPr>
        <w:t>2006 Non-JOBZ Activity</w:t>
      </w:r>
    </w:p>
    <w:p w:rsidR="00366AAC" w:rsidRDefault="004B2105">
      <w:r>
        <w:t>Government agencies reported in 2013 and 2014 for 2006 activity that t</w:t>
      </w:r>
      <w:r w:rsidR="00805E32">
        <w:t>here were 60</w:t>
      </w:r>
      <w:r w:rsidR="00366AAC">
        <w:t xml:space="preserve"> eligible busine</w:t>
      </w:r>
      <w:r>
        <w:t>ss assistance agreements</w:t>
      </w:r>
      <w:r w:rsidR="00366AAC">
        <w:t>.</w:t>
      </w:r>
      <w:r w:rsidR="00805E32">
        <w:t xml:space="preserve">  Of the</w:t>
      </w:r>
      <w:r w:rsidR="00DA777C">
        <w:t xml:space="preserve"> </w:t>
      </w:r>
      <w:r w:rsidR="00805E32">
        <w:t xml:space="preserve">60 </w:t>
      </w:r>
      <w:r w:rsidR="00DA777C">
        <w:t>business assistance agreements reached between January 1, 2006 and December 31, 2006</w:t>
      </w:r>
      <w:r w:rsidR="00C44065">
        <w:t>,</w:t>
      </w:r>
      <w:r w:rsidR="00BA7126">
        <w:t xml:space="preserve"> agencies reported t</w:t>
      </w:r>
      <w:r w:rsidR="00805E32">
        <w:t>hat 53 recipients (88.3</w:t>
      </w:r>
      <w:r w:rsidR="00A32A8B">
        <w:t xml:space="preserve"> </w:t>
      </w:r>
      <w:r w:rsidR="0082325C">
        <w:t>percent</w:t>
      </w:r>
      <w:r w:rsidR="00DA777C">
        <w:t>) had achieved all stipulated goal</w:t>
      </w:r>
      <w:r>
        <w:t>s and obligations compared to seven</w:t>
      </w:r>
      <w:r w:rsidR="00805E32">
        <w:t xml:space="preserve"> recipients (11.7</w:t>
      </w:r>
      <w:r w:rsidR="00A32A8B">
        <w:t xml:space="preserve"> </w:t>
      </w:r>
      <w:r w:rsidR="0082325C">
        <w:t>percent</w:t>
      </w:r>
      <w:r w:rsidR="00DA777C">
        <w:t>) that have yet to achieve all goals and obligatio</w:t>
      </w:r>
      <w:r w:rsidR="00805E32">
        <w:t>ns.  The total value of those 53</w:t>
      </w:r>
      <w:r w:rsidR="00184DFE">
        <w:t xml:space="preserve"> agreements </w:t>
      </w:r>
      <w:r w:rsidR="004F01E6">
        <w:t xml:space="preserve">that met all goals </w:t>
      </w:r>
      <w:r w:rsidR="00805E32">
        <w:t>was $24.1 million (83.4</w:t>
      </w:r>
      <w:r w:rsidR="00A32A8B">
        <w:t xml:space="preserve"> </w:t>
      </w:r>
      <w:r w:rsidR="0082325C">
        <w:t>percent</w:t>
      </w:r>
      <w:r w:rsidR="00805E32">
        <w:t>) compared to $4.8 million (16.6</w:t>
      </w:r>
      <w:r w:rsidR="00033276">
        <w:t xml:space="preserve"> </w:t>
      </w:r>
      <w:r w:rsidR="0082325C">
        <w:t>percent</w:t>
      </w:r>
      <w:r w:rsidR="004F01E6">
        <w:t>) that had yet to achieve all goals and obligations</w:t>
      </w:r>
      <w:r>
        <w:t>.  B</w:t>
      </w:r>
      <w:r w:rsidR="00DA777C">
        <w:t>us</w:t>
      </w:r>
      <w:r w:rsidR="00BA7126">
        <w:t>ine</w:t>
      </w:r>
      <w:r>
        <w:t>ss assistance provided totaled</w:t>
      </w:r>
      <w:r w:rsidR="00805E32">
        <w:t xml:space="preserve"> $28.9</w:t>
      </w:r>
      <w:r w:rsidR="00DA777C">
        <w:t xml:space="preserve"> million.</w:t>
      </w:r>
    </w:p>
    <w:p w:rsidR="00950074" w:rsidRDefault="00950074"/>
    <w:p w:rsidR="00D43A54" w:rsidRDefault="004B2105">
      <w:r>
        <w:t>S</w:t>
      </w:r>
      <w:r w:rsidR="001666AE">
        <w:t xml:space="preserve">even eligible financial assistance agreements </w:t>
      </w:r>
      <w:r>
        <w:t xml:space="preserve">were </w:t>
      </w:r>
      <w:r w:rsidR="001666AE">
        <w:t>reported by gove</w:t>
      </w:r>
      <w:r w:rsidR="00184DFE">
        <w:t xml:space="preserve">rnment agencies in </w:t>
      </w:r>
      <w:r w:rsidR="00950074">
        <w:t>2013</w:t>
      </w:r>
      <w:r w:rsidR="001666AE">
        <w:t xml:space="preserve"> for 2006 activity.  </w:t>
      </w:r>
      <w:r w:rsidR="00950074">
        <w:t xml:space="preserve">Agencies reported that all of the recipients had met all their goals and obligations.  </w:t>
      </w:r>
      <w:r>
        <w:t>Financial assistance provided totaled</w:t>
      </w:r>
      <w:r w:rsidR="00950074">
        <w:t xml:space="preserve"> $15.7 million (see Appendix I</w:t>
      </w:r>
      <w:r w:rsidR="00757BDE">
        <w:t>).</w:t>
      </w:r>
    </w:p>
    <w:p w:rsidR="00802D11" w:rsidRDefault="00802D11">
      <w:pPr>
        <w:rPr>
          <w:b/>
          <w:i/>
          <w:highlight w:val="yellow"/>
        </w:rPr>
      </w:pPr>
    </w:p>
    <w:p w:rsidR="00757BDE" w:rsidRPr="00757BDE" w:rsidRDefault="00757BDE">
      <w:pPr>
        <w:rPr>
          <w:b/>
          <w:i/>
        </w:rPr>
      </w:pPr>
      <w:r w:rsidRPr="00B0678F">
        <w:rPr>
          <w:b/>
          <w:i/>
        </w:rPr>
        <w:t>2005 Non-JOBZ Activity</w:t>
      </w:r>
    </w:p>
    <w:p w:rsidR="00CD74F3" w:rsidRDefault="004B2105">
      <w:r>
        <w:t>Government agencies reported in 2013 and 2014 for 2005 activity that t</w:t>
      </w:r>
      <w:r w:rsidR="00184DFE">
        <w:t>here were 90</w:t>
      </w:r>
      <w:r w:rsidR="00EB11CF">
        <w:t xml:space="preserve"> eligible busines</w:t>
      </w:r>
      <w:r>
        <w:t>s assistance agreements</w:t>
      </w:r>
      <w:r w:rsidR="00184DFE">
        <w:t>.  Of the 90</w:t>
      </w:r>
      <w:r w:rsidR="00EB11CF">
        <w:t xml:space="preserve"> business assistance agreements reached between January</w:t>
      </w:r>
      <w:r w:rsidR="00CD74F3">
        <w:t xml:space="preserve"> </w:t>
      </w:r>
      <w:r w:rsidR="00EB11CF">
        <w:t>1, 2005 and December 31, 2005</w:t>
      </w:r>
      <w:r w:rsidR="00C44065">
        <w:t>,</w:t>
      </w:r>
      <w:r w:rsidR="00EB11CF">
        <w:t xml:space="preserve"> agencies</w:t>
      </w:r>
      <w:r w:rsidR="00184DFE">
        <w:t xml:space="preserve"> reported that </w:t>
      </w:r>
      <w:r w:rsidR="001871E5">
        <w:t>76 recipients (84.4</w:t>
      </w:r>
      <w:r w:rsidR="00A32A8B">
        <w:t xml:space="preserve"> </w:t>
      </w:r>
      <w:r w:rsidR="0082325C">
        <w:t>percent</w:t>
      </w:r>
      <w:r w:rsidR="00EB11CF">
        <w:t>) had</w:t>
      </w:r>
      <w:r w:rsidR="00665E1E">
        <w:t xml:space="preserve"> </w:t>
      </w:r>
      <w:r w:rsidR="00EB11CF">
        <w:t>achieved all stipulated goal</w:t>
      </w:r>
      <w:r w:rsidR="00184DFE">
        <w:t xml:space="preserve">s and obligations compared to </w:t>
      </w:r>
      <w:r w:rsidR="001871E5">
        <w:t>14</w:t>
      </w:r>
      <w:r w:rsidR="00184DFE">
        <w:t xml:space="preserve"> recipients (</w:t>
      </w:r>
      <w:r w:rsidR="001871E5">
        <w:t>15.6</w:t>
      </w:r>
      <w:r w:rsidR="0082325C">
        <w:t xml:space="preserve"> percent</w:t>
      </w:r>
      <w:r w:rsidR="00EB11CF">
        <w:t xml:space="preserve">) that have yet to </w:t>
      </w:r>
      <w:r w:rsidR="00C44065">
        <w:t>achieve</w:t>
      </w:r>
      <w:r w:rsidR="00EB11CF">
        <w:t xml:space="preserve"> all goals and obligations.  The total valu</w:t>
      </w:r>
      <w:r w:rsidR="00184DFE">
        <w:t>e of those 7</w:t>
      </w:r>
      <w:r w:rsidR="001871E5">
        <w:t>6</w:t>
      </w:r>
      <w:r w:rsidR="00DA4252">
        <w:t xml:space="preserve"> agreements </w:t>
      </w:r>
      <w:r w:rsidR="004F01E6">
        <w:t xml:space="preserve">that met all goals </w:t>
      </w:r>
      <w:r w:rsidR="00DA4252">
        <w:t>was $5</w:t>
      </w:r>
      <w:r w:rsidR="001871E5">
        <w:t>4.7 million (80.6</w:t>
      </w:r>
      <w:r w:rsidR="00A32A8B">
        <w:t xml:space="preserve"> </w:t>
      </w:r>
      <w:r w:rsidR="0082325C">
        <w:t>percent</w:t>
      </w:r>
      <w:r w:rsidR="00EB11CF">
        <w:t xml:space="preserve">) </w:t>
      </w:r>
      <w:r w:rsidR="00B0678F">
        <w:t>compared to $13</w:t>
      </w:r>
      <w:r w:rsidR="00DA4252">
        <w:t>.</w:t>
      </w:r>
      <w:r w:rsidR="00516EC4">
        <w:t>1</w:t>
      </w:r>
      <w:r w:rsidR="00EB11CF">
        <w:t xml:space="preserve"> million </w:t>
      </w:r>
      <w:r w:rsidR="00B0678F">
        <w:t>(19.4</w:t>
      </w:r>
      <w:r w:rsidR="00A32A8B">
        <w:t xml:space="preserve"> </w:t>
      </w:r>
      <w:r w:rsidR="0082325C">
        <w:t>percent</w:t>
      </w:r>
      <w:r w:rsidR="00CF5A9B">
        <w:t xml:space="preserve">) </w:t>
      </w:r>
      <w:r w:rsidR="004F01E6">
        <w:t>that had yet to achieve all goals and obligations</w:t>
      </w:r>
      <w:r>
        <w:t>.  B</w:t>
      </w:r>
      <w:r w:rsidR="00EB11CF">
        <w:t>usine</w:t>
      </w:r>
      <w:r>
        <w:t>ss assistance provided totaled</w:t>
      </w:r>
      <w:r w:rsidR="00B0678F">
        <w:t xml:space="preserve"> $67.8</w:t>
      </w:r>
      <w:r w:rsidR="00EB11CF">
        <w:t xml:space="preserve"> million.</w:t>
      </w:r>
    </w:p>
    <w:p w:rsidR="00CD74F3" w:rsidRDefault="00CD74F3"/>
    <w:p w:rsidR="002F2E99" w:rsidRDefault="004B2105">
      <w:r>
        <w:t>T</w:t>
      </w:r>
      <w:r w:rsidR="00F54D6E">
        <w:t xml:space="preserve">wo eligible financial assistance agreements </w:t>
      </w:r>
      <w:r>
        <w:t xml:space="preserve">were </w:t>
      </w:r>
      <w:r w:rsidR="00F54D6E">
        <w:t>reported by</w:t>
      </w:r>
      <w:r>
        <w:t xml:space="preserve"> government</w:t>
      </w:r>
      <w:r w:rsidR="00F54D6E">
        <w:t xml:space="preserve"> ag</w:t>
      </w:r>
      <w:r w:rsidR="001832BE">
        <w:t>encies in 2013 and 2014</w:t>
      </w:r>
      <w:r w:rsidR="00665874">
        <w:t xml:space="preserve"> for 2005</w:t>
      </w:r>
      <w:r w:rsidR="00F54D6E">
        <w:t xml:space="preserve"> activity.  Of the two eligible financial assistance</w:t>
      </w:r>
      <w:r w:rsidR="00E7408C">
        <w:t xml:space="preserve"> agreements</w:t>
      </w:r>
      <w:r w:rsidR="00F54D6E">
        <w:t>, one agency reported that the recipient had achieved all goals and obligations stipulated in the agreement and the other agency reported that the recipient had not yet achieved all goals.  The total value of the agreement was $500,000 (12.5</w:t>
      </w:r>
      <w:r w:rsidR="00A32A8B">
        <w:t xml:space="preserve"> </w:t>
      </w:r>
      <w:r w:rsidR="0082325C">
        <w:t>percent</w:t>
      </w:r>
      <w:r w:rsidR="00F54D6E">
        <w:t>) compared to $3.5 million (87.5</w:t>
      </w:r>
      <w:r w:rsidR="00A32A8B">
        <w:t xml:space="preserve"> </w:t>
      </w:r>
      <w:r w:rsidR="0082325C">
        <w:t>percent</w:t>
      </w:r>
      <w:r w:rsidR="00F54D6E">
        <w:t>) ou</w:t>
      </w:r>
      <w:r>
        <w:t>tstanding.  Financial assistance provided totaled</w:t>
      </w:r>
      <w:r w:rsidR="00B0678F">
        <w:t xml:space="preserve"> $4.0 million (see Appendix J</w:t>
      </w:r>
      <w:r w:rsidR="00F54D6E">
        <w:t>).</w:t>
      </w:r>
    </w:p>
    <w:p w:rsidR="008767B1" w:rsidRDefault="008767B1">
      <w:pPr>
        <w:rPr>
          <w:b/>
          <w:i/>
        </w:rPr>
      </w:pPr>
    </w:p>
    <w:p w:rsidR="005649F1" w:rsidRPr="004056B7" w:rsidRDefault="005649F1">
      <w:r w:rsidRPr="007A0F10">
        <w:rPr>
          <w:b/>
          <w:i/>
        </w:rPr>
        <w:t>2004 Non-JOBZ Activity</w:t>
      </w:r>
    </w:p>
    <w:p w:rsidR="005649F1" w:rsidRDefault="001D2667">
      <w:r>
        <w:t>Government agencies reported in 2013 and 2014 for 2004 activity that t</w:t>
      </w:r>
      <w:r w:rsidR="008767B1">
        <w:t>here were 91</w:t>
      </w:r>
      <w:r w:rsidR="00C44065">
        <w:t xml:space="preserve"> eligible business assistance agreements</w:t>
      </w:r>
      <w:r w:rsidR="008767B1">
        <w:t>.  Of the 91</w:t>
      </w:r>
      <w:r w:rsidR="00C44065">
        <w:t xml:space="preserve"> business assistance agreements reached between</w:t>
      </w:r>
      <w:r w:rsidR="008F36D8">
        <w:t xml:space="preserve"> </w:t>
      </w:r>
      <w:r w:rsidR="00C44065">
        <w:t>January</w:t>
      </w:r>
      <w:r w:rsidR="007B6244">
        <w:t xml:space="preserve"> </w:t>
      </w:r>
      <w:r w:rsidR="00C44065">
        <w:t>1, 2004 and December 31,</w:t>
      </w:r>
      <w:r w:rsidR="007A0F10">
        <w:t xml:space="preserve"> 2004, agencies reported that 82</w:t>
      </w:r>
      <w:r w:rsidR="00DA4252">
        <w:t xml:space="preserve"> recipients (</w:t>
      </w:r>
      <w:r w:rsidR="007A0F10">
        <w:t>90.1</w:t>
      </w:r>
      <w:r w:rsidR="0082325C">
        <w:t xml:space="preserve"> percent</w:t>
      </w:r>
      <w:r w:rsidR="00C44065">
        <w:t>) had achieved all stipulated goal</w:t>
      </w:r>
      <w:r w:rsidR="007A0F10">
        <w:t>s and obligations compared to nine recipients (9.9</w:t>
      </w:r>
      <w:r w:rsidR="00A32A8B">
        <w:t xml:space="preserve"> </w:t>
      </w:r>
      <w:r w:rsidR="0082325C">
        <w:t>percent</w:t>
      </w:r>
      <w:r w:rsidR="00C44065">
        <w:t xml:space="preserve">) that have yet to achieve all goals and obligations. </w:t>
      </w:r>
      <w:r w:rsidR="00DA4252">
        <w:t xml:space="preserve"> The total value </w:t>
      </w:r>
      <w:r w:rsidR="007A0F10">
        <w:t xml:space="preserve">of those 82 agreements </w:t>
      </w:r>
      <w:r w:rsidR="004F01E6">
        <w:t xml:space="preserve">that met all goals </w:t>
      </w:r>
      <w:r w:rsidR="007A0F10">
        <w:t>was $19.1</w:t>
      </w:r>
      <w:r w:rsidR="00DA4252">
        <w:t xml:space="preserve"> mi</w:t>
      </w:r>
      <w:r w:rsidR="007A0F10">
        <w:t>llion (55.1</w:t>
      </w:r>
      <w:r w:rsidR="0082325C">
        <w:t xml:space="preserve"> percent</w:t>
      </w:r>
      <w:r w:rsidR="007A0F10">
        <w:t>) compared to $15.6 million (44.9</w:t>
      </w:r>
      <w:r w:rsidR="00A32A8B">
        <w:t xml:space="preserve"> </w:t>
      </w:r>
      <w:r w:rsidR="0082325C">
        <w:t>percent</w:t>
      </w:r>
      <w:r w:rsidR="004F01E6">
        <w:t>) that had yet to achieve all goals and obligations</w:t>
      </w:r>
      <w:r>
        <w:t>.  B</w:t>
      </w:r>
      <w:r w:rsidR="004238A0">
        <w:t>usine</w:t>
      </w:r>
      <w:r>
        <w:t>ss assistance provided totaled</w:t>
      </w:r>
      <w:r w:rsidR="007A0F10">
        <w:t xml:space="preserve"> $34.7</w:t>
      </w:r>
      <w:r w:rsidR="004238A0">
        <w:t xml:space="preserve"> million.</w:t>
      </w:r>
    </w:p>
    <w:p w:rsidR="00665E1E" w:rsidRDefault="00665E1E">
      <w:r>
        <w:br w:type="page"/>
      </w:r>
    </w:p>
    <w:p w:rsidR="00921291" w:rsidRPr="006659A4" w:rsidRDefault="00921291" w:rsidP="00921291">
      <w:pPr>
        <w:rPr>
          <w:b/>
          <w:i/>
          <w:u w:val="single"/>
        </w:rPr>
      </w:pPr>
      <w:r>
        <w:rPr>
          <w:b/>
          <w:i/>
          <w:u w:val="single"/>
        </w:rPr>
        <w:lastRenderedPageBreak/>
        <w:t>Page 8                                                                        2014 Minnesota Business Assistance Report</w:t>
      </w:r>
    </w:p>
    <w:p w:rsidR="00546CD4" w:rsidRDefault="00546CD4" w:rsidP="00546CD4"/>
    <w:p w:rsidR="00546CD4" w:rsidRDefault="00546CD4" w:rsidP="00546CD4"/>
    <w:p w:rsidR="00546CD4" w:rsidRDefault="00546CD4" w:rsidP="00546CD4">
      <w:r>
        <w:t>Four eligible financial assistance agreements were reported by government agencies in 2005 and 2006 for 2004 activity.  The agencies reported that all four recipients had achieved all goals and obligations stipulated in the agreements (see Appendix K).</w:t>
      </w:r>
    </w:p>
    <w:p w:rsidR="005638F7" w:rsidRDefault="005638F7">
      <w:pPr>
        <w:rPr>
          <w:b/>
          <w:i/>
        </w:rPr>
      </w:pPr>
    </w:p>
    <w:p w:rsidR="00502214" w:rsidRPr="00B17B46" w:rsidRDefault="00B17B46">
      <w:pPr>
        <w:rPr>
          <w:b/>
          <w:i/>
        </w:rPr>
      </w:pPr>
      <w:r w:rsidRPr="00F579DD">
        <w:rPr>
          <w:b/>
          <w:i/>
        </w:rPr>
        <w:t>2003 Non-JOBZ Activity</w:t>
      </w:r>
    </w:p>
    <w:p w:rsidR="00B17B46" w:rsidRDefault="00EF4E88">
      <w:r>
        <w:t>Government agencies reported in 2013 and 2014 for 2003 activity that t</w:t>
      </w:r>
      <w:r w:rsidR="00F579DD">
        <w:t>here were 100</w:t>
      </w:r>
      <w:r w:rsidR="00CF5A9B">
        <w:t xml:space="preserve"> eligible business assist</w:t>
      </w:r>
      <w:r>
        <w:t>ance agreements</w:t>
      </w:r>
      <w:r w:rsidR="00F579DD">
        <w:t>.  Of the 100</w:t>
      </w:r>
      <w:r w:rsidR="00CF5A9B">
        <w:t xml:space="preserve"> business assistance agreements between January 1, 2003 and December 31,</w:t>
      </w:r>
      <w:r w:rsidR="00F579DD">
        <w:t xml:space="preserve"> 2003, agencies reported that 90 recipients (90.0</w:t>
      </w:r>
      <w:r w:rsidR="00A32A8B">
        <w:t xml:space="preserve"> </w:t>
      </w:r>
      <w:r w:rsidR="0082325C">
        <w:t>percent</w:t>
      </w:r>
      <w:r w:rsidR="00CF5A9B">
        <w:t>) had achieved all stipulated goal</w:t>
      </w:r>
      <w:r w:rsidR="00F579DD">
        <w:t>s and obligations compared to 10 recipients (10.0</w:t>
      </w:r>
      <w:r w:rsidR="00A32A8B">
        <w:t xml:space="preserve"> </w:t>
      </w:r>
      <w:r w:rsidR="0082325C">
        <w:t>percent</w:t>
      </w:r>
      <w:r w:rsidR="00CF5A9B">
        <w:t>) that have yet to achieve all goals and obligatio</w:t>
      </w:r>
      <w:r w:rsidR="00076CC9">
        <w:t>ns.  The total value of th</w:t>
      </w:r>
      <w:r w:rsidR="00F579DD">
        <w:t xml:space="preserve">ose 90 agreements </w:t>
      </w:r>
      <w:r w:rsidR="006F01EC">
        <w:t xml:space="preserve">that met all goals </w:t>
      </w:r>
      <w:r w:rsidR="00F579DD">
        <w:t>was $34.6</w:t>
      </w:r>
      <w:r w:rsidR="00CF5A9B">
        <w:t xml:space="preserve"> m</w:t>
      </w:r>
      <w:r w:rsidR="00F579DD">
        <w:t>illion (91.1</w:t>
      </w:r>
      <w:r w:rsidR="00A32A8B">
        <w:t xml:space="preserve"> </w:t>
      </w:r>
      <w:r w:rsidR="0082325C">
        <w:t>percent</w:t>
      </w:r>
      <w:r w:rsidR="00F579DD">
        <w:t>) compared to $3.4 million (8.9</w:t>
      </w:r>
      <w:r w:rsidR="00A32A8B">
        <w:t xml:space="preserve"> </w:t>
      </w:r>
      <w:r w:rsidR="0082325C">
        <w:t>percent</w:t>
      </w:r>
      <w:r w:rsidR="006F01EC">
        <w:t>) that had yet to achieve all goals and obligations</w:t>
      </w:r>
      <w:r w:rsidR="00CF5A9B">
        <w:t>.</w:t>
      </w:r>
      <w:r>
        <w:t xml:space="preserve">  B</w:t>
      </w:r>
      <w:r w:rsidR="00DE0976">
        <w:t>usine</w:t>
      </w:r>
      <w:r>
        <w:t>ss assistance provided totaled</w:t>
      </w:r>
      <w:r w:rsidR="00F579DD">
        <w:t xml:space="preserve"> $38.0</w:t>
      </w:r>
      <w:r w:rsidR="00DE0976">
        <w:t xml:space="preserve"> million.</w:t>
      </w:r>
    </w:p>
    <w:p w:rsidR="001678D2" w:rsidRDefault="00D43A54">
      <w:r>
        <w:t xml:space="preserve"> </w:t>
      </w:r>
    </w:p>
    <w:p w:rsidR="001678D2" w:rsidRDefault="00EF4E88">
      <w:r>
        <w:t>O</w:t>
      </w:r>
      <w:r w:rsidR="001678D2">
        <w:t xml:space="preserve">ne eligible financial assistance agreement </w:t>
      </w:r>
      <w:r>
        <w:t xml:space="preserve">was </w:t>
      </w:r>
      <w:r w:rsidR="001678D2">
        <w:t>reported by a government agency in 2004 for 2003 activity.  T</w:t>
      </w:r>
      <w:r>
        <w:t xml:space="preserve">he agency reported that the </w:t>
      </w:r>
      <w:r w:rsidR="001678D2">
        <w:t>recipient had achieved all goals and obligations stipulated i</w:t>
      </w:r>
      <w:r w:rsidR="00F579DD">
        <w:t>n the agreement (see Appendix L</w:t>
      </w:r>
      <w:r w:rsidR="001678D2">
        <w:t>).</w:t>
      </w:r>
    </w:p>
    <w:p w:rsidR="008157DD" w:rsidRDefault="008157DD"/>
    <w:p w:rsidR="008157DD" w:rsidRPr="00351C54" w:rsidRDefault="00351C54">
      <w:pPr>
        <w:rPr>
          <w:b/>
          <w:i/>
        </w:rPr>
      </w:pPr>
      <w:r w:rsidRPr="001832BE">
        <w:rPr>
          <w:b/>
          <w:i/>
        </w:rPr>
        <w:t>2002 Non-JOBZ Activity</w:t>
      </w:r>
    </w:p>
    <w:p w:rsidR="00190F32" w:rsidRDefault="00484278">
      <w:r>
        <w:t>Government agencies reported in 2013 and 2014 for 2002 activity that t</w:t>
      </w:r>
      <w:r w:rsidR="001832BE">
        <w:t>here were 137</w:t>
      </w:r>
      <w:r w:rsidR="00351C54">
        <w:t xml:space="preserve"> eligible business assist</w:t>
      </w:r>
      <w:r>
        <w:t>ance agreements</w:t>
      </w:r>
      <w:r w:rsidR="001832BE">
        <w:t>.  Of the 137</w:t>
      </w:r>
      <w:r w:rsidR="00351C54">
        <w:t xml:space="preserve"> business assistance agreements between</w:t>
      </w:r>
      <w:r w:rsidR="008F36D8">
        <w:t xml:space="preserve"> </w:t>
      </w:r>
      <w:r w:rsidR="00351C54">
        <w:t>January</w:t>
      </w:r>
      <w:r w:rsidR="007B6244">
        <w:t xml:space="preserve"> </w:t>
      </w:r>
      <w:r w:rsidR="00351C54">
        <w:t>1, 2002 and December 31,</w:t>
      </w:r>
      <w:r w:rsidR="00E348F1">
        <w:t xml:space="preserve"> </w:t>
      </w:r>
      <w:r w:rsidR="001832BE">
        <w:t>2002, agencies reported that 115 recipients (83.9</w:t>
      </w:r>
      <w:r w:rsidR="00A32A8B">
        <w:t xml:space="preserve"> </w:t>
      </w:r>
      <w:r w:rsidR="0082325C">
        <w:t>percent</w:t>
      </w:r>
      <w:r w:rsidR="00351C54">
        <w:t>) had achieved all stipulated goal</w:t>
      </w:r>
      <w:r w:rsidR="001832BE">
        <w:t>s and obligations compared to 22</w:t>
      </w:r>
      <w:r w:rsidR="00351C54">
        <w:t xml:space="preserve"> recipients (</w:t>
      </w:r>
      <w:r w:rsidR="001832BE">
        <w:t>16.1</w:t>
      </w:r>
      <w:r w:rsidR="00A32A8B">
        <w:t xml:space="preserve"> </w:t>
      </w:r>
      <w:r w:rsidR="0082325C">
        <w:t>percent</w:t>
      </w:r>
      <w:r w:rsidR="0082236A">
        <w:t>) that have yet to achieve all goals and obligatio</w:t>
      </w:r>
      <w:r w:rsidR="00E348F1">
        <w:t>ns.  The total value o</w:t>
      </w:r>
      <w:r w:rsidR="001832BE">
        <w:t xml:space="preserve">f those 115 agreements </w:t>
      </w:r>
      <w:r w:rsidR="006F01EC">
        <w:t xml:space="preserve">that met all goals </w:t>
      </w:r>
      <w:r w:rsidR="001832BE">
        <w:t>was $31.2 million (86.1</w:t>
      </w:r>
      <w:r w:rsidR="00A32A8B">
        <w:t xml:space="preserve"> </w:t>
      </w:r>
      <w:r w:rsidR="0082325C">
        <w:t>percent</w:t>
      </w:r>
      <w:r w:rsidR="001832BE">
        <w:t>) compared to $5.0 million (13.9</w:t>
      </w:r>
      <w:r w:rsidR="00A32A8B">
        <w:t xml:space="preserve"> </w:t>
      </w:r>
      <w:r w:rsidR="0082325C">
        <w:t>percent</w:t>
      </w:r>
      <w:r w:rsidR="006F01EC">
        <w:t>) that had yet to achieve all goals and obligations</w:t>
      </w:r>
      <w:r w:rsidR="0082236A">
        <w:t>.</w:t>
      </w:r>
      <w:r w:rsidR="005247A1">
        <w:t xml:space="preserve">  B</w:t>
      </w:r>
      <w:r w:rsidR="00E348F1">
        <w:t>usine</w:t>
      </w:r>
      <w:r w:rsidR="005247A1">
        <w:t>ss assistance provided totaled</w:t>
      </w:r>
      <w:r w:rsidR="001832BE">
        <w:t xml:space="preserve"> $36.2</w:t>
      </w:r>
      <w:r w:rsidR="00E348F1">
        <w:t xml:space="preserve"> million.</w:t>
      </w:r>
    </w:p>
    <w:p w:rsidR="00351C54" w:rsidRDefault="00351C54"/>
    <w:p w:rsidR="007B6244" w:rsidRDefault="005247A1">
      <w:r>
        <w:t>F</w:t>
      </w:r>
      <w:r w:rsidR="008E67F6">
        <w:t xml:space="preserve">our eligible financial assistance agreements </w:t>
      </w:r>
      <w:r>
        <w:t xml:space="preserve">were </w:t>
      </w:r>
      <w:r w:rsidR="008E67F6">
        <w:t>reporte</w:t>
      </w:r>
      <w:r w:rsidR="00635DFA">
        <w:t>d by government agencies in 2002 through 2008</w:t>
      </w:r>
      <w:r w:rsidR="008E67F6">
        <w:t xml:space="preserve"> for 2002 activit</w:t>
      </w:r>
      <w:r w:rsidR="00E348F1">
        <w:t>y.  Agencies reported that the</w:t>
      </w:r>
      <w:r w:rsidR="008E67F6">
        <w:t xml:space="preserve"> </w:t>
      </w:r>
      <w:r w:rsidR="00E348F1">
        <w:t xml:space="preserve">four </w:t>
      </w:r>
      <w:r w:rsidR="008E67F6">
        <w:t xml:space="preserve">recipients </w:t>
      </w:r>
      <w:r w:rsidR="00E348F1">
        <w:t xml:space="preserve">had achieved all goals and obligations stipulated </w:t>
      </w:r>
      <w:r w:rsidR="001832BE">
        <w:t>in the agreement (see Appendix M</w:t>
      </w:r>
      <w:r w:rsidR="003112F2">
        <w:t>).</w:t>
      </w:r>
    </w:p>
    <w:p w:rsidR="0082236A" w:rsidRDefault="0082236A"/>
    <w:p w:rsidR="00807425" w:rsidRPr="00807425" w:rsidRDefault="00807425">
      <w:pPr>
        <w:rPr>
          <w:b/>
          <w:i/>
        </w:rPr>
      </w:pPr>
      <w:r w:rsidRPr="004867BB">
        <w:rPr>
          <w:b/>
          <w:i/>
        </w:rPr>
        <w:t>2001 Non-JOBZ Activity</w:t>
      </w:r>
    </w:p>
    <w:p w:rsidR="00FF7E4E" w:rsidRPr="007B530A" w:rsidRDefault="00364BF5" w:rsidP="00FF7E4E">
      <w:r>
        <w:t>Government agencies reported in 2013 and 2014 for 2001 activity that t</w:t>
      </w:r>
      <w:r w:rsidR="00A7334F">
        <w:t>here were 170</w:t>
      </w:r>
      <w:r w:rsidR="00183FE5">
        <w:t xml:space="preserve"> eligible bu</w:t>
      </w:r>
      <w:r>
        <w:t>siness assistance agreements</w:t>
      </w:r>
      <w:r w:rsidR="00A7334F">
        <w:t>.  Of the 170</w:t>
      </w:r>
      <w:r w:rsidR="00183FE5">
        <w:t xml:space="preserve"> business assistance agreements reached between January 1, 2001 and December 31, </w:t>
      </w:r>
      <w:r w:rsidR="00FB3D5C">
        <w:t>2001, agencies reported</w:t>
      </w:r>
      <w:r w:rsidR="001832BE">
        <w:t xml:space="preserve"> that 144</w:t>
      </w:r>
      <w:r w:rsidR="0074523A">
        <w:t xml:space="preserve"> recipients </w:t>
      </w:r>
      <w:r w:rsidR="00A7334F">
        <w:t>(84.7</w:t>
      </w:r>
      <w:r w:rsidR="00A32A8B">
        <w:t xml:space="preserve"> </w:t>
      </w:r>
      <w:r w:rsidR="0082325C">
        <w:t>percent</w:t>
      </w:r>
      <w:r w:rsidR="00183FE5">
        <w:t xml:space="preserve">) had </w:t>
      </w:r>
      <w:r w:rsidR="001832BE" w:rsidRPr="001832BE">
        <w:t>achieved</w:t>
      </w:r>
      <w:r w:rsidR="001832BE">
        <w:t xml:space="preserve"> </w:t>
      </w:r>
      <w:r w:rsidR="00FF7E4E">
        <w:t>all stipulated goal</w:t>
      </w:r>
      <w:r w:rsidR="00A7334F">
        <w:t>s and obligations compared to 26 recipients (15.3</w:t>
      </w:r>
      <w:r w:rsidR="00A32A8B">
        <w:t xml:space="preserve"> </w:t>
      </w:r>
      <w:r w:rsidR="0082325C">
        <w:t>percent</w:t>
      </w:r>
      <w:r w:rsidR="00FF7E4E">
        <w:t>) that have yet to achieve all goals and obligations.  The total val</w:t>
      </w:r>
      <w:r w:rsidR="001832BE">
        <w:t xml:space="preserve">ue of those agreements </w:t>
      </w:r>
      <w:r w:rsidR="006F01EC">
        <w:t xml:space="preserve">that met all goals </w:t>
      </w:r>
      <w:r w:rsidR="001832BE">
        <w:t>was $96.3 mi</w:t>
      </w:r>
      <w:r w:rsidR="00A7334F">
        <w:t>llion (93.1</w:t>
      </w:r>
      <w:r w:rsidR="00A32A8B">
        <w:t xml:space="preserve"> </w:t>
      </w:r>
      <w:r w:rsidR="0082325C">
        <w:t>percent</w:t>
      </w:r>
      <w:r w:rsidR="00A7334F">
        <w:t>) compared to $7.1 million (6.9</w:t>
      </w:r>
      <w:r w:rsidR="00A32A8B">
        <w:t xml:space="preserve"> </w:t>
      </w:r>
      <w:r w:rsidR="0082325C">
        <w:t>percent</w:t>
      </w:r>
      <w:r w:rsidR="006F01EC">
        <w:t>) that had yet to achieve all goals and obligations</w:t>
      </w:r>
      <w:r>
        <w:t>.  B</w:t>
      </w:r>
      <w:r w:rsidR="00FF7E4E">
        <w:t>usines</w:t>
      </w:r>
      <w:r>
        <w:t>s assistance provided totaled</w:t>
      </w:r>
      <w:r w:rsidR="00A7334F">
        <w:t xml:space="preserve"> $103.4</w:t>
      </w:r>
      <w:r w:rsidR="00FF7E4E">
        <w:t xml:space="preserve"> million.</w:t>
      </w:r>
    </w:p>
    <w:p w:rsidR="00FF7E4E" w:rsidRDefault="00FF7E4E"/>
    <w:p w:rsidR="00F71C49" w:rsidRDefault="00364BF5" w:rsidP="007A7088">
      <w:r>
        <w:t>F</w:t>
      </w:r>
      <w:r w:rsidR="00CF1048">
        <w:t xml:space="preserve">our eligible financial assistance agreements </w:t>
      </w:r>
      <w:r>
        <w:t xml:space="preserve">were reported by government agencies </w:t>
      </w:r>
      <w:r w:rsidR="0074523A">
        <w:t>in 2002 through 2011</w:t>
      </w:r>
      <w:r w:rsidR="00635DFA">
        <w:t xml:space="preserve"> for 2001 activity.</w:t>
      </w:r>
      <w:r w:rsidR="007A7088">
        <w:t xml:space="preserve">  A</w:t>
      </w:r>
      <w:r w:rsidR="0074523A">
        <w:t xml:space="preserve">gencies reported that the four recipients had achieved all goals and obligations stipulated </w:t>
      </w:r>
      <w:r w:rsidR="001832BE">
        <w:t>in the agreement (see Appendix N</w:t>
      </w:r>
      <w:r w:rsidR="0074523A">
        <w:t>).</w:t>
      </w:r>
    </w:p>
    <w:p w:rsidR="00635DFA" w:rsidRDefault="00635DFA" w:rsidP="007A7088"/>
    <w:p w:rsidR="00635DFA" w:rsidRPr="00C657F2" w:rsidRDefault="00C657F2">
      <w:pPr>
        <w:rPr>
          <w:b/>
          <w:i/>
        </w:rPr>
      </w:pPr>
      <w:r w:rsidRPr="004867BB">
        <w:rPr>
          <w:b/>
          <w:i/>
        </w:rPr>
        <w:t>2000 Non-JOBZ Activity</w:t>
      </w:r>
    </w:p>
    <w:p w:rsidR="00786AD9" w:rsidRDefault="00364BF5">
      <w:r>
        <w:t>Government agencies reported in 2013 and 2014 for 2000 activity that t</w:t>
      </w:r>
      <w:r w:rsidR="00BC14BF">
        <w:t>here were 196</w:t>
      </w:r>
      <w:r w:rsidR="002F6070">
        <w:t xml:space="preserve"> eligible business assist</w:t>
      </w:r>
      <w:r>
        <w:t>ance agreements</w:t>
      </w:r>
      <w:r w:rsidR="00BC14BF">
        <w:t>.  Of the 196</w:t>
      </w:r>
      <w:r w:rsidR="002F6070">
        <w:t xml:space="preserve"> business assistance agreements reached between January 1, 2000 and December 31, </w:t>
      </w:r>
      <w:r w:rsidR="00BC14BF">
        <w:t>2000, agencies reported that 171 recipients (87.2</w:t>
      </w:r>
      <w:r w:rsidR="00A32A8B">
        <w:t xml:space="preserve"> </w:t>
      </w:r>
      <w:r w:rsidR="0082325C">
        <w:t>percent</w:t>
      </w:r>
      <w:r w:rsidR="002F6070">
        <w:t>) had</w:t>
      </w:r>
    </w:p>
    <w:p w:rsidR="00786AD9" w:rsidRDefault="00786AD9">
      <w:r>
        <w:br w:type="page"/>
      </w:r>
    </w:p>
    <w:p w:rsidR="00E30E20" w:rsidRPr="00BF17D4" w:rsidRDefault="00E30E20" w:rsidP="00E30E20">
      <w:pPr>
        <w:jc w:val="center"/>
        <w:rPr>
          <w:b/>
          <w:i/>
          <w:u w:val="single"/>
        </w:rPr>
      </w:pPr>
      <w:r>
        <w:rPr>
          <w:b/>
          <w:i/>
          <w:u w:val="single"/>
        </w:rPr>
        <w:lastRenderedPageBreak/>
        <w:t>Minnesota Department of Employment and Economic Development                                 Page 9</w:t>
      </w:r>
    </w:p>
    <w:p w:rsidR="00786AD9" w:rsidRDefault="00786AD9" w:rsidP="00786AD9"/>
    <w:p w:rsidR="00786AD9" w:rsidRDefault="00786AD9" w:rsidP="00786AD9"/>
    <w:p w:rsidR="00786AD9" w:rsidRDefault="00786AD9" w:rsidP="00786AD9">
      <w:proofErr w:type="gramStart"/>
      <w:r>
        <w:t>achieved</w:t>
      </w:r>
      <w:proofErr w:type="gramEnd"/>
      <w:r>
        <w:t xml:space="preserve"> all stipulated goals and obligations compared to 25 recipients (12.8 percent) that have yet to achieve all goals and obligations.  The total value of those 171 agreements that met all goals was $599.2 million compared to $12.0 million (2.0 percent) that had yet to achieve all goals and obligations.  Business assistance provided totaled $611.2 million.</w:t>
      </w:r>
    </w:p>
    <w:p w:rsidR="00C657F2" w:rsidRDefault="00C657F2"/>
    <w:p w:rsidR="002F6070" w:rsidRDefault="00364BF5">
      <w:r>
        <w:t>Ten</w:t>
      </w:r>
      <w:r w:rsidR="002F6070">
        <w:t xml:space="preserve"> eligible financial assistance</w:t>
      </w:r>
      <w:r w:rsidR="00856CDD">
        <w:t xml:space="preserve"> agreements </w:t>
      </w:r>
      <w:r>
        <w:t xml:space="preserve">were reported by government agencies </w:t>
      </w:r>
      <w:r w:rsidR="00856CDD">
        <w:t>in 2001 through 2011</w:t>
      </w:r>
      <w:r w:rsidR="002F6070">
        <w:t xml:space="preserve"> for 2000 activity.  </w:t>
      </w:r>
      <w:r w:rsidR="00856CDD">
        <w:t>Agencies reported that the 10 recipients had achieved all goals and obligations stipulated in the agreement.</w:t>
      </w:r>
      <w:r>
        <w:t xml:space="preserve">  Financial assistance provided totaled</w:t>
      </w:r>
      <w:r w:rsidR="002F6070">
        <w:t xml:space="preserve"> $11.</w:t>
      </w:r>
      <w:r w:rsidR="00BC14BF">
        <w:t>4 million (see Appendix O</w:t>
      </w:r>
      <w:r w:rsidR="002F6070">
        <w:t>).</w:t>
      </w:r>
    </w:p>
    <w:p w:rsidR="007D2DE8" w:rsidRDefault="007D2DE8"/>
    <w:p w:rsidR="007D2DE8" w:rsidRPr="007D2DE8" w:rsidRDefault="007D2DE8">
      <w:pPr>
        <w:rPr>
          <w:b/>
          <w:i/>
        </w:rPr>
      </w:pPr>
      <w:r w:rsidRPr="004867BB">
        <w:rPr>
          <w:b/>
          <w:i/>
        </w:rPr>
        <w:t>August 1, 1999 – December 31, 1999 Non-JOBZ Activity</w:t>
      </w:r>
    </w:p>
    <w:p w:rsidR="007D2DE8" w:rsidRDefault="00364BF5">
      <w:r>
        <w:t>Government agencies reported in 2013 and 2014 for 1999 activity that t</w:t>
      </w:r>
      <w:r w:rsidR="00F52233">
        <w:t>here were 73 eligible business assistance</w:t>
      </w:r>
      <w:r>
        <w:t xml:space="preserve"> agreements</w:t>
      </w:r>
      <w:r w:rsidR="00F52233">
        <w:t>.  Of the 73 business assistance agreements reached betw</w:t>
      </w:r>
      <w:r w:rsidR="001019D4">
        <w:t>een August 1, 1999 and December 31,</w:t>
      </w:r>
      <w:r w:rsidR="00856CDD">
        <w:t xml:space="preserve"> 1999, agencies reported that 61 recipients (83.6</w:t>
      </w:r>
      <w:r w:rsidR="00A32A8B">
        <w:t xml:space="preserve"> </w:t>
      </w:r>
      <w:r w:rsidR="0082325C">
        <w:t>percent</w:t>
      </w:r>
      <w:r w:rsidR="001019D4">
        <w:t>) has achieved all stipulated goal</w:t>
      </w:r>
      <w:r w:rsidR="00856CDD">
        <w:t>s and obligations compared to 12</w:t>
      </w:r>
      <w:r w:rsidR="002F18A2">
        <w:t xml:space="preserve"> recipients (16.4</w:t>
      </w:r>
      <w:r w:rsidR="00A32A8B">
        <w:t xml:space="preserve"> </w:t>
      </w:r>
      <w:r w:rsidR="0082325C">
        <w:t>percent</w:t>
      </w:r>
      <w:r w:rsidR="001019D4">
        <w:t>) that have yet to achieve all goals and obligatio</w:t>
      </w:r>
      <w:r w:rsidR="002F18A2">
        <w:t xml:space="preserve">ns.  The total value of those 61 agreements </w:t>
      </w:r>
      <w:r w:rsidR="006F01EC">
        <w:t xml:space="preserve">that met all goals </w:t>
      </w:r>
      <w:r w:rsidR="002F18A2">
        <w:t>was $16.0 million (89.9</w:t>
      </w:r>
      <w:r w:rsidR="00A32A8B">
        <w:t xml:space="preserve"> </w:t>
      </w:r>
      <w:r w:rsidR="0082325C">
        <w:t>percent</w:t>
      </w:r>
      <w:r w:rsidR="002F18A2">
        <w:t>) compared to $1.8 million (10.1</w:t>
      </w:r>
      <w:r w:rsidR="00A32A8B">
        <w:t xml:space="preserve"> </w:t>
      </w:r>
      <w:r w:rsidR="0082325C">
        <w:t>percent</w:t>
      </w:r>
      <w:r w:rsidR="006F01EC">
        <w:t>) that had yet to achieve all goals and obligations</w:t>
      </w:r>
      <w:r>
        <w:t>.  Business assistance provided totaled</w:t>
      </w:r>
      <w:r w:rsidR="001019D4">
        <w:t xml:space="preserve"> $17.8 million.</w:t>
      </w:r>
    </w:p>
    <w:p w:rsidR="001019D4" w:rsidRDefault="001019D4"/>
    <w:p w:rsidR="001019D4" w:rsidRDefault="00364BF5">
      <w:r>
        <w:t>O</w:t>
      </w:r>
      <w:r w:rsidR="001019D4">
        <w:t xml:space="preserve">ne eligible financial assistance agreement </w:t>
      </w:r>
      <w:r>
        <w:t xml:space="preserve">was </w:t>
      </w:r>
      <w:r w:rsidR="001019D4">
        <w:t xml:space="preserve">reported by a government </w:t>
      </w:r>
      <w:r w:rsidR="00FB12C9">
        <w:t xml:space="preserve">agency </w:t>
      </w:r>
      <w:r w:rsidR="004867BB">
        <w:t>in 2002</w:t>
      </w:r>
      <w:r w:rsidR="001019D4">
        <w:t xml:space="preserve"> for 1999 activity.  The agency reported that the recipient had achieved all goals and obligations stipulated in the agre</w:t>
      </w:r>
      <w:r>
        <w:t>ement.  F</w:t>
      </w:r>
      <w:r w:rsidR="001019D4">
        <w:t>inancial assistance provid</w:t>
      </w:r>
      <w:r>
        <w:t xml:space="preserve">ed totaled </w:t>
      </w:r>
      <w:r w:rsidR="002F18A2">
        <w:t xml:space="preserve">$568,167 (see Appendix </w:t>
      </w:r>
      <w:r w:rsidR="004867BB">
        <w:t>P</w:t>
      </w:r>
      <w:r w:rsidR="001019D4">
        <w:t>).</w:t>
      </w:r>
    </w:p>
    <w:p w:rsidR="0073652E" w:rsidRDefault="0073652E">
      <w:pPr>
        <w:rPr>
          <w:b/>
          <w:i/>
        </w:rPr>
      </w:pPr>
    </w:p>
    <w:p w:rsidR="001019D4" w:rsidRPr="00FE7BC3" w:rsidRDefault="00FE7BC3">
      <w:pPr>
        <w:rPr>
          <w:b/>
          <w:i/>
        </w:rPr>
      </w:pPr>
      <w:r w:rsidRPr="005269A7">
        <w:rPr>
          <w:b/>
          <w:i/>
        </w:rPr>
        <w:t>July 1, 1995 – July 31, 1999</w:t>
      </w:r>
    </w:p>
    <w:p w:rsidR="00B975F1" w:rsidRDefault="00364BF5">
      <w:r>
        <w:t>Government agencies reported in 2000 through 2014 that t</w:t>
      </w:r>
      <w:r w:rsidR="004867BB">
        <w:t>here were 393</w:t>
      </w:r>
      <w:r w:rsidR="00FE7BC3">
        <w:t xml:space="preserve"> eligible business assistance</w:t>
      </w:r>
      <w:r>
        <w:t xml:space="preserve"> agreements</w:t>
      </w:r>
      <w:r w:rsidR="004867BB">
        <w:t>.  Of the 393</w:t>
      </w:r>
      <w:r w:rsidR="00FE7BC3">
        <w:t xml:space="preserve"> business assistance agreements reached between July 1, 1995 and July 31,</w:t>
      </w:r>
      <w:r w:rsidR="00691E46">
        <w:t xml:space="preserve"> </w:t>
      </w:r>
      <w:r w:rsidR="00FB60C4">
        <w:t>1999, agencies reported that 368 recipients (93.6</w:t>
      </w:r>
      <w:r w:rsidR="00A32A8B">
        <w:t xml:space="preserve"> </w:t>
      </w:r>
      <w:r w:rsidR="0082325C">
        <w:t>percent</w:t>
      </w:r>
      <w:r w:rsidR="00FE7BC3">
        <w:t>) had achieved all</w:t>
      </w:r>
      <w:r w:rsidR="00E30E20">
        <w:t xml:space="preserve"> </w:t>
      </w:r>
      <w:r w:rsidR="00FE7BC3">
        <w:t>stipulated goal</w:t>
      </w:r>
      <w:r w:rsidR="00FB60C4">
        <w:t>s and obligations compared to 25 recipients (6.4</w:t>
      </w:r>
      <w:r w:rsidR="00A32A8B">
        <w:t xml:space="preserve"> </w:t>
      </w:r>
      <w:r w:rsidR="0082325C">
        <w:t>percent</w:t>
      </w:r>
      <w:r w:rsidR="00FE7BC3">
        <w:t>) that have yet to achieve all goals</w:t>
      </w:r>
      <w:r w:rsidR="00691E46">
        <w:t xml:space="preserve"> and obligation</w:t>
      </w:r>
      <w:r w:rsidR="00FB60C4">
        <w:t>s.  The total value of</w:t>
      </w:r>
      <w:r w:rsidR="00585AB0">
        <w:t xml:space="preserve"> those 368 agreements </w:t>
      </w:r>
      <w:r w:rsidR="006F01EC">
        <w:t xml:space="preserve">that met all goals </w:t>
      </w:r>
      <w:r w:rsidR="00585AB0">
        <w:t>was</w:t>
      </w:r>
    </w:p>
    <w:p w:rsidR="00C9792D" w:rsidRDefault="00585AB0">
      <w:r>
        <w:t>$161.0</w:t>
      </w:r>
      <w:r w:rsidR="00691E46">
        <w:t xml:space="preserve"> m</w:t>
      </w:r>
      <w:r>
        <w:t>illion (92.4</w:t>
      </w:r>
      <w:r w:rsidR="00A32A8B">
        <w:t xml:space="preserve"> </w:t>
      </w:r>
      <w:r w:rsidR="0082325C">
        <w:t>percent</w:t>
      </w:r>
      <w:r>
        <w:t>) compared to $13.3 million (7.6</w:t>
      </w:r>
      <w:r w:rsidR="00A32A8B">
        <w:t xml:space="preserve"> </w:t>
      </w:r>
      <w:r w:rsidR="0082325C">
        <w:t>percent</w:t>
      </w:r>
      <w:r w:rsidR="006F01EC">
        <w:t>) that had yet to achieve all goals and obligations</w:t>
      </w:r>
      <w:r w:rsidR="00364BF5">
        <w:t>.  Business assistance provided totaled</w:t>
      </w:r>
      <w:r w:rsidR="00A015E9">
        <w:t xml:space="preserve"> $174</w:t>
      </w:r>
      <w:r>
        <w:t>.3</w:t>
      </w:r>
      <w:r w:rsidR="004867BB">
        <w:t xml:space="preserve"> million (see Appendix Q</w:t>
      </w:r>
      <w:r w:rsidR="00FE7BC3">
        <w:t>).</w:t>
      </w:r>
    </w:p>
    <w:p w:rsidR="00674749" w:rsidRDefault="00674749">
      <w:pPr>
        <w:rPr>
          <w:b/>
          <w:i/>
          <w:highlight w:val="magenta"/>
        </w:rPr>
      </w:pPr>
    </w:p>
    <w:p w:rsidR="0050586B" w:rsidRPr="007B530A" w:rsidRDefault="0050586B" w:rsidP="0050586B">
      <w:r w:rsidRPr="002846EE">
        <w:rPr>
          <w:b/>
          <w:i/>
        </w:rPr>
        <w:t>Public Hearing and Adopted Criteria</w:t>
      </w:r>
    </w:p>
    <w:p w:rsidR="0050586B" w:rsidRDefault="0050586B" w:rsidP="0050586B">
      <w:r>
        <w:t>According to M.S. §116J.994 business subsidies may not be granted until the grantor has held a public hearing and adopted criteria for awarding business subsidies.  Grantors are also required to submit a copy of their adopted criteria policies to DEED if they award business subsidies.</w:t>
      </w:r>
    </w:p>
    <w:p w:rsidR="0050586B" w:rsidRDefault="0050586B"/>
    <w:p w:rsidR="00805E32" w:rsidRDefault="002846EE">
      <w:r>
        <w:t>There were 554</w:t>
      </w:r>
      <w:r w:rsidR="00587533">
        <w:t xml:space="preserve"> agencies required to hold a pu</w:t>
      </w:r>
      <w:r>
        <w:t>blic hearing in or prior to 2014</w:t>
      </w:r>
      <w:r w:rsidR="00587533">
        <w:t xml:space="preserve"> in accordance with the statute because of </w:t>
      </w:r>
      <w:r w:rsidR="00D80D2F">
        <w:t xml:space="preserve">population or </w:t>
      </w:r>
      <w:r w:rsidR="00587533">
        <w:t>pr</w:t>
      </w:r>
      <w:r w:rsidR="00B861D7">
        <w:t>evious activity (see Appendix R</w:t>
      </w:r>
      <w:r w:rsidR="00587533">
        <w:t>).  The distribution of agencies that reported holding a public hearing is as follows:</w:t>
      </w:r>
    </w:p>
    <w:p w:rsidR="00805E32" w:rsidRDefault="00805E32"/>
    <w:p w:rsidR="00587533" w:rsidRDefault="002846EE" w:rsidP="00587533">
      <w:pPr>
        <w:numPr>
          <w:ilvl w:val="0"/>
          <w:numId w:val="1"/>
        </w:numPr>
      </w:pPr>
      <w:r>
        <w:t>439 agencies or 79.2</w:t>
      </w:r>
      <w:r w:rsidR="00587533">
        <w:t xml:space="preserve"> </w:t>
      </w:r>
      <w:r w:rsidR="0082325C">
        <w:t>percent</w:t>
      </w:r>
      <w:r w:rsidR="00587533">
        <w:t xml:space="preserve"> reported holding a public hearing in compliance with the statute; and</w:t>
      </w:r>
      <w:r w:rsidR="00D12179">
        <w:t>,</w:t>
      </w:r>
    </w:p>
    <w:p w:rsidR="00786AD9" w:rsidRDefault="002846EE" w:rsidP="008D4CCC">
      <w:pPr>
        <w:numPr>
          <w:ilvl w:val="0"/>
          <w:numId w:val="1"/>
        </w:numPr>
      </w:pPr>
      <w:r>
        <w:t>115</w:t>
      </w:r>
      <w:r w:rsidR="00587533">
        <w:t xml:space="preserve"> agencies or </w:t>
      </w:r>
      <w:r>
        <w:t>20.8</w:t>
      </w:r>
      <w:r w:rsidR="008D4CCC">
        <w:t xml:space="preserve"> </w:t>
      </w:r>
      <w:r w:rsidR="0082325C">
        <w:t>percent</w:t>
      </w:r>
      <w:r w:rsidR="00D80D2F">
        <w:t xml:space="preserve"> </w:t>
      </w:r>
      <w:r w:rsidR="008D4CCC">
        <w:t>did not report holding a public hearing on the MBAF.</w:t>
      </w:r>
    </w:p>
    <w:p w:rsidR="00E30E20" w:rsidRDefault="00786AD9">
      <w:r>
        <w:br w:type="page"/>
      </w:r>
    </w:p>
    <w:p w:rsidR="00E30E20" w:rsidRPr="006659A4" w:rsidRDefault="00E30E20" w:rsidP="00E30E20">
      <w:pPr>
        <w:rPr>
          <w:b/>
          <w:i/>
          <w:u w:val="single"/>
        </w:rPr>
      </w:pPr>
      <w:r>
        <w:rPr>
          <w:b/>
          <w:i/>
          <w:u w:val="single"/>
        </w:rPr>
        <w:lastRenderedPageBreak/>
        <w:t>Page 10                                                                      2014 Minnesota Business Assistance Report</w:t>
      </w:r>
    </w:p>
    <w:p w:rsidR="00786AD9" w:rsidRDefault="00786AD9" w:rsidP="00786AD9"/>
    <w:p w:rsidR="00786AD9" w:rsidRDefault="00786AD9" w:rsidP="00786AD9"/>
    <w:p w:rsidR="00786AD9" w:rsidRDefault="00786AD9" w:rsidP="00786AD9">
      <w:r>
        <w:t>Of the 554 agencies that were required to submit criteria to DEED, the distribution of the criteria submitted by agencies is as follows:</w:t>
      </w:r>
    </w:p>
    <w:p w:rsidR="00786AD9" w:rsidRDefault="00786AD9" w:rsidP="00786AD9"/>
    <w:p w:rsidR="00786AD9" w:rsidRDefault="00786AD9" w:rsidP="00786AD9">
      <w:pPr>
        <w:numPr>
          <w:ilvl w:val="0"/>
          <w:numId w:val="2"/>
        </w:numPr>
      </w:pPr>
      <w:r>
        <w:t>433 agencies or 78.2 percent submitted criteria; and,</w:t>
      </w:r>
    </w:p>
    <w:p w:rsidR="00786AD9" w:rsidRDefault="00786AD9" w:rsidP="00786AD9">
      <w:pPr>
        <w:numPr>
          <w:ilvl w:val="0"/>
          <w:numId w:val="2"/>
        </w:numPr>
      </w:pPr>
      <w:r>
        <w:t>121 agencies or 21.8 percent did not submit criteria.</w:t>
      </w:r>
    </w:p>
    <w:p w:rsidR="008D4CCC" w:rsidRDefault="008D4CCC" w:rsidP="00E30E20"/>
    <w:p w:rsidR="008D4CCC" w:rsidRPr="00B96CDF" w:rsidRDefault="00B96CDF" w:rsidP="008D4CCC">
      <w:pPr>
        <w:rPr>
          <w:b/>
          <w:i/>
        </w:rPr>
      </w:pPr>
      <w:r w:rsidRPr="00D3040E">
        <w:rPr>
          <w:b/>
          <w:i/>
        </w:rPr>
        <w:t xml:space="preserve">Recipients that Failed to Fulfill All Goals and Obligations through </w:t>
      </w:r>
      <w:r w:rsidR="00326FAC" w:rsidRPr="00D3040E">
        <w:rPr>
          <w:b/>
          <w:i/>
        </w:rPr>
        <w:t>2012</w:t>
      </w:r>
    </w:p>
    <w:p w:rsidR="00B96CDF" w:rsidRDefault="00B96CDF" w:rsidP="008D4CCC">
      <w:r>
        <w:t>Under the law, DEED is required to report the number of business assistance agreements for grantors that did not meet their g</w:t>
      </w:r>
      <w:r w:rsidR="00E265E8">
        <w:t>oals</w:t>
      </w:r>
      <w:r w:rsidR="00A73F23">
        <w:t xml:space="preserve"> for two years after the benefit date or until the goals are met,</w:t>
      </w:r>
      <w:r w:rsidR="00326FAC">
        <w:t xml:space="preserve"> which</w:t>
      </w:r>
      <w:r w:rsidR="00D3040E">
        <w:t>ever is later.  As of 2014</w:t>
      </w:r>
      <w:r w:rsidR="00A73F23">
        <w:t xml:space="preserve">, </w:t>
      </w:r>
      <w:r w:rsidR="00D3040E">
        <w:t>there were 13</w:t>
      </w:r>
      <w:r>
        <w:t xml:space="preserve"> </w:t>
      </w:r>
      <w:r w:rsidR="00A73F23">
        <w:t xml:space="preserve">business assistance </w:t>
      </w:r>
      <w:r>
        <w:t xml:space="preserve">agreements reported by </w:t>
      </w:r>
      <w:r w:rsidR="002A7698">
        <w:t>government agencies</w:t>
      </w:r>
      <w:r>
        <w:t xml:space="preserve"> </w:t>
      </w:r>
      <w:r w:rsidR="00625DD2">
        <w:t>between</w:t>
      </w:r>
      <w:r w:rsidR="00A73F23">
        <w:t xml:space="preserve"> </w:t>
      </w:r>
      <w:r w:rsidR="00326FAC">
        <w:t xml:space="preserve">August 1, 1999 </w:t>
      </w:r>
      <w:r w:rsidR="00625DD2">
        <w:t>and</w:t>
      </w:r>
      <w:r w:rsidR="00D3040E">
        <w:t xml:space="preserve"> December 2013</w:t>
      </w:r>
      <w:r w:rsidR="00A73F23">
        <w:t xml:space="preserve"> </w:t>
      </w:r>
      <w:r w:rsidR="00625DD2">
        <w:t>in which</w:t>
      </w:r>
      <w:r>
        <w:t xml:space="preserve"> recipients had failed to fulfill all goals and obligations in the business assistance</w:t>
      </w:r>
      <w:r w:rsidR="00C6495B">
        <w:t xml:space="preserve"> agree</w:t>
      </w:r>
      <w:r w:rsidR="00326FAC">
        <w:t>ment</w:t>
      </w:r>
      <w:r w:rsidR="0027373B">
        <w:t>.  The total valu</w:t>
      </w:r>
      <w:r w:rsidR="00D3040E">
        <w:t>e of assistance awarded was $5.0</w:t>
      </w:r>
      <w:r w:rsidR="0027373B">
        <w:t xml:space="preserve"> million and the outstand</w:t>
      </w:r>
      <w:r w:rsidR="00D3040E">
        <w:t xml:space="preserve">ing value of assistance </w:t>
      </w:r>
      <w:r w:rsidR="007521B7">
        <w:t xml:space="preserve">that </w:t>
      </w:r>
      <w:r w:rsidR="00D3040E">
        <w:t xml:space="preserve">was </w:t>
      </w:r>
      <w:r w:rsidR="007521B7">
        <w:t xml:space="preserve">subject to repayment was </w:t>
      </w:r>
      <w:r w:rsidR="00D3040E">
        <w:t>$1.0</w:t>
      </w:r>
      <w:r w:rsidR="00B861D7">
        <w:t xml:space="preserve"> million (see Appendix S</w:t>
      </w:r>
      <w:r w:rsidR="0027373B">
        <w:t>).  Fo</w:t>
      </w:r>
      <w:r w:rsidR="00D3040E">
        <w:t>r the same period, there were 58</w:t>
      </w:r>
      <w:r w:rsidR="0027373B">
        <w:t xml:space="preserve"> business assistance agreements that were terminated by government agencies.  The total value</w:t>
      </w:r>
      <w:r w:rsidR="00D3040E">
        <w:t xml:space="preserve"> of assistance awarded was $45.0</w:t>
      </w:r>
      <w:r w:rsidR="0027373B">
        <w:t xml:space="preserve"> million and the outstand</w:t>
      </w:r>
      <w:r w:rsidR="00D3040E">
        <w:t xml:space="preserve">ing value of assistance </w:t>
      </w:r>
      <w:r w:rsidR="007521B7">
        <w:t xml:space="preserve">that was subject to repayment </w:t>
      </w:r>
      <w:r w:rsidR="00D3040E">
        <w:t>was $5.8</w:t>
      </w:r>
      <w:r w:rsidR="00B861D7">
        <w:t xml:space="preserve"> million (see Appendix T</w:t>
      </w:r>
      <w:r w:rsidR="0027373B">
        <w:t>)</w:t>
      </w:r>
      <w:r>
        <w:t>.</w:t>
      </w:r>
    </w:p>
    <w:p w:rsidR="00A95693" w:rsidRDefault="00A95693" w:rsidP="008D4CCC"/>
    <w:p w:rsidR="00A95693" w:rsidRPr="001713BC" w:rsidRDefault="00A95693" w:rsidP="008D4CCC">
      <w:pPr>
        <w:rPr>
          <w:b/>
          <w:i/>
        </w:rPr>
      </w:pPr>
      <w:r w:rsidRPr="009A3676">
        <w:rPr>
          <w:b/>
          <w:i/>
        </w:rPr>
        <w:t>Public Purpose for Assistance Agreements</w:t>
      </w:r>
    </w:p>
    <w:p w:rsidR="00ED4A0F" w:rsidRDefault="00A95693" w:rsidP="00404DA1">
      <w:r>
        <w:t>Minnesota Statutes §116J.994 requires that business and financial assistance agreements</w:t>
      </w:r>
      <w:r w:rsidR="00725623">
        <w:t xml:space="preserve"> state a public purpose.</w:t>
      </w:r>
      <w:r w:rsidR="00D812CC">
        <w:t xml:space="preserve">  Of the 20</w:t>
      </w:r>
      <w:r w:rsidR="00DE5D19">
        <w:t xml:space="preserve"> business assistance</w:t>
      </w:r>
      <w:r w:rsidR="00D812CC">
        <w:t xml:space="preserve"> agreements entered into in 2013</w:t>
      </w:r>
      <w:r w:rsidR="00DE5D19">
        <w:t xml:space="preserve">, </w:t>
      </w:r>
      <w:r w:rsidR="00437B1F">
        <w:t>there were</w:t>
      </w:r>
    </w:p>
    <w:p w:rsidR="00404DA1" w:rsidRPr="007B530A" w:rsidRDefault="00D812CC" w:rsidP="00404DA1">
      <w:pPr>
        <w:rPr>
          <w:b/>
          <w:highlight w:val="magenta"/>
        </w:rPr>
      </w:pPr>
      <w:r w:rsidRPr="00ED4A0F">
        <w:t>48</w:t>
      </w:r>
      <w:r w:rsidR="00ED4A0F">
        <w:t xml:space="preserve"> </w:t>
      </w:r>
      <w:r w:rsidR="00C22D9C" w:rsidRPr="00ED4A0F">
        <w:t>public</w:t>
      </w:r>
      <w:r w:rsidR="00C22D9C">
        <w:t xml:space="preserve"> purposes ide</w:t>
      </w:r>
      <w:r w:rsidR="00625DD2">
        <w:t>ntified in the</w:t>
      </w:r>
      <w:r w:rsidR="00C22D9C">
        <w:t xml:space="preserve">se agreements because several agencies reported more than one public purpose for each project.  </w:t>
      </w:r>
      <w:r>
        <w:t>Increasing the tax base, 15 agreements (</w:t>
      </w:r>
      <w:r w:rsidR="00E4180B">
        <w:t>31.3</w:t>
      </w:r>
      <w:r w:rsidR="00A32A8B">
        <w:t xml:space="preserve"> </w:t>
      </w:r>
      <w:r w:rsidR="0082325C">
        <w:t>percent</w:t>
      </w:r>
      <w:r w:rsidR="00E4180B">
        <w:t>) and c</w:t>
      </w:r>
      <w:r w:rsidR="00DE5D19">
        <w:t>rea</w:t>
      </w:r>
      <w:r w:rsidR="00C22D9C">
        <w:t xml:space="preserve">ting </w:t>
      </w:r>
      <w:r w:rsidR="00E4180B">
        <w:t>high quality job growth, 13 agreements (27.1</w:t>
      </w:r>
      <w:r w:rsidR="00A32A8B">
        <w:t xml:space="preserve"> </w:t>
      </w:r>
      <w:r w:rsidR="0082325C">
        <w:t>percent</w:t>
      </w:r>
      <w:r w:rsidR="00E4180B">
        <w:t>)</w:t>
      </w:r>
      <w:r w:rsidR="00006EA9">
        <w:t xml:space="preserve"> accounted for the largest</w:t>
      </w:r>
      <w:r w:rsidR="00DE5D19">
        <w:t xml:space="preserve"> share of public purpose reported by government agencies.  Other types of public purpose included </w:t>
      </w:r>
      <w:r w:rsidR="00E4180B">
        <w:t>enhancing economic diversity and job retentions, six agreements (12.5</w:t>
      </w:r>
      <w:r w:rsidR="00A32A8B">
        <w:t xml:space="preserve"> </w:t>
      </w:r>
      <w:r w:rsidR="0082325C">
        <w:t>percent</w:t>
      </w:r>
      <w:r w:rsidR="00E4180B">
        <w:t>) each; and job retention and other, 4 agreements (8.3</w:t>
      </w:r>
      <w:r w:rsidR="00A32A8B">
        <w:t xml:space="preserve"> </w:t>
      </w:r>
      <w:r w:rsidR="0082325C">
        <w:t>percent</w:t>
      </w:r>
      <w:r w:rsidR="00C22D9C">
        <w:t>)</w:t>
      </w:r>
      <w:r w:rsidR="00E4180B">
        <w:t xml:space="preserve"> each.</w:t>
      </w:r>
    </w:p>
    <w:p w:rsidR="007B530A" w:rsidRDefault="007B530A" w:rsidP="00404DA1">
      <w:pPr>
        <w:rPr>
          <w:b/>
        </w:rPr>
      </w:pPr>
    </w:p>
    <w:p w:rsidR="00842B1F" w:rsidRDefault="00842B1F" w:rsidP="00404DA1">
      <w:pPr>
        <w:rPr>
          <w:b/>
        </w:rPr>
      </w:pPr>
    </w:p>
    <w:p w:rsidR="00404DA1" w:rsidRPr="00AB22C8" w:rsidRDefault="00404DA1" w:rsidP="00404DA1">
      <w:pPr>
        <w:rPr>
          <w:b/>
        </w:rPr>
      </w:pPr>
      <w:r w:rsidRPr="00352FAA">
        <w:rPr>
          <w:b/>
        </w:rPr>
        <w:t>201</w:t>
      </w:r>
      <w:r w:rsidR="004921B3" w:rsidRPr="00352FAA">
        <w:rPr>
          <w:b/>
        </w:rPr>
        <w:t>3</w:t>
      </w:r>
      <w:r w:rsidR="00625DD2">
        <w:rPr>
          <w:b/>
        </w:rPr>
        <w:t xml:space="preserve"> </w:t>
      </w:r>
      <w:r w:rsidRPr="00352FAA">
        <w:rPr>
          <w:b/>
        </w:rPr>
        <w:t>Activity Findings</w:t>
      </w:r>
    </w:p>
    <w:p w:rsidR="00ED4A0F" w:rsidRDefault="00404DA1" w:rsidP="00404DA1">
      <w:r>
        <w:t>Forms summarized in this section of the report encompass business and financial assistance agreements</w:t>
      </w:r>
      <w:r w:rsidR="009A3676">
        <w:t xml:space="preserve"> reached between January 1, 2013 and December 31, 2013</w:t>
      </w:r>
      <w:r>
        <w:t>.  Under the business subsidy law, agencies are required to submit a MBAF form for two years after the benefit date or until goals are met</w:t>
      </w:r>
      <w:r w:rsidR="00006EA9">
        <w:t>,</w:t>
      </w:r>
      <w:r>
        <w:t xml:space="preserve"> whichever is later.</w:t>
      </w:r>
    </w:p>
    <w:p w:rsidR="00404DA1" w:rsidRDefault="00404DA1" w:rsidP="00404DA1"/>
    <w:p w:rsidR="008E4DFC" w:rsidRDefault="009A3676" w:rsidP="00404DA1">
      <w:r>
        <w:t>Of the 20</w:t>
      </w:r>
      <w:r w:rsidR="00404DA1">
        <w:t xml:space="preserve"> business assistance agreements reporte</w:t>
      </w:r>
      <w:r>
        <w:t>d by government agencies in 2013</w:t>
      </w:r>
      <w:r w:rsidR="00404DA1">
        <w:t>, the manuf</w:t>
      </w:r>
      <w:r w:rsidR="00535C17">
        <w:t>acturing sector accounted for 10</w:t>
      </w:r>
      <w:r w:rsidR="00404DA1">
        <w:t xml:space="preserve"> agreeme</w:t>
      </w:r>
      <w:r w:rsidR="00535C17">
        <w:t>nts (50.0</w:t>
      </w:r>
      <w:r w:rsidR="00A32A8B">
        <w:t xml:space="preserve"> </w:t>
      </w:r>
      <w:r w:rsidR="0082325C">
        <w:t>percent</w:t>
      </w:r>
      <w:r w:rsidR="00404DA1">
        <w:t>)</w:t>
      </w:r>
      <w:r w:rsidR="002A7698">
        <w:t>;</w:t>
      </w:r>
      <w:r w:rsidR="00404DA1">
        <w:t xml:space="preserve"> </w:t>
      </w:r>
      <w:r w:rsidR="00535C17">
        <w:t>service, five agreements</w:t>
      </w:r>
    </w:p>
    <w:p w:rsidR="00733827" w:rsidRDefault="00535C17" w:rsidP="005503CE">
      <w:r>
        <w:t>(25.0</w:t>
      </w:r>
      <w:r w:rsidR="00A32A8B">
        <w:t xml:space="preserve"> </w:t>
      </w:r>
      <w:r w:rsidR="0082325C">
        <w:t>percent</w:t>
      </w:r>
      <w:r w:rsidR="00625DD2">
        <w:t>);</w:t>
      </w:r>
      <w:r>
        <w:t xml:space="preserve"> wholesale trade, three agreements (15.0</w:t>
      </w:r>
      <w:r w:rsidR="00A32A8B">
        <w:t xml:space="preserve"> </w:t>
      </w:r>
      <w:r w:rsidR="0082325C">
        <w:t>percent</w:t>
      </w:r>
      <w:r>
        <w:t>)</w:t>
      </w:r>
      <w:r w:rsidR="00625DD2">
        <w:t>;</w:t>
      </w:r>
      <w:r w:rsidR="008129CC">
        <w:t xml:space="preserve"> retail trade, one agreement</w:t>
      </w:r>
      <w:r w:rsidR="002A7698">
        <w:t>;</w:t>
      </w:r>
      <w:r w:rsidR="008129CC">
        <w:t xml:space="preserve"> and other, one agreement (5.0</w:t>
      </w:r>
      <w:r w:rsidR="00A32A8B">
        <w:t xml:space="preserve"> </w:t>
      </w:r>
      <w:r w:rsidR="0082325C">
        <w:t>percent</w:t>
      </w:r>
      <w:r w:rsidR="00404DA1">
        <w:t>) (</w:t>
      </w:r>
      <w:r w:rsidR="00A169E3">
        <w:t xml:space="preserve">see </w:t>
      </w:r>
      <w:r w:rsidR="00404DA1">
        <w:t>Table 2</w:t>
      </w:r>
      <w:r w:rsidR="000F1841">
        <w:t>, Page 11</w:t>
      </w:r>
      <w:r w:rsidR="00404DA1">
        <w:t>).</w:t>
      </w:r>
    </w:p>
    <w:p w:rsidR="00733827" w:rsidRDefault="00733827">
      <w:r>
        <w:br w:type="page"/>
      </w:r>
    </w:p>
    <w:p w:rsidR="00C73359" w:rsidRPr="00BF17D4" w:rsidRDefault="00C73359" w:rsidP="00C73359">
      <w:pPr>
        <w:jc w:val="center"/>
        <w:rPr>
          <w:b/>
          <w:i/>
          <w:u w:val="single"/>
        </w:rPr>
      </w:pPr>
      <w:r>
        <w:rPr>
          <w:b/>
          <w:i/>
          <w:u w:val="single"/>
        </w:rPr>
        <w:lastRenderedPageBreak/>
        <w:t>Minnesota Department of Employment and Economic Development                               Page 11</w:t>
      </w:r>
    </w:p>
    <w:p w:rsidR="00B048B4" w:rsidRDefault="00B048B4" w:rsidP="008D4CCC"/>
    <w:p w:rsidR="00842B1F" w:rsidRDefault="00842B1F" w:rsidP="008D4CCC"/>
    <w:p w:rsidR="00733827" w:rsidRPr="00733827" w:rsidRDefault="00733827" w:rsidP="00733827">
      <w:pPr>
        <w:pStyle w:val="Header"/>
        <w:tabs>
          <w:tab w:val="clear" w:pos="4320"/>
          <w:tab w:val="clear" w:pos="8640"/>
        </w:tabs>
        <w:jc w:val="center"/>
        <w:rPr>
          <w:sz w:val="20"/>
          <w:szCs w:val="20"/>
        </w:rPr>
      </w:pPr>
      <w:r w:rsidRPr="00733827">
        <w:rPr>
          <w:sz w:val="20"/>
          <w:szCs w:val="20"/>
        </w:rPr>
        <w:t>TABLE 2</w:t>
      </w:r>
    </w:p>
    <w:p w:rsidR="00733827" w:rsidRPr="00733827" w:rsidRDefault="00733827" w:rsidP="00733827">
      <w:pPr>
        <w:pStyle w:val="Header"/>
        <w:tabs>
          <w:tab w:val="clear" w:pos="4320"/>
          <w:tab w:val="clear" w:pos="8640"/>
        </w:tabs>
        <w:jc w:val="center"/>
        <w:rPr>
          <w:sz w:val="20"/>
          <w:szCs w:val="20"/>
        </w:rPr>
      </w:pPr>
      <w:r w:rsidRPr="00733827">
        <w:rPr>
          <w:sz w:val="20"/>
          <w:szCs w:val="20"/>
        </w:rPr>
        <w:t xml:space="preserve">Distribution of Non-JOBZ Business Assistance Agreements by Industrial Sector for </w:t>
      </w:r>
    </w:p>
    <w:p w:rsidR="00733827" w:rsidRPr="00733827" w:rsidRDefault="00733827" w:rsidP="00733827">
      <w:pPr>
        <w:pStyle w:val="Header"/>
        <w:tabs>
          <w:tab w:val="clear" w:pos="4320"/>
          <w:tab w:val="clear" w:pos="8640"/>
        </w:tabs>
        <w:jc w:val="center"/>
        <w:rPr>
          <w:sz w:val="20"/>
          <w:szCs w:val="20"/>
        </w:rPr>
      </w:pPr>
      <w:r w:rsidRPr="00733827">
        <w:rPr>
          <w:sz w:val="20"/>
          <w:szCs w:val="20"/>
        </w:rPr>
        <w:t>Agreements Reached Between January 1, 2013 and December 31, 2013</w:t>
      </w:r>
    </w:p>
    <w:p w:rsidR="00733827" w:rsidRPr="00733827" w:rsidRDefault="00733827" w:rsidP="00733827">
      <w:pPr>
        <w:pStyle w:val="Header"/>
        <w:tabs>
          <w:tab w:val="clear" w:pos="4320"/>
          <w:tab w:val="clear" w:pos="8640"/>
        </w:tabs>
        <w:rPr>
          <w:sz w:val="20"/>
          <w:szCs w:val="20"/>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710"/>
        <w:gridCol w:w="1740"/>
        <w:gridCol w:w="1950"/>
        <w:gridCol w:w="1650"/>
      </w:tblGrid>
      <w:tr w:rsidR="00733827" w:rsidRPr="00733827" w:rsidTr="000F1841">
        <w:tc>
          <w:tcPr>
            <w:tcW w:w="2070" w:type="dxa"/>
            <w:vAlign w:val="center"/>
          </w:tcPr>
          <w:p w:rsidR="00733827" w:rsidRPr="00733827" w:rsidRDefault="00733827" w:rsidP="000F1841">
            <w:pPr>
              <w:pStyle w:val="Header"/>
              <w:tabs>
                <w:tab w:val="clear" w:pos="4320"/>
                <w:tab w:val="clear" w:pos="8640"/>
              </w:tabs>
              <w:jc w:val="center"/>
              <w:rPr>
                <w:b/>
                <w:sz w:val="20"/>
                <w:szCs w:val="20"/>
              </w:rPr>
            </w:pPr>
            <w:r w:rsidRPr="00733827">
              <w:rPr>
                <w:b/>
                <w:sz w:val="20"/>
                <w:szCs w:val="20"/>
              </w:rPr>
              <w:t>Sector</w:t>
            </w:r>
          </w:p>
        </w:tc>
        <w:tc>
          <w:tcPr>
            <w:tcW w:w="1710" w:type="dxa"/>
            <w:vAlign w:val="center"/>
          </w:tcPr>
          <w:p w:rsidR="00733827" w:rsidRPr="00733827" w:rsidRDefault="00733827" w:rsidP="000F1841">
            <w:pPr>
              <w:pStyle w:val="Header"/>
              <w:tabs>
                <w:tab w:val="clear" w:pos="4320"/>
                <w:tab w:val="clear" w:pos="8640"/>
              </w:tabs>
              <w:jc w:val="center"/>
              <w:rPr>
                <w:b/>
                <w:sz w:val="20"/>
                <w:szCs w:val="20"/>
              </w:rPr>
            </w:pPr>
            <w:r w:rsidRPr="00733827">
              <w:rPr>
                <w:b/>
                <w:sz w:val="20"/>
                <w:szCs w:val="20"/>
              </w:rPr>
              <w:t>Quantity</w:t>
            </w:r>
          </w:p>
        </w:tc>
        <w:tc>
          <w:tcPr>
            <w:tcW w:w="1740" w:type="dxa"/>
            <w:vAlign w:val="center"/>
          </w:tcPr>
          <w:p w:rsidR="00733827" w:rsidRPr="00733827" w:rsidRDefault="00733827" w:rsidP="000F1841">
            <w:pPr>
              <w:pStyle w:val="Header"/>
              <w:tabs>
                <w:tab w:val="clear" w:pos="4320"/>
                <w:tab w:val="clear" w:pos="8640"/>
              </w:tabs>
              <w:jc w:val="center"/>
              <w:rPr>
                <w:b/>
                <w:sz w:val="20"/>
                <w:szCs w:val="20"/>
              </w:rPr>
            </w:pPr>
            <w:r w:rsidRPr="00733827">
              <w:rPr>
                <w:b/>
                <w:sz w:val="20"/>
                <w:szCs w:val="20"/>
              </w:rPr>
              <w:t xml:space="preserve">  Percentage</w:t>
            </w:r>
          </w:p>
        </w:tc>
        <w:tc>
          <w:tcPr>
            <w:tcW w:w="1950" w:type="dxa"/>
            <w:vAlign w:val="center"/>
          </w:tcPr>
          <w:p w:rsidR="00733827" w:rsidRPr="00733827" w:rsidRDefault="00733827" w:rsidP="000F1841">
            <w:pPr>
              <w:pStyle w:val="Header"/>
              <w:tabs>
                <w:tab w:val="clear" w:pos="4320"/>
                <w:tab w:val="clear" w:pos="8640"/>
              </w:tabs>
              <w:jc w:val="center"/>
              <w:rPr>
                <w:b/>
                <w:sz w:val="20"/>
                <w:szCs w:val="20"/>
              </w:rPr>
            </w:pPr>
            <w:r w:rsidRPr="00733827">
              <w:rPr>
                <w:b/>
                <w:sz w:val="20"/>
                <w:szCs w:val="20"/>
              </w:rPr>
              <w:t>Dollar Amount</w:t>
            </w:r>
          </w:p>
          <w:p w:rsidR="00733827" w:rsidRPr="00733827" w:rsidRDefault="00733827" w:rsidP="000F1841">
            <w:pPr>
              <w:pStyle w:val="Header"/>
              <w:tabs>
                <w:tab w:val="clear" w:pos="4320"/>
                <w:tab w:val="clear" w:pos="8640"/>
              </w:tabs>
              <w:jc w:val="center"/>
              <w:rPr>
                <w:sz w:val="20"/>
                <w:szCs w:val="20"/>
              </w:rPr>
            </w:pPr>
            <w:r w:rsidRPr="00733827">
              <w:rPr>
                <w:sz w:val="20"/>
                <w:szCs w:val="20"/>
              </w:rPr>
              <w:t>(in millions)</w:t>
            </w:r>
          </w:p>
        </w:tc>
        <w:tc>
          <w:tcPr>
            <w:tcW w:w="1650" w:type="dxa"/>
            <w:vAlign w:val="center"/>
          </w:tcPr>
          <w:p w:rsidR="00733827" w:rsidRPr="00733827" w:rsidRDefault="00733827" w:rsidP="000F1841">
            <w:pPr>
              <w:pStyle w:val="Header"/>
              <w:tabs>
                <w:tab w:val="clear" w:pos="4320"/>
                <w:tab w:val="clear" w:pos="8640"/>
              </w:tabs>
              <w:jc w:val="center"/>
              <w:rPr>
                <w:b/>
                <w:sz w:val="20"/>
                <w:szCs w:val="20"/>
              </w:rPr>
            </w:pPr>
            <w:r w:rsidRPr="00733827">
              <w:rPr>
                <w:b/>
                <w:sz w:val="20"/>
                <w:szCs w:val="20"/>
              </w:rPr>
              <w:t xml:space="preserve">  Percentage</w:t>
            </w:r>
          </w:p>
        </w:tc>
      </w:tr>
      <w:tr w:rsidR="00733827" w:rsidRPr="00733827" w:rsidTr="000F1841">
        <w:tc>
          <w:tcPr>
            <w:tcW w:w="2070" w:type="dxa"/>
          </w:tcPr>
          <w:p w:rsidR="00733827" w:rsidRPr="00733827" w:rsidRDefault="00733827" w:rsidP="000F1841">
            <w:pPr>
              <w:pStyle w:val="Header"/>
              <w:tabs>
                <w:tab w:val="clear" w:pos="4320"/>
                <w:tab w:val="clear" w:pos="8640"/>
              </w:tabs>
              <w:rPr>
                <w:sz w:val="20"/>
                <w:szCs w:val="20"/>
              </w:rPr>
            </w:pPr>
            <w:r w:rsidRPr="00733827">
              <w:rPr>
                <w:sz w:val="20"/>
                <w:szCs w:val="20"/>
              </w:rPr>
              <w:t>Manufacturing</w:t>
            </w:r>
          </w:p>
        </w:tc>
        <w:tc>
          <w:tcPr>
            <w:tcW w:w="171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10</w:t>
            </w:r>
          </w:p>
        </w:tc>
        <w:tc>
          <w:tcPr>
            <w:tcW w:w="174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50.0%</w:t>
            </w:r>
          </w:p>
        </w:tc>
        <w:tc>
          <w:tcPr>
            <w:tcW w:w="195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$7.6</w:t>
            </w:r>
          </w:p>
        </w:tc>
        <w:tc>
          <w:tcPr>
            <w:tcW w:w="165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52.4%</w:t>
            </w:r>
          </w:p>
        </w:tc>
      </w:tr>
      <w:tr w:rsidR="00733827" w:rsidRPr="00733827" w:rsidTr="000F1841">
        <w:tc>
          <w:tcPr>
            <w:tcW w:w="2070" w:type="dxa"/>
          </w:tcPr>
          <w:p w:rsidR="00733827" w:rsidRPr="00733827" w:rsidRDefault="00733827" w:rsidP="000F1841">
            <w:pPr>
              <w:pStyle w:val="Header"/>
              <w:tabs>
                <w:tab w:val="clear" w:pos="4320"/>
                <w:tab w:val="clear" w:pos="8640"/>
              </w:tabs>
              <w:rPr>
                <w:sz w:val="20"/>
                <w:szCs w:val="20"/>
              </w:rPr>
            </w:pPr>
            <w:r w:rsidRPr="00733827">
              <w:rPr>
                <w:sz w:val="20"/>
                <w:szCs w:val="20"/>
              </w:rPr>
              <w:t>Service</w:t>
            </w:r>
          </w:p>
        </w:tc>
        <w:tc>
          <w:tcPr>
            <w:tcW w:w="171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5</w:t>
            </w:r>
          </w:p>
        </w:tc>
        <w:tc>
          <w:tcPr>
            <w:tcW w:w="174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25.0%</w:t>
            </w:r>
          </w:p>
        </w:tc>
        <w:tc>
          <w:tcPr>
            <w:tcW w:w="195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$1.8</w:t>
            </w:r>
          </w:p>
        </w:tc>
        <w:tc>
          <w:tcPr>
            <w:tcW w:w="165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12.6%</w:t>
            </w:r>
          </w:p>
        </w:tc>
      </w:tr>
      <w:tr w:rsidR="00733827" w:rsidRPr="00733827" w:rsidTr="000F1841">
        <w:tc>
          <w:tcPr>
            <w:tcW w:w="2070" w:type="dxa"/>
          </w:tcPr>
          <w:p w:rsidR="00733827" w:rsidRPr="00733827" w:rsidRDefault="00733827" w:rsidP="000F1841">
            <w:pPr>
              <w:pStyle w:val="Header"/>
              <w:tabs>
                <w:tab w:val="clear" w:pos="4320"/>
                <w:tab w:val="clear" w:pos="8640"/>
              </w:tabs>
              <w:rPr>
                <w:sz w:val="20"/>
                <w:szCs w:val="20"/>
              </w:rPr>
            </w:pPr>
            <w:r w:rsidRPr="00733827">
              <w:rPr>
                <w:sz w:val="20"/>
                <w:szCs w:val="20"/>
              </w:rPr>
              <w:t>Wholesale Trade</w:t>
            </w:r>
          </w:p>
        </w:tc>
        <w:tc>
          <w:tcPr>
            <w:tcW w:w="171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3</w:t>
            </w:r>
          </w:p>
        </w:tc>
        <w:tc>
          <w:tcPr>
            <w:tcW w:w="174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15.0%</w:t>
            </w:r>
          </w:p>
        </w:tc>
        <w:tc>
          <w:tcPr>
            <w:tcW w:w="195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$2.4</w:t>
            </w:r>
          </w:p>
        </w:tc>
        <w:tc>
          <w:tcPr>
            <w:tcW w:w="165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16.7%</w:t>
            </w:r>
          </w:p>
        </w:tc>
      </w:tr>
      <w:tr w:rsidR="00733827" w:rsidRPr="00733827" w:rsidTr="000F1841">
        <w:tc>
          <w:tcPr>
            <w:tcW w:w="2070" w:type="dxa"/>
          </w:tcPr>
          <w:p w:rsidR="00733827" w:rsidRPr="00733827" w:rsidRDefault="00733827" w:rsidP="000F1841">
            <w:pPr>
              <w:pStyle w:val="Header"/>
              <w:tabs>
                <w:tab w:val="clear" w:pos="4320"/>
                <w:tab w:val="clear" w:pos="8640"/>
              </w:tabs>
              <w:rPr>
                <w:sz w:val="20"/>
                <w:szCs w:val="20"/>
              </w:rPr>
            </w:pPr>
            <w:r w:rsidRPr="00733827">
              <w:rPr>
                <w:sz w:val="20"/>
                <w:szCs w:val="20"/>
              </w:rPr>
              <w:t>Retail Trade</w:t>
            </w:r>
          </w:p>
        </w:tc>
        <w:tc>
          <w:tcPr>
            <w:tcW w:w="171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1</w:t>
            </w:r>
          </w:p>
        </w:tc>
        <w:tc>
          <w:tcPr>
            <w:tcW w:w="174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5.0%</w:t>
            </w:r>
          </w:p>
        </w:tc>
        <w:tc>
          <w:tcPr>
            <w:tcW w:w="195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$1.6</w:t>
            </w:r>
          </w:p>
        </w:tc>
        <w:tc>
          <w:tcPr>
            <w:tcW w:w="165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11.3%</w:t>
            </w:r>
          </w:p>
        </w:tc>
      </w:tr>
      <w:tr w:rsidR="00733827" w:rsidRPr="00733827" w:rsidTr="000F1841">
        <w:tc>
          <w:tcPr>
            <w:tcW w:w="2070" w:type="dxa"/>
          </w:tcPr>
          <w:p w:rsidR="00733827" w:rsidRPr="00733827" w:rsidRDefault="00733827" w:rsidP="000F1841">
            <w:pPr>
              <w:pStyle w:val="Header"/>
              <w:tabs>
                <w:tab w:val="clear" w:pos="4320"/>
                <w:tab w:val="clear" w:pos="8640"/>
              </w:tabs>
              <w:rPr>
                <w:sz w:val="20"/>
                <w:szCs w:val="20"/>
              </w:rPr>
            </w:pPr>
            <w:r w:rsidRPr="00733827">
              <w:rPr>
                <w:sz w:val="20"/>
                <w:szCs w:val="20"/>
              </w:rPr>
              <w:t>Other</w:t>
            </w:r>
          </w:p>
        </w:tc>
        <w:tc>
          <w:tcPr>
            <w:tcW w:w="171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1</w:t>
            </w:r>
          </w:p>
        </w:tc>
        <w:tc>
          <w:tcPr>
            <w:tcW w:w="174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5.0%</w:t>
            </w:r>
          </w:p>
        </w:tc>
        <w:tc>
          <w:tcPr>
            <w:tcW w:w="1950" w:type="dxa"/>
          </w:tcPr>
          <w:p w:rsidR="00733827" w:rsidRPr="00733827" w:rsidRDefault="00733827" w:rsidP="000F1841">
            <w:pPr>
              <w:pStyle w:val="Header"/>
              <w:tabs>
                <w:tab w:val="clear" w:pos="4320"/>
                <w:tab w:val="clear" w:pos="8640"/>
              </w:tabs>
              <w:jc w:val="center"/>
              <w:rPr>
                <w:sz w:val="20"/>
                <w:szCs w:val="20"/>
              </w:rPr>
            </w:pPr>
            <w:r w:rsidRPr="00733827">
              <w:rPr>
                <w:sz w:val="20"/>
                <w:szCs w:val="20"/>
              </w:rPr>
              <w:t xml:space="preserve">  $1.0</w:t>
            </w:r>
          </w:p>
        </w:tc>
        <w:tc>
          <w:tcPr>
            <w:tcW w:w="1650" w:type="dxa"/>
          </w:tcPr>
          <w:p w:rsidR="00733827" w:rsidRPr="00733827" w:rsidRDefault="00733827" w:rsidP="000F1841">
            <w:pPr>
              <w:pStyle w:val="Header"/>
              <w:tabs>
                <w:tab w:val="clear" w:pos="4320"/>
                <w:tab w:val="clear" w:pos="8640"/>
              </w:tabs>
              <w:spacing w:line="360" w:lineRule="auto"/>
              <w:jc w:val="center"/>
              <w:rPr>
                <w:sz w:val="20"/>
                <w:szCs w:val="20"/>
              </w:rPr>
            </w:pPr>
            <w:r w:rsidRPr="00733827">
              <w:rPr>
                <w:sz w:val="20"/>
                <w:szCs w:val="20"/>
              </w:rPr>
              <w:t xml:space="preserve">   6.9%</w:t>
            </w:r>
          </w:p>
        </w:tc>
      </w:tr>
      <w:tr w:rsidR="00733827" w:rsidRPr="00733827" w:rsidTr="000F1841">
        <w:tc>
          <w:tcPr>
            <w:tcW w:w="2070" w:type="dxa"/>
          </w:tcPr>
          <w:p w:rsidR="00733827" w:rsidRPr="00733827" w:rsidRDefault="00733827" w:rsidP="000F1841">
            <w:pPr>
              <w:pStyle w:val="Header"/>
              <w:tabs>
                <w:tab w:val="clear" w:pos="4320"/>
                <w:tab w:val="clear" w:pos="8640"/>
              </w:tabs>
              <w:rPr>
                <w:b/>
                <w:sz w:val="20"/>
                <w:szCs w:val="20"/>
              </w:rPr>
            </w:pPr>
            <w:r w:rsidRPr="00733827">
              <w:rPr>
                <w:b/>
                <w:sz w:val="20"/>
                <w:szCs w:val="20"/>
              </w:rPr>
              <w:t>Total</w:t>
            </w:r>
          </w:p>
        </w:tc>
        <w:tc>
          <w:tcPr>
            <w:tcW w:w="1710" w:type="dxa"/>
          </w:tcPr>
          <w:p w:rsidR="00733827" w:rsidRPr="00733827" w:rsidRDefault="00733827" w:rsidP="000F1841">
            <w:pPr>
              <w:pStyle w:val="Header"/>
              <w:tabs>
                <w:tab w:val="clear" w:pos="4320"/>
                <w:tab w:val="clear" w:pos="8640"/>
              </w:tabs>
              <w:jc w:val="center"/>
              <w:rPr>
                <w:b/>
                <w:sz w:val="20"/>
                <w:szCs w:val="20"/>
              </w:rPr>
            </w:pPr>
            <w:r w:rsidRPr="00733827">
              <w:rPr>
                <w:b/>
                <w:sz w:val="20"/>
                <w:szCs w:val="20"/>
              </w:rPr>
              <w:t>20</w:t>
            </w:r>
          </w:p>
        </w:tc>
        <w:tc>
          <w:tcPr>
            <w:tcW w:w="1740" w:type="dxa"/>
          </w:tcPr>
          <w:p w:rsidR="00733827" w:rsidRPr="00733827" w:rsidRDefault="00733827" w:rsidP="000F1841">
            <w:pPr>
              <w:pStyle w:val="Header"/>
              <w:tabs>
                <w:tab w:val="clear" w:pos="4320"/>
                <w:tab w:val="clear" w:pos="8640"/>
              </w:tabs>
              <w:spacing w:line="360" w:lineRule="auto"/>
              <w:jc w:val="center"/>
              <w:rPr>
                <w:b/>
                <w:sz w:val="20"/>
                <w:szCs w:val="20"/>
              </w:rPr>
            </w:pPr>
            <w:r w:rsidRPr="00733827">
              <w:rPr>
                <w:b/>
                <w:sz w:val="20"/>
                <w:szCs w:val="20"/>
              </w:rPr>
              <w:t>100.0%</w:t>
            </w:r>
          </w:p>
        </w:tc>
        <w:tc>
          <w:tcPr>
            <w:tcW w:w="1950" w:type="dxa"/>
          </w:tcPr>
          <w:p w:rsidR="00733827" w:rsidRPr="00733827" w:rsidRDefault="00733827" w:rsidP="000F1841">
            <w:pPr>
              <w:pStyle w:val="Header"/>
              <w:tabs>
                <w:tab w:val="clear" w:pos="4320"/>
                <w:tab w:val="clear" w:pos="8640"/>
              </w:tabs>
              <w:jc w:val="center"/>
              <w:rPr>
                <w:b/>
                <w:sz w:val="20"/>
                <w:szCs w:val="20"/>
              </w:rPr>
            </w:pPr>
            <w:r w:rsidRPr="00733827">
              <w:rPr>
                <w:b/>
                <w:sz w:val="20"/>
                <w:szCs w:val="20"/>
              </w:rPr>
              <w:t>$14.4</w:t>
            </w:r>
          </w:p>
        </w:tc>
        <w:tc>
          <w:tcPr>
            <w:tcW w:w="1650" w:type="dxa"/>
          </w:tcPr>
          <w:p w:rsidR="00733827" w:rsidRPr="00733827" w:rsidRDefault="00733827" w:rsidP="000F1841">
            <w:pPr>
              <w:pStyle w:val="Header"/>
              <w:tabs>
                <w:tab w:val="clear" w:pos="4320"/>
                <w:tab w:val="clear" w:pos="8640"/>
              </w:tabs>
              <w:spacing w:line="360" w:lineRule="auto"/>
              <w:jc w:val="center"/>
              <w:rPr>
                <w:b/>
                <w:sz w:val="20"/>
                <w:szCs w:val="20"/>
              </w:rPr>
            </w:pPr>
            <w:r w:rsidRPr="00733827">
              <w:rPr>
                <w:b/>
                <w:sz w:val="20"/>
                <w:szCs w:val="20"/>
              </w:rPr>
              <w:t>100.0%</w:t>
            </w:r>
          </w:p>
        </w:tc>
      </w:tr>
    </w:tbl>
    <w:p w:rsidR="00733827" w:rsidRDefault="00733827" w:rsidP="008D4CCC"/>
    <w:p w:rsidR="00725623" w:rsidRDefault="008129CC" w:rsidP="008D4CCC">
      <w:r>
        <w:t>Of the $14.4</w:t>
      </w:r>
      <w:r w:rsidR="00E51A39">
        <w:t xml:space="preserve"> million in business assistance provided by government agencies, the manufact</w:t>
      </w:r>
      <w:r w:rsidR="001D2667">
        <w:t>uring sector accounted for $7.6</w:t>
      </w:r>
      <w:r>
        <w:t xml:space="preserve"> million (52.4</w:t>
      </w:r>
      <w:r w:rsidR="00A32A8B">
        <w:t xml:space="preserve"> </w:t>
      </w:r>
      <w:r w:rsidR="0082325C">
        <w:t>percent</w:t>
      </w:r>
      <w:r w:rsidR="004E16BA">
        <w:t>)</w:t>
      </w:r>
      <w:r w:rsidR="002A7698">
        <w:t>;</w:t>
      </w:r>
      <w:r>
        <w:t xml:space="preserve"> wholesale trade, $2.4</w:t>
      </w:r>
      <w:r w:rsidR="004E16BA">
        <w:t xml:space="preserve"> mill</w:t>
      </w:r>
      <w:r>
        <w:t>ion (16.7</w:t>
      </w:r>
      <w:r w:rsidR="00A32A8B">
        <w:t xml:space="preserve"> </w:t>
      </w:r>
      <w:r w:rsidR="0082325C">
        <w:t>percent</w:t>
      </w:r>
      <w:r w:rsidR="00674749">
        <w:t>)</w:t>
      </w:r>
      <w:r w:rsidR="002A7698">
        <w:t>;</w:t>
      </w:r>
      <w:r>
        <w:t xml:space="preserve"> service, $1.8 million (12</w:t>
      </w:r>
      <w:r w:rsidR="00674749">
        <w:t>.6</w:t>
      </w:r>
      <w:r w:rsidR="00A32A8B">
        <w:t xml:space="preserve"> </w:t>
      </w:r>
      <w:r w:rsidR="0082325C">
        <w:t>percent</w:t>
      </w:r>
      <w:r w:rsidR="00E51A39">
        <w:t>)</w:t>
      </w:r>
      <w:r w:rsidR="002A7698">
        <w:t>;</w:t>
      </w:r>
      <w:r w:rsidR="00E51A39">
        <w:t xml:space="preserve"> </w:t>
      </w:r>
      <w:r>
        <w:t>retail trade, $1.6 million (11.3</w:t>
      </w:r>
      <w:r w:rsidR="0082325C">
        <w:t xml:space="preserve"> percent</w:t>
      </w:r>
      <w:r>
        <w:t>) and other 1.0 million (6.9</w:t>
      </w:r>
      <w:r w:rsidR="00A32A8B">
        <w:t xml:space="preserve"> </w:t>
      </w:r>
      <w:r w:rsidR="0082325C">
        <w:t>percent</w:t>
      </w:r>
      <w:r w:rsidR="004E16BA">
        <w:t>).</w:t>
      </w:r>
    </w:p>
    <w:p w:rsidR="00E51A39" w:rsidRDefault="00E51A39" w:rsidP="008D4CCC"/>
    <w:p w:rsidR="00E51A39" w:rsidRPr="00E51A39" w:rsidRDefault="00E51A39" w:rsidP="008D4CCC">
      <w:pPr>
        <w:rPr>
          <w:b/>
          <w:i/>
        </w:rPr>
      </w:pPr>
      <w:r w:rsidRPr="00336E25">
        <w:rPr>
          <w:b/>
          <w:i/>
        </w:rPr>
        <w:t>Distribution of Assistance Agreements</w:t>
      </w:r>
    </w:p>
    <w:p w:rsidR="0034310A" w:rsidRDefault="008D1FB2" w:rsidP="008D4CCC">
      <w:r>
        <w:t>Cities accounted for most of the business assist</w:t>
      </w:r>
      <w:r w:rsidR="00B54948">
        <w:t>ance agreements reported in 2012</w:t>
      </w:r>
      <w:r w:rsidR="000460D4">
        <w:t xml:space="preserve">.  Table 3 </w:t>
      </w:r>
      <w:r>
        <w:t>s</w:t>
      </w:r>
      <w:r w:rsidR="000460D4">
        <w:t>hows</w:t>
      </w:r>
      <w:r w:rsidR="00C3610D">
        <w:t xml:space="preserve"> the </w:t>
      </w:r>
      <w:r w:rsidR="00336E25">
        <w:t>distribution of the 20</w:t>
      </w:r>
      <w:r>
        <w:t xml:space="preserve"> business subsidy agreements on t</w:t>
      </w:r>
      <w:r w:rsidR="000460D4">
        <w:t>he MBAF.  C</w:t>
      </w:r>
      <w:r w:rsidR="00336E25">
        <w:t>ities accounted for</w:t>
      </w:r>
    </w:p>
    <w:p w:rsidR="0073652E" w:rsidRDefault="00336E25" w:rsidP="008D4CCC">
      <w:proofErr w:type="gramStart"/>
      <w:r>
        <w:t>17 agreements (85.0</w:t>
      </w:r>
      <w:r w:rsidR="00A32A8B">
        <w:t xml:space="preserve"> </w:t>
      </w:r>
      <w:r w:rsidR="0082325C">
        <w:t>percent</w:t>
      </w:r>
      <w:r w:rsidR="00006EA9">
        <w:t>);</w:t>
      </w:r>
      <w:r w:rsidR="004E40F3">
        <w:t xml:space="preserve"> </w:t>
      </w:r>
      <w:r>
        <w:t>counties for two agreements (10.0</w:t>
      </w:r>
      <w:r w:rsidR="00A32A8B">
        <w:t xml:space="preserve"> </w:t>
      </w:r>
      <w:r w:rsidR="0082325C">
        <w:t>percent</w:t>
      </w:r>
      <w:r>
        <w:t>)</w:t>
      </w:r>
      <w:r w:rsidR="00006EA9">
        <w:t>;</w:t>
      </w:r>
      <w:r w:rsidR="004E40F3">
        <w:t xml:space="preserve"> </w:t>
      </w:r>
      <w:r>
        <w:t>and other for one agreement (5.0</w:t>
      </w:r>
      <w:r w:rsidR="00A32A8B">
        <w:t xml:space="preserve"> </w:t>
      </w:r>
      <w:r w:rsidR="0082325C">
        <w:t>percent</w:t>
      </w:r>
      <w:r w:rsidR="008D1FB2">
        <w:t>).</w:t>
      </w:r>
      <w:proofErr w:type="gramEnd"/>
    </w:p>
    <w:p w:rsidR="00842B1F" w:rsidRDefault="00842B1F" w:rsidP="008D4CCC"/>
    <w:p w:rsidR="00984AB7" w:rsidRPr="00CB2FFD" w:rsidRDefault="00984AB7" w:rsidP="00984AB7">
      <w:pPr>
        <w:jc w:val="center"/>
        <w:rPr>
          <w:sz w:val="20"/>
          <w:szCs w:val="20"/>
        </w:rPr>
      </w:pPr>
      <w:r w:rsidRPr="00CB2FFD">
        <w:rPr>
          <w:sz w:val="20"/>
          <w:szCs w:val="20"/>
        </w:rPr>
        <w:t>TABLE 3</w:t>
      </w:r>
    </w:p>
    <w:p w:rsidR="00984AB7" w:rsidRPr="00CB2FFD" w:rsidRDefault="00984AB7" w:rsidP="00984AB7">
      <w:pPr>
        <w:jc w:val="center"/>
        <w:rPr>
          <w:sz w:val="20"/>
          <w:szCs w:val="20"/>
        </w:rPr>
      </w:pPr>
      <w:r w:rsidRPr="00CB2FFD">
        <w:rPr>
          <w:sz w:val="20"/>
          <w:szCs w:val="20"/>
        </w:rPr>
        <w:t>Distribution of Non-JOBZ Business Assistance by Government Agency for Agreements</w:t>
      </w:r>
    </w:p>
    <w:p w:rsidR="00984AB7" w:rsidRPr="00CB2FFD" w:rsidRDefault="00336E25" w:rsidP="00984AB7">
      <w:pPr>
        <w:jc w:val="center"/>
        <w:rPr>
          <w:sz w:val="20"/>
          <w:szCs w:val="20"/>
        </w:rPr>
      </w:pPr>
      <w:r w:rsidRPr="00CB2FFD">
        <w:rPr>
          <w:sz w:val="20"/>
          <w:szCs w:val="20"/>
        </w:rPr>
        <w:t>Reached Between January 1, 2013 and December 31, 2013</w:t>
      </w:r>
    </w:p>
    <w:p w:rsidR="00984AB7" w:rsidRPr="00CB2FFD" w:rsidRDefault="00984AB7" w:rsidP="00984AB7">
      <w:pPr>
        <w:jc w:val="center"/>
        <w:rPr>
          <w:sz w:val="20"/>
          <w:szCs w:val="20"/>
        </w:rPr>
      </w:pPr>
    </w:p>
    <w:tbl>
      <w:tblPr>
        <w:tblW w:w="90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800"/>
        <w:gridCol w:w="1920"/>
        <w:gridCol w:w="1920"/>
      </w:tblGrid>
      <w:tr w:rsidR="00984AB7" w:rsidRPr="00CB2FFD" w:rsidTr="008E466E">
        <w:tc>
          <w:tcPr>
            <w:tcW w:w="1800" w:type="dxa"/>
            <w:vAlign w:val="center"/>
          </w:tcPr>
          <w:p w:rsidR="00984AB7" w:rsidRPr="00CB2FFD" w:rsidRDefault="00984AB7" w:rsidP="00BE1B57">
            <w:pPr>
              <w:pStyle w:val="Header"/>
              <w:tabs>
                <w:tab w:val="clear" w:pos="4320"/>
                <w:tab w:val="clear" w:pos="8640"/>
              </w:tabs>
              <w:jc w:val="center"/>
              <w:rPr>
                <w:b/>
                <w:sz w:val="20"/>
                <w:szCs w:val="20"/>
              </w:rPr>
            </w:pPr>
            <w:r w:rsidRPr="00CB2FFD">
              <w:rPr>
                <w:b/>
                <w:sz w:val="20"/>
                <w:szCs w:val="20"/>
              </w:rPr>
              <w:t>Grantor Classification</w:t>
            </w:r>
          </w:p>
        </w:tc>
        <w:tc>
          <w:tcPr>
            <w:tcW w:w="1620" w:type="dxa"/>
            <w:vAlign w:val="center"/>
          </w:tcPr>
          <w:p w:rsidR="00984AB7" w:rsidRPr="00CB2FFD" w:rsidRDefault="00984AB7" w:rsidP="00BE1B57">
            <w:pPr>
              <w:jc w:val="center"/>
              <w:rPr>
                <w:b/>
                <w:sz w:val="20"/>
                <w:szCs w:val="20"/>
              </w:rPr>
            </w:pPr>
            <w:r w:rsidRPr="00CB2FFD">
              <w:rPr>
                <w:b/>
                <w:sz w:val="20"/>
                <w:szCs w:val="20"/>
              </w:rPr>
              <w:t>Quantity</w:t>
            </w:r>
          </w:p>
        </w:tc>
        <w:tc>
          <w:tcPr>
            <w:tcW w:w="1800" w:type="dxa"/>
            <w:vAlign w:val="center"/>
          </w:tcPr>
          <w:p w:rsidR="00984AB7" w:rsidRPr="00CB2FFD" w:rsidRDefault="00006EA9" w:rsidP="00BE1B57">
            <w:pPr>
              <w:jc w:val="center"/>
              <w:rPr>
                <w:b/>
                <w:sz w:val="20"/>
                <w:szCs w:val="20"/>
              </w:rPr>
            </w:pPr>
            <w:r w:rsidRPr="00CB2FFD">
              <w:rPr>
                <w:b/>
                <w:sz w:val="20"/>
                <w:szCs w:val="20"/>
              </w:rPr>
              <w:t xml:space="preserve">  P</w:t>
            </w:r>
            <w:r w:rsidR="0082325C" w:rsidRPr="00CB2FFD">
              <w:rPr>
                <w:b/>
                <w:sz w:val="20"/>
                <w:szCs w:val="20"/>
              </w:rPr>
              <w:t>ercent</w:t>
            </w:r>
            <w:r w:rsidR="00984AB7" w:rsidRPr="00CB2FFD">
              <w:rPr>
                <w:b/>
                <w:sz w:val="20"/>
                <w:szCs w:val="20"/>
              </w:rPr>
              <w:t>age</w:t>
            </w:r>
          </w:p>
        </w:tc>
        <w:tc>
          <w:tcPr>
            <w:tcW w:w="1920" w:type="dxa"/>
          </w:tcPr>
          <w:p w:rsidR="00984AB7" w:rsidRPr="00CB2FFD" w:rsidRDefault="00984AB7" w:rsidP="00BE1B57">
            <w:pPr>
              <w:jc w:val="center"/>
              <w:rPr>
                <w:b/>
                <w:sz w:val="20"/>
                <w:szCs w:val="20"/>
              </w:rPr>
            </w:pPr>
            <w:r w:rsidRPr="00CB2FFD">
              <w:rPr>
                <w:b/>
                <w:sz w:val="20"/>
                <w:szCs w:val="20"/>
              </w:rPr>
              <w:t>Dollar Amount</w:t>
            </w:r>
          </w:p>
          <w:p w:rsidR="00984AB7" w:rsidRPr="00CB2FFD" w:rsidRDefault="00984AB7" w:rsidP="00BE1B57">
            <w:pPr>
              <w:jc w:val="center"/>
              <w:rPr>
                <w:sz w:val="20"/>
                <w:szCs w:val="20"/>
              </w:rPr>
            </w:pPr>
            <w:r w:rsidRPr="00CB2FFD">
              <w:rPr>
                <w:sz w:val="20"/>
                <w:szCs w:val="20"/>
              </w:rPr>
              <w:t>(in millions)</w:t>
            </w:r>
          </w:p>
        </w:tc>
        <w:tc>
          <w:tcPr>
            <w:tcW w:w="1920" w:type="dxa"/>
            <w:vAlign w:val="center"/>
          </w:tcPr>
          <w:p w:rsidR="00984AB7" w:rsidRPr="00CB2FFD" w:rsidRDefault="00006EA9" w:rsidP="00BE1B57">
            <w:pPr>
              <w:jc w:val="center"/>
              <w:rPr>
                <w:b/>
                <w:sz w:val="20"/>
                <w:szCs w:val="20"/>
              </w:rPr>
            </w:pPr>
            <w:r w:rsidRPr="00CB2FFD">
              <w:rPr>
                <w:b/>
                <w:sz w:val="20"/>
                <w:szCs w:val="20"/>
              </w:rPr>
              <w:t xml:space="preserve">  P</w:t>
            </w:r>
            <w:r w:rsidR="0082325C" w:rsidRPr="00CB2FFD">
              <w:rPr>
                <w:b/>
                <w:sz w:val="20"/>
                <w:szCs w:val="20"/>
              </w:rPr>
              <w:t>ercent</w:t>
            </w:r>
            <w:r w:rsidR="00984AB7" w:rsidRPr="00CB2FFD">
              <w:rPr>
                <w:b/>
                <w:sz w:val="20"/>
                <w:szCs w:val="20"/>
              </w:rPr>
              <w:t>age</w:t>
            </w:r>
          </w:p>
        </w:tc>
      </w:tr>
      <w:tr w:rsidR="00984AB7" w:rsidRPr="00CB2FFD" w:rsidTr="008E466E">
        <w:tc>
          <w:tcPr>
            <w:tcW w:w="1800" w:type="dxa"/>
          </w:tcPr>
          <w:p w:rsidR="00984AB7" w:rsidRPr="00CB2FFD" w:rsidRDefault="00984AB7" w:rsidP="00BE1B57">
            <w:pPr>
              <w:pStyle w:val="Header"/>
              <w:tabs>
                <w:tab w:val="clear" w:pos="4320"/>
                <w:tab w:val="clear" w:pos="8640"/>
              </w:tabs>
              <w:rPr>
                <w:sz w:val="20"/>
                <w:szCs w:val="20"/>
              </w:rPr>
            </w:pPr>
            <w:r w:rsidRPr="00CB2FFD">
              <w:rPr>
                <w:sz w:val="20"/>
                <w:szCs w:val="20"/>
              </w:rPr>
              <w:t>City</w:t>
            </w:r>
            <w:r w:rsidRPr="00CB2FFD">
              <w:rPr>
                <w:rStyle w:val="FootnoteReference"/>
                <w:sz w:val="20"/>
                <w:szCs w:val="20"/>
              </w:rPr>
              <w:footnoteReference w:id="2"/>
            </w:r>
          </w:p>
        </w:tc>
        <w:tc>
          <w:tcPr>
            <w:tcW w:w="1620" w:type="dxa"/>
          </w:tcPr>
          <w:p w:rsidR="00984AB7" w:rsidRPr="00CB2FFD" w:rsidRDefault="00336E25" w:rsidP="00BE1B57">
            <w:pPr>
              <w:jc w:val="center"/>
              <w:rPr>
                <w:sz w:val="20"/>
                <w:szCs w:val="20"/>
              </w:rPr>
            </w:pPr>
            <w:r w:rsidRPr="00CB2FFD">
              <w:rPr>
                <w:sz w:val="20"/>
                <w:szCs w:val="20"/>
              </w:rPr>
              <w:t>17</w:t>
            </w:r>
          </w:p>
        </w:tc>
        <w:tc>
          <w:tcPr>
            <w:tcW w:w="1800" w:type="dxa"/>
          </w:tcPr>
          <w:p w:rsidR="00984AB7" w:rsidRPr="00CB2FFD" w:rsidRDefault="008E466E" w:rsidP="002450AE">
            <w:pPr>
              <w:spacing w:line="360" w:lineRule="auto"/>
              <w:jc w:val="center"/>
              <w:rPr>
                <w:sz w:val="20"/>
                <w:szCs w:val="20"/>
              </w:rPr>
            </w:pPr>
            <w:r w:rsidRPr="00CB2FFD">
              <w:rPr>
                <w:sz w:val="20"/>
                <w:szCs w:val="20"/>
              </w:rPr>
              <w:t xml:space="preserve"> </w:t>
            </w:r>
            <w:r w:rsidR="00336E25" w:rsidRPr="00CB2FFD">
              <w:rPr>
                <w:sz w:val="20"/>
                <w:szCs w:val="20"/>
              </w:rPr>
              <w:t>85.0</w:t>
            </w:r>
            <w:r w:rsidR="002450AE" w:rsidRPr="00CB2FFD">
              <w:rPr>
                <w:sz w:val="20"/>
                <w:szCs w:val="20"/>
              </w:rPr>
              <w:t>%</w:t>
            </w:r>
          </w:p>
        </w:tc>
        <w:tc>
          <w:tcPr>
            <w:tcW w:w="1920" w:type="dxa"/>
          </w:tcPr>
          <w:p w:rsidR="00984AB7" w:rsidRPr="00CB2FFD" w:rsidRDefault="003C6F46" w:rsidP="00BE1B57">
            <w:pPr>
              <w:jc w:val="center"/>
              <w:rPr>
                <w:sz w:val="20"/>
                <w:szCs w:val="20"/>
              </w:rPr>
            </w:pPr>
            <w:r w:rsidRPr="00CB2FFD">
              <w:rPr>
                <w:sz w:val="20"/>
                <w:szCs w:val="20"/>
              </w:rPr>
              <w:t>$1</w:t>
            </w:r>
            <w:r w:rsidR="00336E25" w:rsidRPr="00CB2FFD">
              <w:rPr>
                <w:sz w:val="20"/>
                <w:szCs w:val="20"/>
              </w:rPr>
              <w:t>1.1</w:t>
            </w:r>
          </w:p>
        </w:tc>
        <w:tc>
          <w:tcPr>
            <w:tcW w:w="1920" w:type="dxa"/>
          </w:tcPr>
          <w:p w:rsidR="00984AB7" w:rsidRPr="00CB2FFD" w:rsidRDefault="00636796" w:rsidP="002450AE">
            <w:pPr>
              <w:spacing w:line="360" w:lineRule="auto"/>
              <w:jc w:val="center"/>
              <w:rPr>
                <w:sz w:val="20"/>
                <w:szCs w:val="20"/>
              </w:rPr>
            </w:pPr>
            <w:r w:rsidRPr="00CB2FFD">
              <w:rPr>
                <w:sz w:val="20"/>
                <w:szCs w:val="20"/>
              </w:rPr>
              <w:t xml:space="preserve"> </w:t>
            </w:r>
            <w:r w:rsidR="00336E25" w:rsidRPr="00CB2FFD">
              <w:rPr>
                <w:sz w:val="20"/>
                <w:szCs w:val="20"/>
              </w:rPr>
              <w:t>76.9</w:t>
            </w:r>
            <w:r w:rsidR="002450AE" w:rsidRPr="00CB2FFD">
              <w:rPr>
                <w:sz w:val="20"/>
                <w:szCs w:val="20"/>
              </w:rPr>
              <w:t>%</w:t>
            </w:r>
          </w:p>
        </w:tc>
      </w:tr>
      <w:tr w:rsidR="00984AB7" w:rsidRPr="00CB2FFD" w:rsidTr="008E466E">
        <w:tc>
          <w:tcPr>
            <w:tcW w:w="1800" w:type="dxa"/>
          </w:tcPr>
          <w:p w:rsidR="00984AB7" w:rsidRPr="00CB2FFD" w:rsidRDefault="00984AB7" w:rsidP="00BE1B57">
            <w:pPr>
              <w:pStyle w:val="Header"/>
              <w:tabs>
                <w:tab w:val="clear" w:pos="4320"/>
                <w:tab w:val="clear" w:pos="8640"/>
              </w:tabs>
              <w:rPr>
                <w:sz w:val="20"/>
                <w:szCs w:val="20"/>
              </w:rPr>
            </w:pPr>
            <w:r w:rsidRPr="00CB2FFD">
              <w:rPr>
                <w:sz w:val="20"/>
                <w:szCs w:val="20"/>
              </w:rPr>
              <w:t>County</w:t>
            </w:r>
          </w:p>
        </w:tc>
        <w:tc>
          <w:tcPr>
            <w:tcW w:w="1620" w:type="dxa"/>
          </w:tcPr>
          <w:p w:rsidR="00984AB7" w:rsidRPr="00CB2FFD" w:rsidRDefault="00636796" w:rsidP="00BE1B57">
            <w:pPr>
              <w:jc w:val="center"/>
              <w:rPr>
                <w:sz w:val="20"/>
                <w:szCs w:val="20"/>
              </w:rPr>
            </w:pPr>
            <w:r w:rsidRPr="00CB2FFD">
              <w:rPr>
                <w:sz w:val="20"/>
                <w:szCs w:val="20"/>
              </w:rPr>
              <w:t xml:space="preserve">  </w:t>
            </w:r>
            <w:r w:rsidR="004E40F3" w:rsidRPr="00CB2FFD">
              <w:rPr>
                <w:sz w:val="20"/>
                <w:szCs w:val="20"/>
              </w:rPr>
              <w:t>2</w:t>
            </w:r>
          </w:p>
        </w:tc>
        <w:tc>
          <w:tcPr>
            <w:tcW w:w="1800" w:type="dxa"/>
          </w:tcPr>
          <w:p w:rsidR="00984AB7" w:rsidRPr="00CB2FFD" w:rsidRDefault="008E466E" w:rsidP="002450AE">
            <w:pPr>
              <w:spacing w:line="360" w:lineRule="auto"/>
              <w:jc w:val="center"/>
              <w:rPr>
                <w:sz w:val="20"/>
                <w:szCs w:val="20"/>
              </w:rPr>
            </w:pPr>
            <w:r w:rsidRPr="00CB2FFD">
              <w:rPr>
                <w:sz w:val="20"/>
                <w:szCs w:val="20"/>
              </w:rPr>
              <w:t xml:space="preserve"> </w:t>
            </w:r>
            <w:r w:rsidR="00336E25" w:rsidRPr="00CB2FFD">
              <w:rPr>
                <w:sz w:val="20"/>
                <w:szCs w:val="20"/>
              </w:rPr>
              <w:t>10.0</w:t>
            </w:r>
            <w:r w:rsidR="002450AE" w:rsidRPr="00CB2FFD">
              <w:rPr>
                <w:sz w:val="20"/>
                <w:szCs w:val="20"/>
              </w:rPr>
              <w:t>%</w:t>
            </w:r>
          </w:p>
        </w:tc>
        <w:tc>
          <w:tcPr>
            <w:tcW w:w="1920" w:type="dxa"/>
          </w:tcPr>
          <w:p w:rsidR="00984AB7" w:rsidRPr="00CB2FFD" w:rsidRDefault="00336E25" w:rsidP="00BE1B57">
            <w:pPr>
              <w:jc w:val="center"/>
              <w:rPr>
                <w:sz w:val="20"/>
                <w:szCs w:val="20"/>
              </w:rPr>
            </w:pPr>
            <w:r w:rsidRPr="00CB2FFD">
              <w:rPr>
                <w:sz w:val="20"/>
                <w:szCs w:val="20"/>
              </w:rPr>
              <w:t xml:space="preserve">  </w:t>
            </w:r>
            <w:r w:rsidR="003C6F46" w:rsidRPr="00CB2FFD">
              <w:rPr>
                <w:sz w:val="20"/>
                <w:szCs w:val="20"/>
              </w:rPr>
              <w:t>$</w:t>
            </w:r>
            <w:r w:rsidRPr="00CB2FFD">
              <w:rPr>
                <w:sz w:val="20"/>
                <w:szCs w:val="20"/>
              </w:rPr>
              <w:t>1.8</w:t>
            </w:r>
          </w:p>
        </w:tc>
        <w:tc>
          <w:tcPr>
            <w:tcW w:w="1920" w:type="dxa"/>
          </w:tcPr>
          <w:p w:rsidR="00984AB7" w:rsidRPr="00CB2FFD" w:rsidRDefault="00636796" w:rsidP="002450AE">
            <w:pPr>
              <w:spacing w:line="360" w:lineRule="auto"/>
              <w:jc w:val="center"/>
              <w:rPr>
                <w:sz w:val="20"/>
                <w:szCs w:val="20"/>
              </w:rPr>
            </w:pPr>
            <w:r w:rsidRPr="00CB2FFD">
              <w:rPr>
                <w:sz w:val="20"/>
                <w:szCs w:val="20"/>
              </w:rPr>
              <w:t xml:space="preserve">  </w:t>
            </w:r>
            <w:r w:rsidR="00336E25" w:rsidRPr="00CB2FFD">
              <w:rPr>
                <w:sz w:val="20"/>
                <w:szCs w:val="20"/>
              </w:rPr>
              <w:t>12.6</w:t>
            </w:r>
            <w:r w:rsidR="002450AE" w:rsidRPr="00CB2FFD">
              <w:rPr>
                <w:sz w:val="20"/>
                <w:szCs w:val="20"/>
              </w:rPr>
              <w:t>%</w:t>
            </w:r>
          </w:p>
        </w:tc>
      </w:tr>
      <w:tr w:rsidR="003C6F46" w:rsidRPr="00CB2FFD" w:rsidTr="008E466E">
        <w:tc>
          <w:tcPr>
            <w:tcW w:w="1800" w:type="dxa"/>
          </w:tcPr>
          <w:p w:rsidR="003C6F46" w:rsidRPr="00CB2FFD" w:rsidRDefault="003C6F46" w:rsidP="00BE1B57">
            <w:pPr>
              <w:pStyle w:val="Header"/>
              <w:tabs>
                <w:tab w:val="clear" w:pos="4320"/>
                <w:tab w:val="clear" w:pos="8640"/>
              </w:tabs>
              <w:rPr>
                <w:sz w:val="20"/>
                <w:szCs w:val="20"/>
              </w:rPr>
            </w:pPr>
            <w:r w:rsidRPr="00CB2FFD">
              <w:rPr>
                <w:sz w:val="20"/>
                <w:szCs w:val="20"/>
              </w:rPr>
              <w:t>Other</w:t>
            </w:r>
            <w:r w:rsidRPr="00CB2FFD">
              <w:rPr>
                <w:rStyle w:val="FootnoteReference"/>
                <w:sz w:val="20"/>
                <w:szCs w:val="20"/>
              </w:rPr>
              <w:footnoteReference w:id="3"/>
            </w:r>
          </w:p>
        </w:tc>
        <w:tc>
          <w:tcPr>
            <w:tcW w:w="1620" w:type="dxa"/>
          </w:tcPr>
          <w:p w:rsidR="003C6F46" w:rsidRPr="00CB2FFD" w:rsidRDefault="00636796" w:rsidP="00BE1B57">
            <w:pPr>
              <w:jc w:val="center"/>
              <w:rPr>
                <w:sz w:val="20"/>
                <w:szCs w:val="20"/>
              </w:rPr>
            </w:pPr>
            <w:r w:rsidRPr="00CB2FFD">
              <w:rPr>
                <w:sz w:val="20"/>
                <w:szCs w:val="20"/>
              </w:rPr>
              <w:t xml:space="preserve">  </w:t>
            </w:r>
            <w:r w:rsidR="004E40F3" w:rsidRPr="00CB2FFD">
              <w:rPr>
                <w:sz w:val="20"/>
                <w:szCs w:val="20"/>
              </w:rPr>
              <w:t>1</w:t>
            </w:r>
          </w:p>
        </w:tc>
        <w:tc>
          <w:tcPr>
            <w:tcW w:w="1800" w:type="dxa"/>
          </w:tcPr>
          <w:p w:rsidR="003C6F46" w:rsidRPr="00CB2FFD" w:rsidRDefault="008E466E" w:rsidP="002450AE">
            <w:pPr>
              <w:spacing w:line="360" w:lineRule="auto"/>
              <w:jc w:val="center"/>
              <w:rPr>
                <w:sz w:val="20"/>
                <w:szCs w:val="20"/>
              </w:rPr>
            </w:pPr>
            <w:r w:rsidRPr="00CB2FFD">
              <w:rPr>
                <w:sz w:val="20"/>
                <w:szCs w:val="20"/>
              </w:rPr>
              <w:t xml:space="preserve"> </w:t>
            </w:r>
            <w:r w:rsidR="00636796" w:rsidRPr="00CB2FFD">
              <w:rPr>
                <w:sz w:val="20"/>
                <w:szCs w:val="20"/>
              </w:rPr>
              <w:t xml:space="preserve">  </w:t>
            </w:r>
            <w:r w:rsidR="00336E25" w:rsidRPr="00CB2FFD">
              <w:rPr>
                <w:sz w:val="20"/>
                <w:szCs w:val="20"/>
              </w:rPr>
              <w:t>5.0</w:t>
            </w:r>
            <w:r w:rsidR="002450AE" w:rsidRPr="00CB2FFD">
              <w:rPr>
                <w:sz w:val="20"/>
                <w:szCs w:val="20"/>
              </w:rPr>
              <w:t>%</w:t>
            </w:r>
          </w:p>
        </w:tc>
        <w:tc>
          <w:tcPr>
            <w:tcW w:w="1920" w:type="dxa"/>
          </w:tcPr>
          <w:p w:rsidR="003C6F46" w:rsidRPr="00CB2FFD" w:rsidRDefault="00636796" w:rsidP="00BE1B57">
            <w:pPr>
              <w:jc w:val="center"/>
              <w:rPr>
                <w:sz w:val="20"/>
                <w:szCs w:val="20"/>
              </w:rPr>
            </w:pPr>
            <w:r w:rsidRPr="00CB2FFD">
              <w:rPr>
                <w:sz w:val="20"/>
                <w:szCs w:val="20"/>
              </w:rPr>
              <w:t xml:space="preserve">  </w:t>
            </w:r>
            <w:r w:rsidR="00AC6D22" w:rsidRPr="00CB2FFD">
              <w:rPr>
                <w:sz w:val="20"/>
                <w:szCs w:val="20"/>
              </w:rPr>
              <w:t>$</w:t>
            </w:r>
            <w:r w:rsidR="00336E25" w:rsidRPr="00CB2FFD">
              <w:rPr>
                <w:sz w:val="20"/>
                <w:szCs w:val="20"/>
              </w:rPr>
              <w:t>1.5</w:t>
            </w:r>
          </w:p>
        </w:tc>
        <w:tc>
          <w:tcPr>
            <w:tcW w:w="1920" w:type="dxa"/>
          </w:tcPr>
          <w:p w:rsidR="003C6F46" w:rsidRPr="00CB2FFD" w:rsidRDefault="00636796" w:rsidP="002450AE">
            <w:pPr>
              <w:spacing w:line="360" w:lineRule="auto"/>
              <w:jc w:val="center"/>
              <w:rPr>
                <w:sz w:val="20"/>
                <w:szCs w:val="20"/>
              </w:rPr>
            </w:pPr>
            <w:r w:rsidRPr="00CB2FFD">
              <w:rPr>
                <w:sz w:val="20"/>
                <w:szCs w:val="20"/>
              </w:rPr>
              <w:t xml:space="preserve">  </w:t>
            </w:r>
            <w:r w:rsidR="00336E25" w:rsidRPr="00CB2FFD">
              <w:rPr>
                <w:sz w:val="20"/>
                <w:szCs w:val="20"/>
              </w:rPr>
              <w:t>10.4</w:t>
            </w:r>
            <w:r w:rsidR="002450AE" w:rsidRPr="00CB2FFD">
              <w:rPr>
                <w:sz w:val="20"/>
                <w:szCs w:val="20"/>
              </w:rPr>
              <w:t>%</w:t>
            </w:r>
          </w:p>
        </w:tc>
      </w:tr>
      <w:tr w:rsidR="003C6F46" w:rsidRPr="00CB2FFD" w:rsidTr="008E466E">
        <w:tc>
          <w:tcPr>
            <w:tcW w:w="1800" w:type="dxa"/>
          </w:tcPr>
          <w:p w:rsidR="003C6F46" w:rsidRPr="00CB2FFD" w:rsidRDefault="003C6F46" w:rsidP="00BE1B57">
            <w:pPr>
              <w:pStyle w:val="Header"/>
              <w:tabs>
                <w:tab w:val="clear" w:pos="4320"/>
                <w:tab w:val="clear" w:pos="8640"/>
              </w:tabs>
              <w:rPr>
                <w:b/>
                <w:sz w:val="20"/>
                <w:szCs w:val="20"/>
              </w:rPr>
            </w:pPr>
            <w:r w:rsidRPr="00CB2FFD">
              <w:rPr>
                <w:b/>
                <w:sz w:val="20"/>
                <w:szCs w:val="20"/>
              </w:rPr>
              <w:t>Total</w:t>
            </w:r>
          </w:p>
        </w:tc>
        <w:tc>
          <w:tcPr>
            <w:tcW w:w="1620" w:type="dxa"/>
          </w:tcPr>
          <w:p w:rsidR="003C6F46" w:rsidRPr="00CB2FFD" w:rsidRDefault="00336E25" w:rsidP="00BE1B57">
            <w:pPr>
              <w:jc w:val="center"/>
              <w:rPr>
                <w:b/>
                <w:sz w:val="20"/>
                <w:szCs w:val="20"/>
              </w:rPr>
            </w:pPr>
            <w:r w:rsidRPr="00CB2FFD">
              <w:rPr>
                <w:b/>
                <w:sz w:val="20"/>
                <w:szCs w:val="20"/>
              </w:rPr>
              <w:t>20</w:t>
            </w:r>
          </w:p>
        </w:tc>
        <w:tc>
          <w:tcPr>
            <w:tcW w:w="1800" w:type="dxa"/>
          </w:tcPr>
          <w:p w:rsidR="003C6F46" w:rsidRPr="00CB2FFD" w:rsidRDefault="003C6F46" w:rsidP="002450AE">
            <w:pPr>
              <w:spacing w:line="360" w:lineRule="auto"/>
              <w:jc w:val="center"/>
              <w:rPr>
                <w:b/>
                <w:sz w:val="20"/>
                <w:szCs w:val="20"/>
              </w:rPr>
            </w:pPr>
            <w:r w:rsidRPr="00CB2FFD">
              <w:rPr>
                <w:b/>
                <w:sz w:val="20"/>
                <w:szCs w:val="20"/>
              </w:rPr>
              <w:t>100.0</w:t>
            </w:r>
            <w:r w:rsidR="002450AE" w:rsidRPr="00CB2FFD">
              <w:rPr>
                <w:b/>
                <w:sz w:val="20"/>
                <w:szCs w:val="20"/>
              </w:rPr>
              <w:t>%</w:t>
            </w:r>
          </w:p>
        </w:tc>
        <w:tc>
          <w:tcPr>
            <w:tcW w:w="1920" w:type="dxa"/>
          </w:tcPr>
          <w:p w:rsidR="003C6F46" w:rsidRPr="00CB2FFD" w:rsidRDefault="003C6F46" w:rsidP="00BE1B57">
            <w:pPr>
              <w:jc w:val="center"/>
              <w:rPr>
                <w:b/>
                <w:sz w:val="20"/>
                <w:szCs w:val="20"/>
              </w:rPr>
            </w:pPr>
            <w:r w:rsidRPr="00CB2FFD">
              <w:rPr>
                <w:b/>
                <w:sz w:val="20"/>
                <w:szCs w:val="20"/>
              </w:rPr>
              <w:t>$</w:t>
            </w:r>
            <w:r w:rsidR="004E40F3" w:rsidRPr="00CB2FFD">
              <w:rPr>
                <w:b/>
                <w:sz w:val="20"/>
                <w:szCs w:val="20"/>
              </w:rPr>
              <w:t>1</w:t>
            </w:r>
            <w:r w:rsidR="00336E25" w:rsidRPr="00CB2FFD">
              <w:rPr>
                <w:b/>
                <w:sz w:val="20"/>
                <w:szCs w:val="20"/>
              </w:rPr>
              <w:t>4.4</w:t>
            </w:r>
          </w:p>
        </w:tc>
        <w:tc>
          <w:tcPr>
            <w:tcW w:w="1920" w:type="dxa"/>
          </w:tcPr>
          <w:p w:rsidR="003C6F46" w:rsidRPr="00CB2FFD" w:rsidRDefault="003C6F46" w:rsidP="002450AE">
            <w:pPr>
              <w:spacing w:line="360" w:lineRule="auto"/>
              <w:jc w:val="center"/>
              <w:rPr>
                <w:b/>
                <w:sz w:val="20"/>
                <w:szCs w:val="20"/>
              </w:rPr>
            </w:pPr>
            <w:r w:rsidRPr="00CB2FFD">
              <w:rPr>
                <w:b/>
                <w:sz w:val="20"/>
                <w:szCs w:val="20"/>
              </w:rPr>
              <w:t>100.0</w:t>
            </w:r>
            <w:r w:rsidR="002450AE" w:rsidRPr="00CB2FFD">
              <w:rPr>
                <w:b/>
                <w:sz w:val="20"/>
                <w:szCs w:val="20"/>
              </w:rPr>
              <w:t>%</w:t>
            </w:r>
          </w:p>
        </w:tc>
      </w:tr>
    </w:tbl>
    <w:p w:rsidR="0034310A" w:rsidRDefault="0034310A" w:rsidP="00404DA1"/>
    <w:p w:rsidR="00404DA1" w:rsidRDefault="00336E25" w:rsidP="00404DA1">
      <w:r>
        <w:t>Of the $14.4</w:t>
      </w:r>
      <w:r w:rsidR="00404DA1">
        <w:t xml:space="preserve"> million in business subsidies reported on the MBAF, c</w:t>
      </w:r>
      <w:r>
        <w:t>ity agencies accounted for $11.1 million (76.9</w:t>
      </w:r>
      <w:r w:rsidR="00222C83">
        <w:t xml:space="preserve"> </w:t>
      </w:r>
      <w:r w:rsidR="0082325C">
        <w:t>percent</w:t>
      </w:r>
      <w:r w:rsidR="00404DA1">
        <w:t>)</w:t>
      </w:r>
      <w:r>
        <w:t xml:space="preserve">, </w:t>
      </w:r>
      <w:r w:rsidR="002A7698">
        <w:t>co</w:t>
      </w:r>
      <w:r>
        <w:t>unty agencies accounted for $1.8 million (12.6</w:t>
      </w:r>
      <w:r w:rsidR="00222C83">
        <w:t xml:space="preserve"> </w:t>
      </w:r>
      <w:r w:rsidR="0082325C">
        <w:t>percent</w:t>
      </w:r>
      <w:r w:rsidR="002A7698">
        <w:t xml:space="preserve">), and an agency </w:t>
      </w:r>
      <w:r w:rsidR="000460D4">
        <w:t xml:space="preserve">in the </w:t>
      </w:r>
      <w:r w:rsidR="002A7698">
        <w:t>ot</w:t>
      </w:r>
      <w:r w:rsidR="000460D4">
        <w:t>her</w:t>
      </w:r>
      <w:r>
        <w:t xml:space="preserve"> category accounted for $1.5 million (10.4</w:t>
      </w:r>
      <w:r w:rsidR="00222C83">
        <w:t xml:space="preserve"> </w:t>
      </w:r>
      <w:r w:rsidR="0082325C">
        <w:t>percent</w:t>
      </w:r>
      <w:r w:rsidR="002A7698">
        <w:t>).</w:t>
      </w:r>
    </w:p>
    <w:p w:rsidR="00D961FD" w:rsidRDefault="00D961FD" w:rsidP="00404DA1">
      <w:pPr>
        <w:rPr>
          <w:b/>
          <w:i/>
        </w:rPr>
      </w:pPr>
    </w:p>
    <w:p w:rsidR="00404DA1" w:rsidRPr="00C87982" w:rsidRDefault="00404DA1" w:rsidP="00404DA1">
      <w:pPr>
        <w:rPr>
          <w:b/>
          <w:i/>
        </w:rPr>
      </w:pPr>
      <w:r w:rsidRPr="00E24070">
        <w:rPr>
          <w:b/>
          <w:i/>
        </w:rPr>
        <w:t>Regional Distribution of Assistance Agreements</w:t>
      </w:r>
    </w:p>
    <w:p w:rsidR="000F1841" w:rsidRDefault="00E24070" w:rsidP="0082325C">
      <w:r>
        <w:t xml:space="preserve">The Twin Cities, </w:t>
      </w:r>
      <w:r w:rsidR="00404DA1">
        <w:t xml:space="preserve">Central </w:t>
      </w:r>
      <w:r>
        <w:t xml:space="preserve">and Southwest </w:t>
      </w:r>
      <w:r w:rsidR="00404DA1">
        <w:t>regions accounted for the most busi</w:t>
      </w:r>
      <w:r>
        <w:t>ness assistance reported in 2014.  As Table 4 shows, of the 20</w:t>
      </w:r>
      <w:r w:rsidR="00404DA1">
        <w:t xml:space="preserve"> business assistance agreements reported</w:t>
      </w:r>
      <w:r>
        <w:t xml:space="preserve"> in 2014</w:t>
      </w:r>
      <w:r w:rsidR="00404DA1">
        <w:t>, the Twi</w:t>
      </w:r>
      <w:r>
        <w:t>n Cities region accounted for seven agreements (35.0</w:t>
      </w:r>
      <w:r w:rsidR="00D961FD">
        <w:t xml:space="preserve"> </w:t>
      </w:r>
      <w:r w:rsidR="0082325C">
        <w:t>percent</w:t>
      </w:r>
      <w:r w:rsidR="000460D4">
        <w:t>);</w:t>
      </w:r>
      <w:r>
        <w:t xml:space="preserve"> Central </w:t>
      </w:r>
      <w:r w:rsidR="000460D4">
        <w:t xml:space="preserve">region </w:t>
      </w:r>
      <w:r>
        <w:t>for six agreements (30.0</w:t>
      </w:r>
      <w:r w:rsidR="00D961FD">
        <w:t xml:space="preserve"> </w:t>
      </w:r>
      <w:r w:rsidR="0082325C">
        <w:t>percent</w:t>
      </w:r>
      <w:r w:rsidR="000460D4">
        <w:t>);</w:t>
      </w:r>
      <w:r w:rsidR="00404DA1">
        <w:t xml:space="preserve"> </w:t>
      </w:r>
      <w:r>
        <w:t xml:space="preserve">Southwest </w:t>
      </w:r>
      <w:r w:rsidR="000460D4">
        <w:t xml:space="preserve">region </w:t>
      </w:r>
      <w:r>
        <w:t>for six agreements (30.0</w:t>
      </w:r>
      <w:r w:rsidR="00D961FD">
        <w:t xml:space="preserve"> </w:t>
      </w:r>
      <w:r w:rsidR="0082325C">
        <w:t>percent</w:t>
      </w:r>
      <w:r>
        <w:t>)</w:t>
      </w:r>
      <w:r w:rsidR="000460D4">
        <w:t>;</w:t>
      </w:r>
      <w:r>
        <w:t xml:space="preserve"> and </w:t>
      </w:r>
      <w:r w:rsidR="00404DA1">
        <w:t>Southeas</w:t>
      </w:r>
      <w:r>
        <w:t xml:space="preserve">t </w:t>
      </w:r>
      <w:r w:rsidR="000460D4">
        <w:t xml:space="preserve">region </w:t>
      </w:r>
      <w:r>
        <w:t>for one agreement (5.0</w:t>
      </w:r>
      <w:r w:rsidR="00D961FD">
        <w:t xml:space="preserve"> </w:t>
      </w:r>
      <w:r w:rsidR="0082325C">
        <w:t>percent</w:t>
      </w:r>
      <w:r>
        <w:t>).</w:t>
      </w:r>
    </w:p>
    <w:p w:rsidR="000F1841" w:rsidRDefault="000F1841">
      <w:r>
        <w:br w:type="page"/>
      </w:r>
    </w:p>
    <w:p w:rsidR="000F1841" w:rsidRDefault="000F1841" w:rsidP="000F1841">
      <w:r>
        <w:rPr>
          <w:b/>
          <w:i/>
          <w:u w:val="single"/>
        </w:rPr>
        <w:lastRenderedPageBreak/>
        <w:t>Page 12                                                                      2014 Minnesota Business Assistance Report</w:t>
      </w:r>
    </w:p>
    <w:p w:rsidR="00D50CD0" w:rsidRDefault="00D50CD0" w:rsidP="0082325C"/>
    <w:p w:rsidR="00C305FD" w:rsidRDefault="00C305FD" w:rsidP="0082325C"/>
    <w:p w:rsidR="009A0EE1" w:rsidRPr="00CB2FFD" w:rsidRDefault="009A0EE1" w:rsidP="009A0EE1">
      <w:pPr>
        <w:jc w:val="center"/>
        <w:rPr>
          <w:sz w:val="20"/>
          <w:szCs w:val="20"/>
        </w:rPr>
      </w:pPr>
      <w:r w:rsidRPr="00CB2FFD">
        <w:rPr>
          <w:sz w:val="20"/>
          <w:szCs w:val="20"/>
        </w:rPr>
        <w:t>TABLE 4</w:t>
      </w:r>
    </w:p>
    <w:p w:rsidR="009A0EE1" w:rsidRPr="00CB2FFD" w:rsidRDefault="009A0EE1" w:rsidP="009A0EE1">
      <w:pPr>
        <w:jc w:val="center"/>
        <w:rPr>
          <w:sz w:val="20"/>
          <w:szCs w:val="20"/>
        </w:rPr>
      </w:pPr>
      <w:r w:rsidRPr="00CB2FFD">
        <w:rPr>
          <w:sz w:val="20"/>
          <w:szCs w:val="20"/>
        </w:rPr>
        <w:t xml:space="preserve">Regional Distribution of Non-JOBZ Business Assistance Agreements </w:t>
      </w:r>
    </w:p>
    <w:p w:rsidR="009A0EE1" w:rsidRPr="00CB2FFD" w:rsidRDefault="008D6AF1" w:rsidP="009A0EE1">
      <w:pPr>
        <w:jc w:val="center"/>
        <w:rPr>
          <w:sz w:val="20"/>
          <w:szCs w:val="20"/>
        </w:rPr>
      </w:pPr>
      <w:r w:rsidRPr="00CB2FFD">
        <w:rPr>
          <w:sz w:val="20"/>
          <w:szCs w:val="20"/>
        </w:rPr>
        <w:t>Reached Between January 1, 2013 and December 31, 2013</w:t>
      </w:r>
    </w:p>
    <w:p w:rsidR="009A0EE1" w:rsidRPr="00CB2FFD" w:rsidRDefault="009A0EE1" w:rsidP="009A0EE1">
      <w:pPr>
        <w:rPr>
          <w:sz w:val="20"/>
          <w:szCs w:val="20"/>
        </w:rPr>
      </w:pPr>
    </w:p>
    <w:tbl>
      <w:tblPr>
        <w:tblW w:w="83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60"/>
        <w:gridCol w:w="1605"/>
        <w:gridCol w:w="1875"/>
        <w:gridCol w:w="1667"/>
      </w:tblGrid>
      <w:tr w:rsidR="009A0EE1" w:rsidRPr="00CB2FFD">
        <w:tc>
          <w:tcPr>
            <w:tcW w:w="1680" w:type="dxa"/>
            <w:vAlign w:val="center"/>
          </w:tcPr>
          <w:p w:rsidR="009A0EE1" w:rsidRPr="00CB2FFD" w:rsidRDefault="009A0EE1" w:rsidP="00CE275B">
            <w:pPr>
              <w:pStyle w:val="Header"/>
              <w:tabs>
                <w:tab w:val="clear" w:pos="4320"/>
                <w:tab w:val="clear" w:pos="8640"/>
              </w:tabs>
              <w:jc w:val="center"/>
              <w:rPr>
                <w:b/>
                <w:sz w:val="20"/>
                <w:szCs w:val="20"/>
              </w:rPr>
            </w:pPr>
            <w:r w:rsidRPr="00CB2FFD">
              <w:rPr>
                <w:b/>
                <w:sz w:val="20"/>
                <w:szCs w:val="20"/>
              </w:rPr>
              <w:t>Region</w:t>
            </w:r>
          </w:p>
        </w:tc>
        <w:tc>
          <w:tcPr>
            <w:tcW w:w="1560" w:type="dxa"/>
            <w:vAlign w:val="center"/>
          </w:tcPr>
          <w:p w:rsidR="009A0EE1" w:rsidRPr="00CB2FFD" w:rsidRDefault="009A0EE1" w:rsidP="00CE275B">
            <w:pPr>
              <w:pStyle w:val="Header"/>
              <w:tabs>
                <w:tab w:val="clear" w:pos="4320"/>
                <w:tab w:val="clear" w:pos="8640"/>
              </w:tabs>
              <w:jc w:val="center"/>
              <w:rPr>
                <w:b/>
                <w:sz w:val="20"/>
                <w:szCs w:val="20"/>
              </w:rPr>
            </w:pPr>
            <w:r w:rsidRPr="00CB2FFD">
              <w:rPr>
                <w:b/>
                <w:sz w:val="20"/>
                <w:szCs w:val="20"/>
              </w:rPr>
              <w:t>Quantity</w:t>
            </w:r>
          </w:p>
        </w:tc>
        <w:tc>
          <w:tcPr>
            <w:tcW w:w="1605" w:type="dxa"/>
            <w:vAlign w:val="center"/>
          </w:tcPr>
          <w:p w:rsidR="009A0EE1" w:rsidRPr="00CB2FFD" w:rsidRDefault="00006EA9" w:rsidP="00CE275B">
            <w:pPr>
              <w:pStyle w:val="Header"/>
              <w:tabs>
                <w:tab w:val="clear" w:pos="4320"/>
                <w:tab w:val="clear" w:pos="8640"/>
              </w:tabs>
              <w:jc w:val="center"/>
              <w:rPr>
                <w:b/>
                <w:sz w:val="20"/>
                <w:szCs w:val="20"/>
              </w:rPr>
            </w:pPr>
            <w:r w:rsidRPr="00CB2FFD">
              <w:rPr>
                <w:b/>
                <w:sz w:val="20"/>
                <w:szCs w:val="20"/>
              </w:rPr>
              <w:t xml:space="preserve">  P</w:t>
            </w:r>
            <w:r w:rsidR="0082325C" w:rsidRPr="00CB2FFD">
              <w:rPr>
                <w:b/>
                <w:sz w:val="20"/>
                <w:szCs w:val="20"/>
              </w:rPr>
              <w:t>ercent</w:t>
            </w:r>
            <w:r w:rsidR="009A0EE1" w:rsidRPr="00CB2FFD">
              <w:rPr>
                <w:b/>
                <w:sz w:val="20"/>
                <w:szCs w:val="20"/>
              </w:rPr>
              <w:t>age</w:t>
            </w:r>
          </w:p>
        </w:tc>
        <w:tc>
          <w:tcPr>
            <w:tcW w:w="1875" w:type="dxa"/>
          </w:tcPr>
          <w:p w:rsidR="009A0EE1" w:rsidRPr="00CB2FFD" w:rsidRDefault="009A0EE1" w:rsidP="00CE275B">
            <w:pPr>
              <w:pStyle w:val="Header"/>
              <w:tabs>
                <w:tab w:val="clear" w:pos="4320"/>
                <w:tab w:val="clear" w:pos="8640"/>
              </w:tabs>
              <w:jc w:val="center"/>
              <w:rPr>
                <w:b/>
                <w:sz w:val="20"/>
                <w:szCs w:val="20"/>
              </w:rPr>
            </w:pPr>
            <w:r w:rsidRPr="00CB2FFD">
              <w:rPr>
                <w:b/>
                <w:sz w:val="20"/>
                <w:szCs w:val="20"/>
              </w:rPr>
              <w:t>Dollar Amount</w:t>
            </w:r>
          </w:p>
          <w:p w:rsidR="009A0EE1" w:rsidRPr="00CB2FFD" w:rsidRDefault="009A0EE1" w:rsidP="00CE275B">
            <w:pPr>
              <w:pStyle w:val="Header"/>
              <w:tabs>
                <w:tab w:val="clear" w:pos="4320"/>
                <w:tab w:val="clear" w:pos="8640"/>
              </w:tabs>
              <w:jc w:val="center"/>
              <w:rPr>
                <w:sz w:val="20"/>
                <w:szCs w:val="20"/>
              </w:rPr>
            </w:pPr>
            <w:r w:rsidRPr="00CB2FFD">
              <w:rPr>
                <w:sz w:val="20"/>
                <w:szCs w:val="20"/>
              </w:rPr>
              <w:t>(in millions)</w:t>
            </w:r>
          </w:p>
        </w:tc>
        <w:tc>
          <w:tcPr>
            <w:tcW w:w="1667" w:type="dxa"/>
            <w:vAlign w:val="center"/>
          </w:tcPr>
          <w:p w:rsidR="009A0EE1" w:rsidRPr="00CB2FFD" w:rsidRDefault="00006EA9" w:rsidP="00CE275B">
            <w:pPr>
              <w:pStyle w:val="Header"/>
              <w:tabs>
                <w:tab w:val="clear" w:pos="4320"/>
                <w:tab w:val="clear" w:pos="8640"/>
              </w:tabs>
              <w:jc w:val="center"/>
              <w:rPr>
                <w:b/>
                <w:sz w:val="20"/>
                <w:szCs w:val="20"/>
              </w:rPr>
            </w:pPr>
            <w:r w:rsidRPr="00CB2FFD">
              <w:rPr>
                <w:b/>
                <w:sz w:val="20"/>
                <w:szCs w:val="20"/>
              </w:rPr>
              <w:t xml:space="preserve">  P</w:t>
            </w:r>
            <w:r w:rsidR="0082325C" w:rsidRPr="00CB2FFD">
              <w:rPr>
                <w:b/>
                <w:sz w:val="20"/>
                <w:szCs w:val="20"/>
              </w:rPr>
              <w:t>ercent</w:t>
            </w:r>
            <w:r w:rsidR="009A0EE1" w:rsidRPr="00CB2FFD">
              <w:rPr>
                <w:b/>
                <w:sz w:val="20"/>
                <w:szCs w:val="20"/>
              </w:rPr>
              <w:t>age</w:t>
            </w:r>
          </w:p>
        </w:tc>
      </w:tr>
      <w:tr w:rsidR="009A0EE1" w:rsidRPr="00CB2FFD">
        <w:tc>
          <w:tcPr>
            <w:tcW w:w="1680" w:type="dxa"/>
          </w:tcPr>
          <w:p w:rsidR="009A0EE1" w:rsidRPr="00CB2FFD" w:rsidRDefault="00B54948" w:rsidP="00CE275B">
            <w:pPr>
              <w:pStyle w:val="Header"/>
              <w:tabs>
                <w:tab w:val="clear" w:pos="4320"/>
                <w:tab w:val="clear" w:pos="8640"/>
              </w:tabs>
              <w:rPr>
                <w:sz w:val="20"/>
                <w:szCs w:val="20"/>
              </w:rPr>
            </w:pPr>
            <w:r w:rsidRPr="00CB2FFD">
              <w:rPr>
                <w:sz w:val="20"/>
                <w:szCs w:val="20"/>
              </w:rPr>
              <w:t>Twin Cities</w:t>
            </w:r>
          </w:p>
        </w:tc>
        <w:tc>
          <w:tcPr>
            <w:tcW w:w="1560" w:type="dxa"/>
          </w:tcPr>
          <w:p w:rsidR="009A0EE1" w:rsidRPr="00CB2FFD" w:rsidRDefault="00E24070" w:rsidP="00CE275B">
            <w:pPr>
              <w:pStyle w:val="Header"/>
              <w:tabs>
                <w:tab w:val="clear" w:pos="4320"/>
                <w:tab w:val="clear" w:pos="8640"/>
              </w:tabs>
              <w:jc w:val="center"/>
              <w:rPr>
                <w:sz w:val="20"/>
                <w:szCs w:val="20"/>
              </w:rPr>
            </w:pPr>
            <w:r w:rsidRPr="00CB2FFD">
              <w:rPr>
                <w:sz w:val="20"/>
                <w:szCs w:val="20"/>
              </w:rPr>
              <w:t xml:space="preserve">  7</w:t>
            </w:r>
          </w:p>
        </w:tc>
        <w:tc>
          <w:tcPr>
            <w:tcW w:w="1605"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35.0</w:t>
            </w:r>
            <w:r w:rsidR="002450AE" w:rsidRPr="00CB2FFD">
              <w:rPr>
                <w:sz w:val="20"/>
                <w:szCs w:val="20"/>
              </w:rPr>
              <w:t>%</w:t>
            </w:r>
          </w:p>
        </w:tc>
        <w:tc>
          <w:tcPr>
            <w:tcW w:w="1875"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825204" w:rsidRPr="00CB2FFD">
              <w:rPr>
                <w:sz w:val="20"/>
                <w:szCs w:val="20"/>
              </w:rPr>
              <w:t>$</w:t>
            </w:r>
            <w:r w:rsidR="00E24070" w:rsidRPr="00CB2FFD">
              <w:rPr>
                <w:sz w:val="20"/>
                <w:szCs w:val="20"/>
              </w:rPr>
              <w:t>6.0</w:t>
            </w:r>
          </w:p>
        </w:tc>
        <w:tc>
          <w:tcPr>
            <w:tcW w:w="1667"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41.8</w:t>
            </w:r>
            <w:r w:rsidR="002450AE" w:rsidRPr="00CB2FFD">
              <w:rPr>
                <w:sz w:val="20"/>
                <w:szCs w:val="20"/>
              </w:rPr>
              <w:t>%</w:t>
            </w:r>
          </w:p>
        </w:tc>
      </w:tr>
      <w:tr w:rsidR="009A0EE1" w:rsidRPr="00CB2FFD">
        <w:tc>
          <w:tcPr>
            <w:tcW w:w="1680" w:type="dxa"/>
          </w:tcPr>
          <w:p w:rsidR="009A0EE1" w:rsidRPr="00CB2FFD" w:rsidRDefault="00B54948" w:rsidP="00CE275B">
            <w:pPr>
              <w:pStyle w:val="Header"/>
              <w:tabs>
                <w:tab w:val="clear" w:pos="4320"/>
                <w:tab w:val="clear" w:pos="8640"/>
              </w:tabs>
              <w:rPr>
                <w:sz w:val="20"/>
                <w:szCs w:val="20"/>
              </w:rPr>
            </w:pPr>
            <w:r w:rsidRPr="00CB2FFD">
              <w:rPr>
                <w:sz w:val="20"/>
                <w:szCs w:val="20"/>
              </w:rPr>
              <w:t>Central</w:t>
            </w:r>
          </w:p>
        </w:tc>
        <w:tc>
          <w:tcPr>
            <w:tcW w:w="1560"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E24070" w:rsidRPr="00CB2FFD">
              <w:rPr>
                <w:sz w:val="20"/>
                <w:szCs w:val="20"/>
              </w:rPr>
              <w:t>6</w:t>
            </w:r>
          </w:p>
        </w:tc>
        <w:tc>
          <w:tcPr>
            <w:tcW w:w="1605"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30.0</w:t>
            </w:r>
            <w:r w:rsidR="002450AE" w:rsidRPr="00CB2FFD">
              <w:rPr>
                <w:sz w:val="20"/>
                <w:szCs w:val="20"/>
              </w:rPr>
              <w:t>%</w:t>
            </w:r>
          </w:p>
        </w:tc>
        <w:tc>
          <w:tcPr>
            <w:tcW w:w="1875"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825204" w:rsidRPr="00CB2FFD">
              <w:rPr>
                <w:sz w:val="20"/>
                <w:szCs w:val="20"/>
              </w:rPr>
              <w:t>$</w:t>
            </w:r>
            <w:r w:rsidR="00E24070" w:rsidRPr="00CB2FFD">
              <w:rPr>
                <w:sz w:val="20"/>
                <w:szCs w:val="20"/>
              </w:rPr>
              <w:t>2.7</w:t>
            </w:r>
          </w:p>
        </w:tc>
        <w:tc>
          <w:tcPr>
            <w:tcW w:w="1667"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18</w:t>
            </w:r>
            <w:r w:rsidR="004701D2" w:rsidRPr="00CB2FFD">
              <w:rPr>
                <w:sz w:val="20"/>
                <w:szCs w:val="20"/>
              </w:rPr>
              <w:t>.5</w:t>
            </w:r>
            <w:r w:rsidR="002450AE" w:rsidRPr="00CB2FFD">
              <w:rPr>
                <w:sz w:val="20"/>
                <w:szCs w:val="20"/>
              </w:rPr>
              <w:t>%</w:t>
            </w:r>
          </w:p>
        </w:tc>
      </w:tr>
      <w:tr w:rsidR="009A0EE1" w:rsidRPr="00CB2FFD">
        <w:tc>
          <w:tcPr>
            <w:tcW w:w="1680" w:type="dxa"/>
          </w:tcPr>
          <w:p w:rsidR="009A0EE1" w:rsidRPr="00CB2FFD" w:rsidRDefault="00E24070" w:rsidP="00CE275B">
            <w:pPr>
              <w:pStyle w:val="Header"/>
              <w:tabs>
                <w:tab w:val="clear" w:pos="4320"/>
                <w:tab w:val="clear" w:pos="8640"/>
              </w:tabs>
              <w:rPr>
                <w:sz w:val="20"/>
                <w:szCs w:val="20"/>
              </w:rPr>
            </w:pPr>
            <w:r w:rsidRPr="00CB2FFD">
              <w:rPr>
                <w:sz w:val="20"/>
                <w:szCs w:val="20"/>
              </w:rPr>
              <w:t>Southwest</w:t>
            </w:r>
          </w:p>
        </w:tc>
        <w:tc>
          <w:tcPr>
            <w:tcW w:w="1560"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B54948" w:rsidRPr="00CB2FFD">
              <w:rPr>
                <w:sz w:val="20"/>
                <w:szCs w:val="20"/>
              </w:rPr>
              <w:t>6</w:t>
            </w:r>
          </w:p>
        </w:tc>
        <w:tc>
          <w:tcPr>
            <w:tcW w:w="1605"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30.0</w:t>
            </w:r>
            <w:r w:rsidR="002450AE" w:rsidRPr="00CB2FFD">
              <w:rPr>
                <w:sz w:val="20"/>
                <w:szCs w:val="20"/>
              </w:rPr>
              <w:t>%</w:t>
            </w:r>
          </w:p>
        </w:tc>
        <w:tc>
          <w:tcPr>
            <w:tcW w:w="1875"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825204" w:rsidRPr="00CB2FFD">
              <w:rPr>
                <w:sz w:val="20"/>
                <w:szCs w:val="20"/>
              </w:rPr>
              <w:t>$</w:t>
            </w:r>
            <w:r w:rsidR="00E24070" w:rsidRPr="00CB2FFD">
              <w:rPr>
                <w:sz w:val="20"/>
                <w:szCs w:val="20"/>
              </w:rPr>
              <w:t>4.7</w:t>
            </w:r>
          </w:p>
        </w:tc>
        <w:tc>
          <w:tcPr>
            <w:tcW w:w="1667"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32.6</w:t>
            </w:r>
            <w:r w:rsidR="002450AE" w:rsidRPr="00CB2FFD">
              <w:rPr>
                <w:sz w:val="20"/>
                <w:szCs w:val="20"/>
              </w:rPr>
              <w:t>%</w:t>
            </w:r>
          </w:p>
        </w:tc>
      </w:tr>
      <w:tr w:rsidR="009A0EE1" w:rsidRPr="00CB2FFD" w:rsidTr="007550C2">
        <w:tc>
          <w:tcPr>
            <w:tcW w:w="1680" w:type="dxa"/>
          </w:tcPr>
          <w:p w:rsidR="009A0EE1" w:rsidRPr="00CB2FFD" w:rsidRDefault="00B54948" w:rsidP="00CE275B">
            <w:pPr>
              <w:pStyle w:val="Header"/>
              <w:tabs>
                <w:tab w:val="clear" w:pos="4320"/>
                <w:tab w:val="clear" w:pos="8640"/>
              </w:tabs>
              <w:rPr>
                <w:sz w:val="20"/>
                <w:szCs w:val="20"/>
              </w:rPr>
            </w:pPr>
            <w:r w:rsidRPr="00CB2FFD">
              <w:rPr>
                <w:sz w:val="20"/>
                <w:szCs w:val="20"/>
              </w:rPr>
              <w:t>Southeast</w:t>
            </w:r>
          </w:p>
        </w:tc>
        <w:tc>
          <w:tcPr>
            <w:tcW w:w="1560"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E24070" w:rsidRPr="00CB2FFD">
              <w:rPr>
                <w:sz w:val="20"/>
                <w:szCs w:val="20"/>
              </w:rPr>
              <w:t>1</w:t>
            </w:r>
          </w:p>
        </w:tc>
        <w:tc>
          <w:tcPr>
            <w:tcW w:w="1605" w:type="dxa"/>
            <w:vAlign w:val="center"/>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5.0</w:t>
            </w:r>
            <w:r w:rsidR="002450AE" w:rsidRPr="00CB2FFD">
              <w:rPr>
                <w:sz w:val="20"/>
                <w:szCs w:val="20"/>
              </w:rPr>
              <w:t>%</w:t>
            </w:r>
          </w:p>
        </w:tc>
        <w:tc>
          <w:tcPr>
            <w:tcW w:w="1875" w:type="dxa"/>
          </w:tcPr>
          <w:p w:rsidR="009A0EE1" w:rsidRPr="00CB2FFD" w:rsidRDefault="00CD0553" w:rsidP="00CE275B">
            <w:pPr>
              <w:pStyle w:val="Header"/>
              <w:tabs>
                <w:tab w:val="clear" w:pos="4320"/>
                <w:tab w:val="clear" w:pos="8640"/>
              </w:tabs>
              <w:jc w:val="center"/>
              <w:rPr>
                <w:sz w:val="20"/>
                <w:szCs w:val="20"/>
              </w:rPr>
            </w:pPr>
            <w:r w:rsidRPr="00CB2FFD">
              <w:rPr>
                <w:sz w:val="20"/>
                <w:szCs w:val="20"/>
              </w:rPr>
              <w:t xml:space="preserve">  </w:t>
            </w:r>
            <w:r w:rsidR="00825204" w:rsidRPr="00CB2FFD">
              <w:rPr>
                <w:sz w:val="20"/>
                <w:szCs w:val="20"/>
              </w:rPr>
              <w:t>$1.</w:t>
            </w:r>
            <w:r w:rsidR="00E24070" w:rsidRPr="00CB2FFD">
              <w:rPr>
                <w:sz w:val="20"/>
                <w:szCs w:val="20"/>
              </w:rPr>
              <w:t>0</w:t>
            </w:r>
          </w:p>
        </w:tc>
        <w:tc>
          <w:tcPr>
            <w:tcW w:w="1667" w:type="dxa"/>
          </w:tcPr>
          <w:p w:rsidR="009A0EE1" w:rsidRPr="00CB2FFD" w:rsidRDefault="00CD0553" w:rsidP="002450AE">
            <w:pPr>
              <w:pStyle w:val="Header"/>
              <w:tabs>
                <w:tab w:val="clear" w:pos="4320"/>
                <w:tab w:val="clear" w:pos="8640"/>
              </w:tabs>
              <w:spacing w:line="360" w:lineRule="auto"/>
              <w:jc w:val="center"/>
              <w:rPr>
                <w:sz w:val="20"/>
                <w:szCs w:val="20"/>
              </w:rPr>
            </w:pPr>
            <w:r w:rsidRPr="00CB2FFD">
              <w:rPr>
                <w:sz w:val="20"/>
                <w:szCs w:val="20"/>
              </w:rPr>
              <w:t xml:space="preserve">   </w:t>
            </w:r>
            <w:r w:rsidR="00E24070" w:rsidRPr="00CB2FFD">
              <w:rPr>
                <w:sz w:val="20"/>
                <w:szCs w:val="20"/>
              </w:rPr>
              <w:t>7.0</w:t>
            </w:r>
            <w:r w:rsidR="002450AE" w:rsidRPr="00CB2FFD">
              <w:rPr>
                <w:sz w:val="20"/>
                <w:szCs w:val="20"/>
              </w:rPr>
              <w:t>%</w:t>
            </w:r>
          </w:p>
        </w:tc>
      </w:tr>
      <w:tr w:rsidR="009A0EE1" w:rsidRPr="00CB2FFD">
        <w:tc>
          <w:tcPr>
            <w:tcW w:w="1680" w:type="dxa"/>
          </w:tcPr>
          <w:p w:rsidR="009A0EE1" w:rsidRPr="00CB2FFD" w:rsidRDefault="009A0EE1" w:rsidP="00CE275B">
            <w:pPr>
              <w:pStyle w:val="Header"/>
              <w:tabs>
                <w:tab w:val="clear" w:pos="4320"/>
                <w:tab w:val="clear" w:pos="8640"/>
              </w:tabs>
              <w:rPr>
                <w:b/>
                <w:sz w:val="20"/>
                <w:szCs w:val="20"/>
              </w:rPr>
            </w:pPr>
            <w:r w:rsidRPr="00CB2FFD">
              <w:rPr>
                <w:b/>
                <w:sz w:val="20"/>
                <w:szCs w:val="20"/>
              </w:rPr>
              <w:t>Total</w:t>
            </w:r>
          </w:p>
        </w:tc>
        <w:tc>
          <w:tcPr>
            <w:tcW w:w="1560" w:type="dxa"/>
          </w:tcPr>
          <w:p w:rsidR="009A0EE1" w:rsidRPr="00CB2FFD" w:rsidRDefault="00E24070" w:rsidP="00CE275B">
            <w:pPr>
              <w:pStyle w:val="Header"/>
              <w:tabs>
                <w:tab w:val="clear" w:pos="4320"/>
                <w:tab w:val="clear" w:pos="8640"/>
              </w:tabs>
              <w:jc w:val="center"/>
              <w:rPr>
                <w:b/>
                <w:sz w:val="20"/>
                <w:szCs w:val="20"/>
              </w:rPr>
            </w:pPr>
            <w:r w:rsidRPr="00CB2FFD">
              <w:rPr>
                <w:b/>
                <w:sz w:val="20"/>
                <w:szCs w:val="20"/>
              </w:rPr>
              <w:t>20</w:t>
            </w:r>
          </w:p>
        </w:tc>
        <w:tc>
          <w:tcPr>
            <w:tcW w:w="1605" w:type="dxa"/>
          </w:tcPr>
          <w:p w:rsidR="009A0EE1" w:rsidRPr="00CB2FFD" w:rsidRDefault="009A0EE1" w:rsidP="002450AE">
            <w:pPr>
              <w:pStyle w:val="Header"/>
              <w:tabs>
                <w:tab w:val="clear" w:pos="4320"/>
                <w:tab w:val="clear" w:pos="8640"/>
              </w:tabs>
              <w:spacing w:line="360" w:lineRule="auto"/>
              <w:jc w:val="center"/>
              <w:rPr>
                <w:b/>
                <w:sz w:val="20"/>
                <w:szCs w:val="20"/>
              </w:rPr>
            </w:pPr>
            <w:r w:rsidRPr="00CB2FFD">
              <w:rPr>
                <w:b/>
                <w:sz w:val="20"/>
                <w:szCs w:val="20"/>
              </w:rPr>
              <w:t>100.0</w:t>
            </w:r>
            <w:r w:rsidR="002450AE" w:rsidRPr="00CB2FFD">
              <w:rPr>
                <w:b/>
                <w:sz w:val="20"/>
                <w:szCs w:val="20"/>
              </w:rPr>
              <w:t>%</w:t>
            </w:r>
          </w:p>
        </w:tc>
        <w:tc>
          <w:tcPr>
            <w:tcW w:w="1875" w:type="dxa"/>
          </w:tcPr>
          <w:p w:rsidR="009A0EE1" w:rsidRPr="00CB2FFD" w:rsidRDefault="00825204" w:rsidP="00CE275B">
            <w:pPr>
              <w:pStyle w:val="Header"/>
              <w:tabs>
                <w:tab w:val="clear" w:pos="4320"/>
                <w:tab w:val="clear" w:pos="8640"/>
              </w:tabs>
              <w:jc w:val="center"/>
              <w:rPr>
                <w:b/>
                <w:sz w:val="20"/>
                <w:szCs w:val="20"/>
              </w:rPr>
            </w:pPr>
            <w:r w:rsidRPr="00CB2FFD">
              <w:rPr>
                <w:b/>
                <w:sz w:val="20"/>
                <w:szCs w:val="20"/>
              </w:rPr>
              <w:t>$</w:t>
            </w:r>
            <w:r w:rsidR="00E24070" w:rsidRPr="00CB2FFD">
              <w:rPr>
                <w:b/>
                <w:sz w:val="20"/>
                <w:szCs w:val="20"/>
              </w:rPr>
              <w:t>14</w:t>
            </w:r>
            <w:r w:rsidR="007550C2" w:rsidRPr="00CB2FFD">
              <w:rPr>
                <w:b/>
                <w:sz w:val="20"/>
                <w:szCs w:val="20"/>
              </w:rPr>
              <w:t>.</w:t>
            </w:r>
            <w:r w:rsidR="00E24070" w:rsidRPr="00CB2FFD">
              <w:rPr>
                <w:b/>
                <w:sz w:val="20"/>
                <w:szCs w:val="20"/>
              </w:rPr>
              <w:t>4</w:t>
            </w:r>
          </w:p>
        </w:tc>
        <w:tc>
          <w:tcPr>
            <w:tcW w:w="1667" w:type="dxa"/>
          </w:tcPr>
          <w:p w:rsidR="009A0EE1" w:rsidRPr="00CB2FFD" w:rsidRDefault="009A0EE1" w:rsidP="002450AE">
            <w:pPr>
              <w:pStyle w:val="Header"/>
              <w:tabs>
                <w:tab w:val="clear" w:pos="4320"/>
                <w:tab w:val="clear" w:pos="8640"/>
              </w:tabs>
              <w:spacing w:line="360" w:lineRule="auto"/>
              <w:jc w:val="center"/>
              <w:rPr>
                <w:b/>
                <w:sz w:val="20"/>
                <w:szCs w:val="20"/>
              </w:rPr>
            </w:pPr>
            <w:r w:rsidRPr="00CB2FFD">
              <w:rPr>
                <w:b/>
                <w:sz w:val="20"/>
                <w:szCs w:val="20"/>
              </w:rPr>
              <w:t>100.0</w:t>
            </w:r>
            <w:r w:rsidR="002450AE" w:rsidRPr="00CB2FFD">
              <w:rPr>
                <w:b/>
                <w:sz w:val="20"/>
                <w:szCs w:val="20"/>
              </w:rPr>
              <w:t>%</w:t>
            </w:r>
          </w:p>
        </w:tc>
      </w:tr>
    </w:tbl>
    <w:p w:rsidR="00CB2FFD" w:rsidRDefault="00CB2FFD" w:rsidP="008D4CCC"/>
    <w:p w:rsidR="00B11029" w:rsidRDefault="00E24070">
      <w:r>
        <w:t>Of the $14.4</w:t>
      </w:r>
      <w:r w:rsidR="00BA0D89">
        <w:t xml:space="preserve"> million of bus</w:t>
      </w:r>
      <w:r>
        <w:t>iness subsidies reported in 2014</w:t>
      </w:r>
      <w:r w:rsidR="00BA0D89">
        <w:t xml:space="preserve"> by government agencies, the </w:t>
      </w:r>
      <w:r w:rsidR="007550C2">
        <w:t>Twin Cities region p</w:t>
      </w:r>
      <w:r>
        <w:t>rovided about $6.0 million (41.8</w:t>
      </w:r>
      <w:r w:rsidR="00D961FD">
        <w:t xml:space="preserve"> </w:t>
      </w:r>
      <w:r w:rsidR="0082325C">
        <w:t>percent</w:t>
      </w:r>
      <w:r w:rsidR="00297520">
        <w:t>);</w:t>
      </w:r>
      <w:r>
        <w:t xml:space="preserve"> Southwest </w:t>
      </w:r>
      <w:r w:rsidR="00297520">
        <w:t xml:space="preserve">region </w:t>
      </w:r>
      <w:r>
        <w:t>$4.7 million</w:t>
      </w:r>
    </w:p>
    <w:p w:rsidR="00B11029" w:rsidRDefault="00E24070">
      <w:r>
        <w:t>(32.6</w:t>
      </w:r>
      <w:r w:rsidR="00D961FD">
        <w:t xml:space="preserve"> </w:t>
      </w:r>
      <w:r w:rsidR="0082325C">
        <w:t>percent</w:t>
      </w:r>
      <w:r w:rsidR="00297520">
        <w:t>);</w:t>
      </w:r>
      <w:r>
        <w:t xml:space="preserve"> Central </w:t>
      </w:r>
      <w:r w:rsidR="00297520">
        <w:t xml:space="preserve">region </w:t>
      </w:r>
      <w:r>
        <w:t>$2.7</w:t>
      </w:r>
      <w:r w:rsidR="00B11029">
        <w:t xml:space="preserve"> </w:t>
      </w:r>
      <w:r>
        <w:t>million (18</w:t>
      </w:r>
      <w:r w:rsidR="004701D2">
        <w:t>.5</w:t>
      </w:r>
      <w:r w:rsidR="00D961FD">
        <w:t xml:space="preserve"> </w:t>
      </w:r>
      <w:r w:rsidR="0082325C">
        <w:t>percent</w:t>
      </w:r>
      <w:r w:rsidR="00297520">
        <w:t>);</w:t>
      </w:r>
      <w:r w:rsidR="004701D2">
        <w:t xml:space="preserve"> </w:t>
      </w:r>
      <w:r>
        <w:t xml:space="preserve">and </w:t>
      </w:r>
      <w:r w:rsidR="004701D2">
        <w:t>Southeas</w:t>
      </w:r>
      <w:r>
        <w:t xml:space="preserve">t </w:t>
      </w:r>
      <w:r w:rsidR="00297520">
        <w:t xml:space="preserve">region </w:t>
      </w:r>
      <w:r>
        <w:t>$1.0 million</w:t>
      </w:r>
    </w:p>
    <w:p w:rsidR="0073652E" w:rsidRDefault="007521B7">
      <w:proofErr w:type="gramStart"/>
      <w:r>
        <w:t>(7.0</w:t>
      </w:r>
      <w:r w:rsidR="00D961FD">
        <w:t xml:space="preserve"> </w:t>
      </w:r>
      <w:r w:rsidR="0082325C">
        <w:t>percent</w:t>
      </w:r>
      <w:r>
        <w:t>)</w:t>
      </w:r>
      <w:r w:rsidR="00184D65">
        <w:t>.</w:t>
      </w:r>
      <w:proofErr w:type="gramEnd"/>
    </w:p>
    <w:p w:rsidR="00842B1F" w:rsidRDefault="00842B1F"/>
    <w:p w:rsidR="00406B36" w:rsidRPr="00406B36" w:rsidRDefault="00406B36">
      <w:pPr>
        <w:rPr>
          <w:b/>
          <w:i/>
        </w:rPr>
      </w:pPr>
      <w:r w:rsidRPr="00131506">
        <w:rPr>
          <w:b/>
          <w:i/>
        </w:rPr>
        <w:t>Type and Value of Assistance Provided</w:t>
      </w:r>
    </w:p>
    <w:p w:rsidR="00406B36" w:rsidRDefault="00131506">
      <w:r>
        <w:t>Of the $14.4</w:t>
      </w:r>
      <w:r w:rsidR="007079AF">
        <w:t xml:space="preserve"> million in subsidies awarded by state, county and local government age</w:t>
      </w:r>
      <w:r w:rsidR="00297520">
        <w:t xml:space="preserve">ncies, amounts ranged from </w:t>
      </w:r>
      <w:r>
        <w:t>$64</w:t>
      </w:r>
      <w:r w:rsidR="00297520">
        <w:t>,000</w:t>
      </w:r>
      <w:r>
        <w:t xml:space="preserve"> for a grant to a $1.5 million Tax Increment Financing (TIF).  The median value was $535,304</w:t>
      </w:r>
      <w:r w:rsidR="00297520">
        <w:t xml:space="preserve"> for </w:t>
      </w:r>
      <w:r w:rsidR="007079AF">
        <w:t>agreements awarded.</w:t>
      </w:r>
    </w:p>
    <w:p w:rsidR="007079AF" w:rsidRDefault="007079AF"/>
    <w:p w:rsidR="00B11029" w:rsidRDefault="00C26FFB">
      <w:r>
        <w:t>Grants</w:t>
      </w:r>
      <w:r w:rsidR="007079AF">
        <w:t xml:space="preserve"> and TIF were the most common types of subsidies pro</w:t>
      </w:r>
      <w:r w:rsidR="00131506">
        <w:t>vided.  Of the 20</w:t>
      </w:r>
      <w:r w:rsidR="00656382">
        <w:t xml:space="preserve"> business subsidies </w:t>
      </w:r>
      <w:r w:rsidR="007079AF">
        <w:t>reported by go</w:t>
      </w:r>
      <w:r w:rsidR="00131506">
        <w:t>vernment agencies, there were 28</w:t>
      </w:r>
      <w:r w:rsidR="007079AF">
        <w:t xml:space="preserve"> types of business subsidies reported because several agencies reported more than one type of assistance for each project.  A</w:t>
      </w:r>
      <w:r w:rsidR="00131506">
        <w:t>s Table 5 illustrates, of the 28</w:t>
      </w:r>
      <w:r w:rsidR="007079AF">
        <w:t xml:space="preserve"> types of business subsidies report</w:t>
      </w:r>
      <w:r>
        <w:t>ed by government agen</w:t>
      </w:r>
      <w:r w:rsidR="00131506">
        <w:t>cies, grants were involved in seven (25.0</w:t>
      </w:r>
      <w:r w:rsidR="00D961FD">
        <w:t xml:space="preserve"> </w:t>
      </w:r>
      <w:r w:rsidR="0082325C">
        <w:t>percent</w:t>
      </w:r>
      <w:r w:rsidR="007079AF">
        <w:t>) agree</w:t>
      </w:r>
      <w:r>
        <w:t>ments and TIF wa</w:t>
      </w:r>
      <w:r w:rsidR="00437B1F">
        <w:t xml:space="preserve">s involved in </w:t>
      </w:r>
      <w:r w:rsidR="00131506">
        <w:t>seven agreements</w:t>
      </w:r>
    </w:p>
    <w:p w:rsidR="007079AF" w:rsidRDefault="00131506">
      <w:proofErr w:type="gramStart"/>
      <w:r>
        <w:t>(25.0</w:t>
      </w:r>
      <w:r w:rsidR="00D961FD">
        <w:t xml:space="preserve"> </w:t>
      </w:r>
      <w:r w:rsidR="0082325C">
        <w:t>percent</w:t>
      </w:r>
      <w:r w:rsidR="007079AF">
        <w:t>).</w:t>
      </w:r>
      <w:proofErr w:type="gramEnd"/>
    </w:p>
    <w:p w:rsidR="007079AF" w:rsidRDefault="007079AF"/>
    <w:p w:rsidR="00D15244" w:rsidRDefault="00131506" w:rsidP="00A450B8">
      <w:r>
        <w:t>TIF</w:t>
      </w:r>
      <w:r w:rsidR="00656382">
        <w:t xml:space="preserve"> accounted for the most assistance provided </w:t>
      </w:r>
      <w:r>
        <w:t>$5.2</w:t>
      </w:r>
      <w:r w:rsidR="00C26FFB">
        <w:t xml:space="preserve"> </w:t>
      </w:r>
      <w:r w:rsidR="00437B1F">
        <w:t>mi</w:t>
      </w:r>
      <w:r w:rsidR="00656382">
        <w:t>llion (36.3 percent)</w:t>
      </w:r>
      <w:r>
        <w:t>, followed</w:t>
      </w:r>
      <w:r w:rsidR="00656382">
        <w:t xml:space="preserve"> by grants, </w:t>
      </w:r>
      <w:r>
        <w:t>$3.2</w:t>
      </w:r>
      <w:r w:rsidR="00656382">
        <w:t xml:space="preserve"> million (22.5 percent)</w:t>
      </w:r>
      <w:r w:rsidR="00155E50">
        <w:t>.</w:t>
      </w:r>
    </w:p>
    <w:p w:rsidR="00404DA1" w:rsidRDefault="00404DA1" w:rsidP="00C305FD"/>
    <w:p w:rsidR="00404DA1" w:rsidRPr="00770C50" w:rsidRDefault="00404DA1" w:rsidP="00404DA1">
      <w:pPr>
        <w:pStyle w:val="Header"/>
        <w:tabs>
          <w:tab w:val="clear" w:pos="4320"/>
          <w:tab w:val="clear" w:pos="8640"/>
        </w:tabs>
        <w:jc w:val="center"/>
        <w:rPr>
          <w:sz w:val="20"/>
          <w:szCs w:val="20"/>
        </w:rPr>
      </w:pPr>
      <w:r w:rsidRPr="00770C50">
        <w:rPr>
          <w:sz w:val="20"/>
          <w:szCs w:val="20"/>
        </w:rPr>
        <w:t>TABLE 5</w:t>
      </w:r>
    </w:p>
    <w:p w:rsidR="00404DA1" w:rsidRPr="00770C50" w:rsidRDefault="00404DA1" w:rsidP="00404DA1">
      <w:pPr>
        <w:pStyle w:val="Header"/>
        <w:tabs>
          <w:tab w:val="clear" w:pos="4320"/>
          <w:tab w:val="clear" w:pos="8640"/>
        </w:tabs>
        <w:jc w:val="center"/>
        <w:rPr>
          <w:sz w:val="20"/>
          <w:szCs w:val="20"/>
        </w:rPr>
      </w:pPr>
      <w:r w:rsidRPr="00770C50">
        <w:rPr>
          <w:sz w:val="20"/>
          <w:szCs w:val="20"/>
        </w:rPr>
        <w:t>Distribution of Non-JOBZ Business Assistance Agreements Reached</w:t>
      </w:r>
    </w:p>
    <w:p w:rsidR="00404DA1" w:rsidRPr="00770C50" w:rsidRDefault="001540D4" w:rsidP="00404DA1">
      <w:pPr>
        <w:pStyle w:val="Header"/>
        <w:tabs>
          <w:tab w:val="clear" w:pos="4320"/>
          <w:tab w:val="clear" w:pos="8640"/>
        </w:tabs>
        <w:jc w:val="center"/>
        <w:rPr>
          <w:sz w:val="20"/>
          <w:szCs w:val="20"/>
        </w:rPr>
      </w:pPr>
      <w:r w:rsidRPr="00770C50">
        <w:rPr>
          <w:sz w:val="20"/>
          <w:szCs w:val="20"/>
        </w:rPr>
        <w:t>Between January 1, 2013 and December 31, 2013</w:t>
      </w:r>
    </w:p>
    <w:p w:rsidR="00404DA1" w:rsidRPr="00770C50" w:rsidRDefault="00404DA1" w:rsidP="00404DA1">
      <w:pPr>
        <w:pStyle w:val="Header"/>
        <w:tabs>
          <w:tab w:val="clear" w:pos="4320"/>
          <w:tab w:val="clear" w:pos="8640"/>
        </w:tabs>
        <w:rPr>
          <w:sz w:val="20"/>
          <w:szCs w:val="20"/>
        </w:rPr>
      </w:pP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560"/>
        <w:gridCol w:w="1560"/>
        <w:gridCol w:w="1800"/>
        <w:gridCol w:w="1680"/>
      </w:tblGrid>
      <w:tr w:rsidR="00404DA1" w:rsidRPr="00770C50" w:rsidTr="00EE3C17">
        <w:tc>
          <w:tcPr>
            <w:tcW w:w="2520" w:type="dxa"/>
            <w:vAlign w:val="center"/>
          </w:tcPr>
          <w:p w:rsidR="00404DA1" w:rsidRPr="00770C50" w:rsidRDefault="00404DA1" w:rsidP="00EE3C17">
            <w:pPr>
              <w:pStyle w:val="Header"/>
              <w:tabs>
                <w:tab w:val="clear" w:pos="4320"/>
                <w:tab w:val="clear" w:pos="8640"/>
              </w:tabs>
              <w:jc w:val="center"/>
              <w:rPr>
                <w:b/>
                <w:sz w:val="20"/>
                <w:szCs w:val="20"/>
              </w:rPr>
            </w:pPr>
            <w:r w:rsidRPr="00770C50">
              <w:rPr>
                <w:b/>
                <w:sz w:val="20"/>
                <w:szCs w:val="20"/>
              </w:rPr>
              <w:t>Type</w:t>
            </w:r>
          </w:p>
        </w:tc>
        <w:tc>
          <w:tcPr>
            <w:tcW w:w="1560" w:type="dxa"/>
            <w:vAlign w:val="center"/>
          </w:tcPr>
          <w:p w:rsidR="00404DA1" w:rsidRPr="00770C50" w:rsidRDefault="00404DA1" w:rsidP="00EE3C17">
            <w:pPr>
              <w:pStyle w:val="Header"/>
              <w:tabs>
                <w:tab w:val="clear" w:pos="4320"/>
                <w:tab w:val="clear" w:pos="8640"/>
              </w:tabs>
              <w:jc w:val="center"/>
              <w:rPr>
                <w:b/>
                <w:sz w:val="20"/>
                <w:szCs w:val="20"/>
              </w:rPr>
            </w:pPr>
            <w:r w:rsidRPr="00770C50">
              <w:rPr>
                <w:b/>
                <w:sz w:val="20"/>
                <w:szCs w:val="20"/>
              </w:rPr>
              <w:t>Quantity</w:t>
            </w:r>
          </w:p>
        </w:tc>
        <w:tc>
          <w:tcPr>
            <w:tcW w:w="1560" w:type="dxa"/>
            <w:vAlign w:val="center"/>
          </w:tcPr>
          <w:p w:rsidR="00404DA1" w:rsidRPr="00770C50" w:rsidRDefault="00D961FD" w:rsidP="00EE3C17">
            <w:pPr>
              <w:pStyle w:val="Header"/>
              <w:tabs>
                <w:tab w:val="clear" w:pos="4320"/>
                <w:tab w:val="clear" w:pos="8640"/>
              </w:tabs>
              <w:jc w:val="center"/>
              <w:rPr>
                <w:b/>
                <w:sz w:val="20"/>
                <w:szCs w:val="20"/>
              </w:rPr>
            </w:pPr>
            <w:r w:rsidRPr="00770C50">
              <w:rPr>
                <w:b/>
                <w:sz w:val="20"/>
                <w:szCs w:val="20"/>
              </w:rPr>
              <w:t xml:space="preserve">  P</w:t>
            </w:r>
            <w:r w:rsidR="0082325C" w:rsidRPr="00770C50">
              <w:rPr>
                <w:b/>
                <w:sz w:val="20"/>
                <w:szCs w:val="20"/>
              </w:rPr>
              <w:t>ercent</w:t>
            </w:r>
            <w:r w:rsidR="00404DA1" w:rsidRPr="00770C50">
              <w:rPr>
                <w:b/>
                <w:sz w:val="20"/>
                <w:szCs w:val="20"/>
              </w:rPr>
              <w:t>age</w:t>
            </w:r>
          </w:p>
        </w:tc>
        <w:tc>
          <w:tcPr>
            <w:tcW w:w="1800" w:type="dxa"/>
          </w:tcPr>
          <w:p w:rsidR="00404DA1" w:rsidRPr="00770C50" w:rsidRDefault="00404DA1" w:rsidP="00EE3C17">
            <w:pPr>
              <w:pStyle w:val="Header"/>
              <w:tabs>
                <w:tab w:val="clear" w:pos="4320"/>
                <w:tab w:val="clear" w:pos="8640"/>
              </w:tabs>
              <w:jc w:val="center"/>
              <w:rPr>
                <w:b/>
                <w:sz w:val="20"/>
                <w:szCs w:val="20"/>
              </w:rPr>
            </w:pPr>
            <w:r w:rsidRPr="00770C50">
              <w:rPr>
                <w:b/>
                <w:sz w:val="20"/>
                <w:szCs w:val="20"/>
              </w:rPr>
              <w:t>Dollar Amount</w:t>
            </w:r>
          </w:p>
          <w:p w:rsidR="00404DA1" w:rsidRPr="00770C50" w:rsidRDefault="00404DA1" w:rsidP="00EE3C17">
            <w:pPr>
              <w:pStyle w:val="Header"/>
              <w:tabs>
                <w:tab w:val="clear" w:pos="4320"/>
                <w:tab w:val="clear" w:pos="8640"/>
              </w:tabs>
              <w:jc w:val="center"/>
              <w:rPr>
                <w:sz w:val="20"/>
                <w:szCs w:val="20"/>
              </w:rPr>
            </w:pPr>
            <w:r w:rsidRPr="00770C50">
              <w:rPr>
                <w:sz w:val="20"/>
                <w:szCs w:val="20"/>
              </w:rPr>
              <w:t>(in millions)</w:t>
            </w:r>
          </w:p>
        </w:tc>
        <w:tc>
          <w:tcPr>
            <w:tcW w:w="1680" w:type="dxa"/>
            <w:vAlign w:val="center"/>
          </w:tcPr>
          <w:p w:rsidR="00404DA1" w:rsidRPr="00770C50" w:rsidRDefault="00D961FD" w:rsidP="00EE3C17">
            <w:pPr>
              <w:pStyle w:val="Header"/>
              <w:tabs>
                <w:tab w:val="clear" w:pos="4320"/>
                <w:tab w:val="clear" w:pos="8640"/>
              </w:tabs>
              <w:jc w:val="center"/>
              <w:rPr>
                <w:b/>
                <w:sz w:val="20"/>
                <w:szCs w:val="20"/>
              </w:rPr>
            </w:pPr>
            <w:r w:rsidRPr="00770C50">
              <w:rPr>
                <w:b/>
                <w:sz w:val="20"/>
                <w:szCs w:val="20"/>
              </w:rPr>
              <w:t xml:space="preserve">  P</w:t>
            </w:r>
            <w:r w:rsidR="0082325C" w:rsidRPr="00770C50">
              <w:rPr>
                <w:b/>
                <w:sz w:val="20"/>
                <w:szCs w:val="20"/>
              </w:rPr>
              <w:t>ercent</w:t>
            </w:r>
            <w:r w:rsidR="00404DA1" w:rsidRPr="00770C50">
              <w:rPr>
                <w:b/>
                <w:sz w:val="20"/>
                <w:szCs w:val="20"/>
              </w:rPr>
              <w:t>age</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Grants</w:t>
            </w:r>
          </w:p>
        </w:tc>
        <w:tc>
          <w:tcPr>
            <w:tcW w:w="1560" w:type="dxa"/>
          </w:tcPr>
          <w:p w:rsidR="00404DA1" w:rsidRPr="00770C50" w:rsidRDefault="001540D4" w:rsidP="00EE3C17">
            <w:pPr>
              <w:pStyle w:val="Header"/>
              <w:tabs>
                <w:tab w:val="clear" w:pos="4320"/>
                <w:tab w:val="clear" w:pos="8640"/>
              </w:tabs>
              <w:jc w:val="center"/>
              <w:rPr>
                <w:sz w:val="20"/>
                <w:szCs w:val="20"/>
              </w:rPr>
            </w:pPr>
            <w:r w:rsidRPr="00770C50">
              <w:rPr>
                <w:sz w:val="20"/>
                <w:szCs w:val="20"/>
              </w:rPr>
              <w:t xml:space="preserve">  7</w:t>
            </w:r>
          </w:p>
        </w:tc>
        <w:tc>
          <w:tcPr>
            <w:tcW w:w="1560" w:type="dxa"/>
          </w:tcPr>
          <w:p w:rsidR="00404DA1" w:rsidRPr="00770C50" w:rsidRDefault="00404DA1" w:rsidP="002450AE">
            <w:pPr>
              <w:pStyle w:val="Header"/>
              <w:tabs>
                <w:tab w:val="clear" w:pos="4320"/>
                <w:tab w:val="clear" w:pos="8640"/>
              </w:tabs>
              <w:spacing w:line="360" w:lineRule="auto"/>
              <w:jc w:val="center"/>
              <w:rPr>
                <w:sz w:val="20"/>
                <w:szCs w:val="20"/>
              </w:rPr>
            </w:pPr>
            <w:r w:rsidRPr="00770C50">
              <w:rPr>
                <w:sz w:val="20"/>
                <w:szCs w:val="20"/>
              </w:rPr>
              <w:t xml:space="preserve">  </w:t>
            </w:r>
            <w:r w:rsidR="001540D4" w:rsidRPr="00770C50">
              <w:rPr>
                <w:sz w:val="20"/>
                <w:szCs w:val="20"/>
              </w:rPr>
              <w:t>25.0</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3.2</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22.5</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TIF</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7</w:t>
            </w:r>
          </w:p>
        </w:tc>
        <w:tc>
          <w:tcPr>
            <w:tcW w:w="156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25.0</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5.2</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36.3</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Loans</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5</w:t>
            </w:r>
          </w:p>
        </w:tc>
        <w:tc>
          <w:tcPr>
            <w:tcW w:w="156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17.9</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1.5</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10.3</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Tax Abatement</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3</w:t>
            </w:r>
          </w:p>
        </w:tc>
        <w:tc>
          <w:tcPr>
            <w:tcW w:w="1560" w:type="dxa"/>
          </w:tcPr>
          <w:p w:rsidR="00404DA1" w:rsidRPr="00770C50" w:rsidRDefault="00404DA1" w:rsidP="002450AE">
            <w:pPr>
              <w:pStyle w:val="Header"/>
              <w:tabs>
                <w:tab w:val="clear" w:pos="4320"/>
                <w:tab w:val="clear" w:pos="8640"/>
              </w:tabs>
              <w:spacing w:line="360" w:lineRule="auto"/>
              <w:jc w:val="center"/>
              <w:rPr>
                <w:sz w:val="20"/>
                <w:szCs w:val="20"/>
              </w:rPr>
            </w:pPr>
            <w:r w:rsidRPr="00770C50">
              <w:rPr>
                <w:sz w:val="20"/>
                <w:szCs w:val="20"/>
              </w:rPr>
              <w:t xml:space="preserve">  10.</w:t>
            </w:r>
            <w:r w:rsidR="001540D4" w:rsidRPr="00770C50">
              <w:rPr>
                <w:sz w:val="20"/>
                <w:szCs w:val="20"/>
              </w:rPr>
              <w:t>7</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1.4</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9.4</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Land Contribution</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3</w:t>
            </w:r>
          </w:p>
        </w:tc>
        <w:tc>
          <w:tcPr>
            <w:tcW w:w="1560" w:type="dxa"/>
          </w:tcPr>
          <w:p w:rsidR="00404DA1" w:rsidRPr="00770C50" w:rsidRDefault="001540D4" w:rsidP="002450AE">
            <w:pPr>
              <w:spacing w:line="360" w:lineRule="auto"/>
              <w:jc w:val="center"/>
              <w:rPr>
                <w:sz w:val="20"/>
                <w:szCs w:val="20"/>
              </w:rPr>
            </w:pPr>
            <w:r w:rsidRPr="00770C50">
              <w:rPr>
                <w:sz w:val="20"/>
                <w:szCs w:val="20"/>
              </w:rPr>
              <w:t xml:space="preserve">  10.7</w:t>
            </w:r>
            <w:r w:rsidR="002450AE" w:rsidRPr="00770C50">
              <w:rPr>
                <w:sz w:val="20"/>
                <w:szCs w:val="20"/>
              </w:rPr>
              <w:t>%</w:t>
            </w:r>
          </w:p>
        </w:tc>
        <w:tc>
          <w:tcPr>
            <w:tcW w:w="1800" w:type="dxa"/>
          </w:tcPr>
          <w:p w:rsidR="00404DA1" w:rsidRPr="00770C50" w:rsidRDefault="001540D4" w:rsidP="00EE3C17">
            <w:pPr>
              <w:pStyle w:val="Header"/>
              <w:tabs>
                <w:tab w:val="clear" w:pos="4320"/>
                <w:tab w:val="clear" w:pos="8640"/>
              </w:tabs>
              <w:jc w:val="center"/>
              <w:rPr>
                <w:sz w:val="20"/>
                <w:szCs w:val="20"/>
              </w:rPr>
            </w:pPr>
            <w:r w:rsidRPr="00770C50">
              <w:rPr>
                <w:sz w:val="20"/>
                <w:szCs w:val="20"/>
              </w:rPr>
              <w:t xml:space="preserve">  $0.6</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4.5</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Other</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2</w:t>
            </w:r>
          </w:p>
        </w:tc>
        <w:tc>
          <w:tcPr>
            <w:tcW w:w="1560" w:type="dxa"/>
          </w:tcPr>
          <w:p w:rsidR="00404DA1" w:rsidRPr="00770C50" w:rsidRDefault="001540D4" w:rsidP="002450AE">
            <w:pPr>
              <w:spacing w:line="360" w:lineRule="auto"/>
              <w:jc w:val="center"/>
              <w:rPr>
                <w:sz w:val="20"/>
                <w:szCs w:val="20"/>
              </w:rPr>
            </w:pPr>
            <w:r w:rsidRPr="00770C50">
              <w:rPr>
                <w:sz w:val="20"/>
                <w:szCs w:val="20"/>
              </w:rPr>
              <w:t xml:space="preserve">   7.1</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w:t>
            </w:r>
            <w:r w:rsidR="001540D4" w:rsidRPr="00770C50">
              <w:rPr>
                <w:sz w:val="20"/>
                <w:szCs w:val="20"/>
              </w:rPr>
              <w:t>2.3</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15.9</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sz w:val="20"/>
                <w:szCs w:val="20"/>
              </w:rPr>
            </w:pPr>
            <w:r w:rsidRPr="00770C50">
              <w:rPr>
                <w:sz w:val="20"/>
                <w:szCs w:val="20"/>
              </w:rPr>
              <w:t>Contribution of Property</w:t>
            </w:r>
          </w:p>
        </w:tc>
        <w:tc>
          <w:tcPr>
            <w:tcW w:w="156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1</w:t>
            </w:r>
          </w:p>
        </w:tc>
        <w:tc>
          <w:tcPr>
            <w:tcW w:w="156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3.6</w:t>
            </w:r>
            <w:r w:rsidR="002450AE" w:rsidRPr="00770C50">
              <w:rPr>
                <w:sz w:val="20"/>
                <w:szCs w:val="20"/>
              </w:rPr>
              <w:t>%</w:t>
            </w:r>
          </w:p>
        </w:tc>
        <w:tc>
          <w:tcPr>
            <w:tcW w:w="1800" w:type="dxa"/>
          </w:tcPr>
          <w:p w:rsidR="00404DA1" w:rsidRPr="00770C50" w:rsidRDefault="00404DA1" w:rsidP="00EE3C17">
            <w:pPr>
              <w:pStyle w:val="Header"/>
              <w:tabs>
                <w:tab w:val="clear" w:pos="4320"/>
                <w:tab w:val="clear" w:pos="8640"/>
              </w:tabs>
              <w:jc w:val="center"/>
              <w:rPr>
                <w:sz w:val="20"/>
                <w:szCs w:val="20"/>
              </w:rPr>
            </w:pPr>
            <w:r w:rsidRPr="00770C50">
              <w:rPr>
                <w:sz w:val="20"/>
                <w:szCs w:val="20"/>
              </w:rPr>
              <w:t xml:space="preserve">  $0.2</w:t>
            </w:r>
          </w:p>
        </w:tc>
        <w:tc>
          <w:tcPr>
            <w:tcW w:w="1680" w:type="dxa"/>
          </w:tcPr>
          <w:p w:rsidR="00404DA1" w:rsidRPr="00770C50" w:rsidRDefault="001540D4" w:rsidP="002450AE">
            <w:pPr>
              <w:pStyle w:val="Header"/>
              <w:tabs>
                <w:tab w:val="clear" w:pos="4320"/>
                <w:tab w:val="clear" w:pos="8640"/>
              </w:tabs>
              <w:spacing w:line="360" w:lineRule="auto"/>
              <w:jc w:val="center"/>
              <w:rPr>
                <w:sz w:val="20"/>
                <w:szCs w:val="20"/>
              </w:rPr>
            </w:pPr>
            <w:r w:rsidRPr="00770C50">
              <w:rPr>
                <w:sz w:val="20"/>
                <w:szCs w:val="20"/>
              </w:rPr>
              <w:t xml:space="preserve">   1.3</w:t>
            </w:r>
            <w:r w:rsidR="002450AE" w:rsidRPr="00770C50">
              <w:rPr>
                <w:sz w:val="20"/>
                <w:szCs w:val="20"/>
              </w:rPr>
              <w:t>%</w:t>
            </w:r>
          </w:p>
        </w:tc>
      </w:tr>
      <w:tr w:rsidR="00404DA1" w:rsidRPr="00770C50" w:rsidTr="00EE3C17">
        <w:tc>
          <w:tcPr>
            <w:tcW w:w="2520" w:type="dxa"/>
          </w:tcPr>
          <w:p w:rsidR="00404DA1" w:rsidRPr="00770C50" w:rsidRDefault="00404DA1" w:rsidP="00EE3C17">
            <w:pPr>
              <w:pStyle w:val="Header"/>
              <w:tabs>
                <w:tab w:val="clear" w:pos="4320"/>
                <w:tab w:val="clear" w:pos="8640"/>
              </w:tabs>
              <w:rPr>
                <w:b/>
                <w:sz w:val="20"/>
                <w:szCs w:val="20"/>
              </w:rPr>
            </w:pPr>
            <w:r w:rsidRPr="00770C50">
              <w:rPr>
                <w:b/>
                <w:sz w:val="20"/>
                <w:szCs w:val="20"/>
              </w:rPr>
              <w:t>Total</w:t>
            </w:r>
          </w:p>
        </w:tc>
        <w:tc>
          <w:tcPr>
            <w:tcW w:w="1560" w:type="dxa"/>
          </w:tcPr>
          <w:p w:rsidR="00404DA1" w:rsidRPr="00770C50" w:rsidRDefault="001540D4" w:rsidP="00EE3C17">
            <w:pPr>
              <w:pStyle w:val="Header"/>
              <w:tabs>
                <w:tab w:val="clear" w:pos="4320"/>
                <w:tab w:val="clear" w:pos="8640"/>
              </w:tabs>
              <w:jc w:val="center"/>
              <w:rPr>
                <w:b/>
                <w:sz w:val="20"/>
                <w:szCs w:val="20"/>
              </w:rPr>
            </w:pPr>
            <w:r w:rsidRPr="00770C50">
              <w:rPr>
                <w:b/>
                <w:sz w:val="20"/>
                <w:szCs w:val="20"/>
              </w:rPr>
              <w:t>28</w:t>
            </w:r>
          </w:p>
        </w:tc>
        <w:tc>
          <w:tcPr>
            <w:tcW w:w="1560" w:type="dxa"/>
          </w:tcPr>
          <w:p w:rsidR="00404DA1" w:rsidRPr="00770C50" w:rsidRDefault="00404DA1" w:rsidP="002450AE">
            <w:pPr>
              <w:pStyle w:val="Header"/>
              <w:tabs>
                <w:tab w:val="clear" w:pos="4320"/>
                <w:tab w:val="clear" w:pos="8640"/>
              </w:tabs>
              <w:spacing w:line="360" w:lineRule="auto"/>
              <w:jc w:val="center"/>
              <w:rPr>
                <w:b/>
                <w:sz w:val="20"/>
                <w:szCs w:val="20"/>
              </w:rPr>
            </w:pPr>
            <w:r w:rsidRPr="00770C50">
              <w:rPr>
                <w:b/>
                <w:sz w:val="20"/>
                <w:szCs w:val="20"/>
              </w:rPr>
              <w:t>100.0</w:t>
            </w:r>
            <w:r w:rsidR="002450AE" w:rsidRPr="00770C50">
              <w:rPr>
                <w:b/>
                <w:sz w:val="20"/>
                <w:szCs w:val="20"/>
              </w:rPr>
              <w:t>%</w:t>
            </w:r>
          </w:p>
        </w:tc>
        <w:tc>
          <w:tcPr>
            <w:tcW w:w="1800" w:type="dxa"/>
          </w:tcPr>
          <w:p w:rsidR="00404DA1" w:rsidRPr="00770C50" w:rsidRDefault="00404DA1" w:rsidP="00EE3C17">
            <w:pPr>
              <w:pStyle w:val="Header"/>
              <w:tabs>
                <w:tab w:val="clear" w:pos="4320"/>
                <w:tab w:val="clear" w:pos="8640"/>
              </w:tabs>
              <w:jc w:val="center"/>
              <w:rPr>
                <w:b/>
                <w:sz w:val="20"/>
                <w:szCs w:val="20"/>
              </w:rPr>
            </w:pPr>
            <w:r w:rsidRPr="00770C50">
              <w:rPr>
                <w:b/>
                <w:sz w:val="20"/>
                <w:szCs w:val="20"/>
              </w:rPr>
              <w:t>$1</w:t>
            </w:r>
            <w:r w:rsidR="001540D4" w:rsidRPr="00770C50">
              <w:rPr>
                <w:b/>
                <w:sz w:val="20"/>
                <w:szCs w:val="20"/>
              </w:rPr>
              <w:t>4.4</w:t>
            </w:r>
          </w:p>
        </w:tc>
        <w:tc>
          <w:tcPr>
            <w:tcW w:w="1680" w:type="dxa"/>
          </w:tcPr>
          <w:p w:rsidR="00404DA1" w:rsidRPr="00770C50" w:rsidRDefault="00404DA1" w:rsidP="002450AE">
            <w:pPr>
              <w:pStyle w:val="Header"/>
              <w:tabs>
                <w:tab w:val="clear" w:pos="4320"/>
                <w:tab w:val="clear" w:pos="8640"/>
              </w:tabs>
              <w:spacing w:line="360" w:lineRule="auto"/>
              <w:jc w:val="center"/>
              <w:rPr>
                <w:b/>
                <w:sz w:val="20"/>
                <w:szCs w:val="20"/>
              </w:rPr>
            </w:pPr>
            <w:r w:rsidRPr="00770C50">
              <w:rPr>
                <w:b/>
                <w:sz w:val="20"/>
                <w:szCs w:val="20"/>
              </w:rPr>
              <w:t>100.0</w:t>
            </w:r>
            <w:r w:rsidR="002450AE" w:rsidRPr="00770C50">
              <w:rPr>
                <w:b/>
                <w:sz w:val="20"/>
                <w:szCs w:val="20"/>
              </w:rPr>
              <w:t>%</w:t>
            </w:r>
          </w:p>
        </w:tc>
      </w:tr>
    </w:tbl>
    <w:p w:rsidR="000F1841" w:rsidRDefault="000F1841">
      <w:pPr>
        <w:rPr>
          <w:b/>
          <w:i/>
        </w:rPr>
      </w:pPr>
    </w:p>
    <w:p w:rsidR="000F1841" w:rsidRDefault="000F1841">
      <w:pPr>
        <w:rPr>
          <w:b/>
          <w:i/>
        </w:rPr>
      </w:pPr>
      <w:r>
        <w:rPr>
          <w:b/>
          <w:i/>
        </w:rPr>
        <w:br w:type="page"/>
      </w:r>
    </w:p>
    <w:p w:rsidR="000F1841" w:rsidRDefault="000F1841" w:rsidP="000F1841">
      <w:pPr>
        <w:pStyle w:val="Header"/>
        <w:tabs>
          <w:tab w:val="clear" w:pos="4320"/>
          <w:tab w:val="clear" w:pos="8640"/>
        </w:tabs>
      </w:pPr>
      <w:r>
        <w:rPr>
          <w:b/>
          <w:i/>
          <w:u w:val="single"/>
        </w:rPr>
        <w:lastRenderedPageBreak/>
        <w:t>Minnesota Department of Employment and Economic Development                               Page 13</w:t>
      </w:r>
    </w:p>
    <w:p w:rsidR="00404DA1" w:rsidRDefault="00404DA1">
      <w:pPr>
        <w:rPr>
          <w:b/>
          <w:i/>
        </w:rPr>
      </w:pPr>
    </w:p>
    <w:p w:rsidR="007A5BD5" w:rsidRDefault="007A5BD5">
      <w:pPr>
        <w:rPr>
          <w:b/>
          <w:i/>
        </w:rPr>
      </w:pPr>
    </w:p>
    <w:p w:rsidR="00155E50" w:rsidRDefault="00155E50">
      <w:pPr>
        <w:rPr>
          <w:b/>
          <w:i/>
        </w:rPr>
      </w:pPr>
      <w:r w:rsidRPr="00B54F71">
        <w:rPr>
          <w:b/>
          <w:i/>
        </w:rPr>
        <w:t>Goals and Actual Performance</w:t>
      </w:r>
    </w:p>
    <w:p w:rsidR="00155E50" w:rsidRDefault="00155E50">
      <w:r>
        <w:t xml:space="preserve">Grantors are required to identify the types of goals that recipients receiving business assistance were expected to achieve.  Grantors are also required to indicate the progress </w:t>
      </w:r>
      <w:r w:rsidR="00656382">
        <w:t xml:space="preserve">made </w:t>
      </w:r>
      <w:r>
        <w:t>toward these goals.</w:t>
      </w:r>
    </w:p>
    <w:p w:rsidR="00155E50" w:rsidRDefault="00155E50"/>
    <w:p w:rsidR="00707A31" w:rsidRDefault="00707A31" w:rsidP="00707A31">
      <w:pPr>
        <w:pStyle w:val="Header"/>
        <w:tabs>
          <w:tab w:val="clear" w:pos="4320"/>
          <w:tab w:val="clear" w:pos="8640"/>
        </w:tabs>
      </w:pPr>
      <w:r>
        <w:t>Under the law, if the assistance agreement includes specific wage and job goals th</w:t>
      </w:r>
      <w:r w:rsidR="006A23FF">
        <w:t>a</w:t>
      </w:r>
      <w:r>
        <w:t>n those goals must be attained within two years of the benefit date.  Assistance agreements can also</w:t>
      </w:r>
      <w:r w:rsidR="003E3F84">
        <w:t xml:space="preserve"> include other goals.  Of the 20</w:t>
      </w:r>
      <w:r>
        <w:t xml:space="preserve"> eligible business assistance agreements entered into by </w:t>
      </w:r>
      <w:r w:rsidR="0018398E">
        <w:t>agencies between January 1</w:t>
      </w:r>
      <w:r w:rsidR="003E3F84">
        <w:t>, 2013 and December 31, 2013, 17 agreements (85</w:t>
      </w:r>
      <w:r w:rsidR="0018398E">
        <w:t>.0</w:t>
      </w:r>
      <w:r w:rsidR="0082325C">
        <w:t xml:space="preserve"> percent</w:t>
      </w:r>
      <w:r>
        <w:t>) established specific job and wage goals.</w:t>
      </w:r>
    </w:p>
    <w:p w:rsidR="007A5BD5" w:rsidRDefault="007A5BD5" w:rsidP="00707A31">
      <w:pPr>
        <w:pStyle w:val="Header"/>
        <w:tabs>
          <w:tab w:val="clear" w:pos="4320"/>
          <w:tab w:val="clear" w:pos="8640"/>
        </w:tabs>
      </w:pPr>
    </w:p>
    <w:p w:rsidR="00155E50" w:rsidRDefault="003E3F84" w:rsidP="00707A31">
      <w:r>
        <w:t>Of the 17</w:t>
      </w:r>
      <w:r w:rsidR="00707A31">
        <w:t xml:space="preserve"> business assistance agreements that were reported by agencies that est</w:t>
      </w:r>
      <w:r w:rsidR="0018398E">
        <w:t xml:space="preserve">ablished specific </w:t>
      </w:r>
      <w:r>
        <w:t>wage goals, four agreements (23.5</w:t>
      </w:r>
      <w:r w:rsidR="00D961FD">
        <w:t xml:space="preserve"> </w:t>
      </w:r>
      <w:r w:rsidR="0082325C">
        <w:t>percent</w:t>
      </w:r>
      <w:r w:rsidR="00707A31">
        <w:t>) have attained spe</w:t>
      </w:r>
      <w:r>
        <w:t>cific job and wage goals; and 13</w:t>
      </w:r>
      <w:r w:rsidR="00CD1FCC">
        <w:t> </w:t>
      </w:r>
      <w:r>
        <w:t>agreements (76.5</w:t>
      </w:r>
      <w:r w:rsidR="00D961FD">
        <w:t xml:space="preserve"> </w:t>
      </w:r>
      <w:r w:rsidR="0082325C">
        <w:t>percent</w:t>
      </w:r>
      <w:r w:rsidR="00707A31">
        <w:t>) reported that the recipient had not attained spe</w:t>
      </w:r>
      <w:r w:rsidR="00D0588A">
        <w:t>cific job and wage goals.  A</w:t>
      </w:r>
      <w:r w:rsidR="00707A31">
        <w:t>gencies reported that recipients had more time to meet their goals.</w:t>
      </w:r>
    </w:p>
    <w:p w:rsidR="00F5579B" w:rsidRDefault="00F5579B" w:rsidP="00707A31"/>
    <w:p w:rsidR="003E3F84" w:rsidRDefault="003E3F84" w:rsidP="00707A31">
      <w:r>
        <w:t xml:space="preserve">There were nine business assistance agreements that were reported by agencies that established other job </w:t>
      </w:r>
      <w:r w:rsidR="00006EA9">
        <w:t>creation and/or retention goals.  T</w:t>
      </w:r>
      <w:r>
        <w:t>hree agreements (33.3</w:t>
      </w:r>
      <w:r w:rsidR="00D961FD">
        <w:t xml:space="preserve"> </w:t>
      </w:r>
      <w:r w:rsidR="0082325C">
        <w:t>percent</w:t>
      </w:r>
      <w:r w:rsidR="00006EA9">
        <w:t xml:space="preserve">) had attained their goals </w:t>
      </w:r>
      <w:r>
        <w:t>and six agreements (66</w:t>
      </w:r>
      <w:r w:rsidR="00B54F71">
        <w:t>.7</w:t>
      </w:r>
      <w:r w:rsidR="00D961FD">
        <w:t xml:space="preserve"> </w:t>
      </w:r>
      <w:r w:rsidR="0082325C">
        <w:t>percent</w:t>
      </w:r>
      <w:r w:rsidR="00B54F71">
        <w:t>)</w:t>
      </w:r>
      <w:r>
        <w:t xml:space="preserve"> had not attained their goals.  </w:t>
      </w:r>
      <w:r w:rsidR="00D0588A">
        <w:t>A</w:t>
      </w:r>
      <w:r>
        <w:t xml:space="preserve">gencies reported that recipients had </w:t>
      </w:r>
      <w:r w:rsidR="000F1841">
        <w:t>more time to meet their goals.</w:t>
      </w:r>
    </w:p>
    <w:p w:rsidR="003E3F84" w:rsidRDefault="003E3F84" w:rsidP="00707A31"/>
    <w:p w:rsidR="00270F93" w:rsidRDefault="003E3F84" w:rsidP="00707A31">
      <w:r>
        <w:t>There were five</w:t>
      </w:r>
      <w:r w:rsidR="00F5579B">
        <w:t xml:space="preserve"> business assistance agreements that were reported by agencies that established goals other tha</w:t>
      </w:r>
      <w:r w:rsidR="0018398E">
        <w:t>n w</w:t>
      </w:r>
      <w:r>
        <w:t>age and job goals.  Of the five</w:t>
      </w:r>
      <w:r w:rsidR="00F5579B">
        <w:t xml:space="preserve"> agreements reported by agencies that established goals o</w:t>
      </w:r>
      <w:r w:rsidR="0018398E">
        <w:t xml:space="preserve">ther than wage and job goals, </w:t>
      </w:r>
      <w:r w:rsidR="00B54F71">
        <w:t>two agreements (40.0</w:t>
      </w:r>
      <w:r w:rsidR="00D961FD">
        <w:t xml:space="preserve"> </w:t>
      </w:r>
      <w:r w:rsidR="0082325C">
        <w:t>percent</w:t>
      </w:r>
      <w:r w:rsidR="00B54F71">
        <w:t>) had attained their goals and three agreements (60.0</w:t>
      </w:r>
      <w:r w:rsidR="00D961FD">
        <w:t xml:space="preserve"> </w:t>
      </w:r>
      <w:r w:rsidR="0082325C">
        <w:t>percent</w:t>
      </w:r>
      <w:r w:rsidR="00B54F71">
        <w:t xml:space="preserve">) had </w:t>
      </w:r>
      <w:r w:rsidR="0018398E">
        <w:t>no</w:t>
      </w:r>
      <w:r w:rsidR="00B54F71">
        <w:t>t</w:t>
      </w:r>
      <w:r w:rsidR="0018398E">
        <w:t xml:space="preserve"> </w:t>
      </w:r>
      <w:r w:rsidR="00D0588A">
        <w:t>attained their goals.  A</w:t>
      </w:r>
      <w:r w:rsidR="00F5579B">
        <w:t>gencies reported that recipients had more time to meet their goals.</w:t>
      </w:r>
    </w:p>
    <w:p w:rsidR="0073652E" w:rsidRDefault="0073652E" w:rsidP="00F5579B">
      <w:pPr>
        <w:pStyle w:val="Header"/>
        <w:tabs>
          <w:tab w:val="clear" w:pos="4320"/>
          <w:tab w:val="clear" w:pos="8640"/>
        </w:tabs>
        <w:rPr>
          <w:i/>
        </w:rPr>
      </w:pPr>
    </w:p>
    <w:p w:rsidR="00F5579B" w:rsidRDefault="00F5579B" w:rsidP="00F5579B">
      <w:pPr>
        <w:pStyle w:val="Header"/>
        <w:tabs>
          <w:tab w:val="clear" w:pos="4320"/>
          <w:tab w:val="clear" w:pos="8640"/>
        </w:tabs>
        <w:rPr>
          <w:i/>
        </w:rPr>
      </w:pPr>
      <w:r w:rsidRPr="005C370E">
        <w:rPr>
          <w:i/>
        </w:rPr>
        <w:t>Actual Performance</w:t>
      </w:r>
    </w:p>
    <w:p w:rsidR="00965B4C" w:rsidRDefault="00B54F71" w:rsidP="00F5579B">
      <w:r>
        <w:t>Of the 20</w:t>
      </w:r>
      <w:r w:rsidR="00965B4C">
        <w:t xml:space="preserve"> business assistance</w:t>
      </w:r>
      <w:r>
        <w:t xml:space="preserve"> </w:t>
      </w:r>
      <w:r w:rsidR="003E0BE6">
        <w:t xml:space="preserve">agreements </w:t>
      </w:r>
      <w:r>
        <w:t>reached between January 1, 2013 and December 31, 2013</w:t>
      </w:r>
      <w:r w:rsidR="00965B4C">
        <w:t>, agencies</w:t>
      </w:r>
      <w:r w:rsidR="00D0588A">
        <w:t xml:space="preserve"> reported that five</w:t>
      </w:r>
      <w:r>
        <w:t xml:space="preserve"> recipients (25.0</w:t>
      </w:r>
      <w:r w:rsidR="00D961FD">
        <w:t xml:space="preserve"> </w:t>
      </w:r>
      <w:r w:rsidR="0082325C">
        <w:t>percent</w:t>
      </w:r>
      <w:r w:rsidR="00965B4C">
        <w:t>) had achieved all stipulated goals</w:t>
      </w:r>
      <w:r>
        <w:t xml:space="preserve"> and obligations, compared to 15 recipients (75.0</w:t>
      </w:r>
      <w:r w:rsidR="00D961FD">
        <w:t xml:space="preserve"> </w:t>
      </w:r>
      <w:r w:rsidR="0082325C">
        <w:t>percent</w:t>
      </w:r>
      <w:r w:rsidR="00965B4C">
        <w:t>) that have yet to achieve a</w:t>
      </w:r>
      <w:r w:rsidR="00D0588A">
        <w:t>ll goals and obligations.  A</w:t>
      </w:r>
      <w:r w:rsidR="00965B4C">
        <w:t>gencies reported that recipients had more time to meet their goals and obliga</w:t>
      </w:r>
      <w:r w:rsidR="003E0BE6">
        <w:t>tions.  The total value of the five</w:t>
      </w:r>
      <w:r w:rsidR="00390045">
        <w:t xml:space="preserve"> </w:t>
      </w:r>
      <w:r>
        <w:t xml:space="preserve">agreements </w:t>
      </w:r>
      <w:r w:rsidR="007521B7">
        <w:t xml:space="preserve">that met </w:t>
      </w:r>
      <w:r w:rsidR="00405CC7">
        <w:t xml:space="preserve">all </w:t>
      </w:r>
      <w:r w:rsidR="007521B7">
        <w:t>goal</w:t>
      </w:r>
      <w:r w:rsidR="00405CC7">
        <w:t>s</w:t>
      </w:r>
      <w:r w:rsidR="007521B7">
        <w:t xml:space="preserve"> </w:t>
      </w:r>
      <w:r>
        <w:t>was $4.1 million (28.4</w:t>
      </w:r>
      <w:r w:rsidR="00D961FD">
        <w:t xml:space="preserve"> </w:t>
      </w:r>
      <w:r w:rsidR="0082325C">
        <w:t>percent</w:t>
      </w:r>
      <w:r>
        <w:t>) compared to $10.3 million (71.6</w:t>
      </w:r>
      <w:r w:rsidR="00D961FD">
        <w:t xml:space="preserve"> </w:t>
      </w:r>
      <w:r w:rsidR="0082325C">
        <w:t>percent</w:t>
      </w:r>
      <w:r w:rsidR="007521B7">
        <w:t>) that had yet to achieve all goals and obligations</w:t>
      </w:r>
      <w:r w:rsidR="00965B4C">
        <w:t>.  The total value of busine</w:t>
      </w:r>
      <w:r>
        <w:t>ss assistance provided was $14.4</w:t>
      </w:r>
      <w:r w:rsidR="00965B4C">
        <w:t xml:space="preserve"> million.</w:t>
      </w:r>
    </w:p>
    <w:p w:rsidR="00965B4C" w:rsidRDefault="00965B4C" w:rsidP="00F5579B"/>
    <w:p w:rsidR="00404DA1" w:rsidRPr="00B54F71" w:rsidRDefault="00404DA1" w:rsidP="00404DA1">
      <w:r w:rsidRPr="003E2C85">
        <w:rPr>
          <w:i/>
        </w:rPr>
        <w:t>Full-time Job Creation and Wages</w:t>
      </w:r>
    </w:p>
    <w:p w:rsidR="00404DA1" w:rsidRPr="00BB676B" w:rsidRDefault="00D0588A" w:rsidP="00404DA1">
      <w:r>
        <w:t>T</w:t>
      </w:r>
      <w:r w:rsidR="00404DA1">
        <w:t>he business assistance</w:t>
      </w:r>
      <w:r>
        <w:t xml:space="preserve"> agreement </w:t>
      </w:r>
      <w:r w:rsidR="00404DA1">
        <w:t xml:space="preserve">must include goals for the number of jobs created, which may include separate goals for </w:t>
      </w:r>
      <w:r>
        <w:t xml:space="preserve">wages and </w:t>
      </w:r>
      <w:r w:rsidR="00404DA1">
        <w:t>the number of full-time or pa</w:t>
      </w:r>
      <w:r>
        <w:t xml:space="preserve">rt-time </w:t>
      </w:r>
      <w:r w:rsidR="00404DA1">
        <w:t>jobs created.</w:t>
      </w:r>
    </w:p>
    <w:p w:rsidR="00404DA1" w:rsidRDefault="00404DA1" w:rsidP="00404DA1"/>
    <w:p w:rsidR="00404DA1" w:rsidRDefault="00732E69" w:rsidP="00404DA1">
      <w:r>
        <w:t>Of the 20</w:t>
      </w:r>
      <w:r w:rsidR="00404DA1">
        <w:t xml:space="preserve"> eligible business assistance agreements, agencies reported a fu</w:t>
      </w:r>
      <w:r w:rsidR="005C03DD">
        <w:t>ll-time job creation goal of 646</w:t>
      </w:r>
      <w:r w:rsidR="00404DA1">
        <w:t xml:space="preserve"> jobs with an average hourly health and non-he</w:t>
      </w:r>
      <w:r w:rsidR="00D0588A">
        <w:t>alth benefit ranging</w:t>
      </w:r>
      <w:r w:rsidR="005C03DD">
        <w:t xml:space="preserve"> between $3.46 and $5.00</w:t>
      </w:r>
      <w:r w:rsidR="00404DA1">
        <w:t xml:space="preserve"> (see </w:t>
      </w:r>
      <w:r w:rsidR="005C03DD">
        <w:t>Table 6).  Agencies reported 305</w:t>
      </w:r>
      <w:r w:rsidR="00404DA1">
        <w:t xml:space="preserve"> actual full-time jobs </w:t>
      </w:r>
      <w:r w:rsidR="00D0588A">
        <w:t xml:space="preserve">created and </w:t>
      </w:r>
      <w:r w:rsidR="00404DA1">
        <w:t xml:space="preserve">that recipients had more time to meet their job creation and wage goals.  The distribution of full-time job creation and wage goals and actual performance </w:t>
      </w:r>
      <w:r w:rsidR="005E2315">
        <w:t>can be seen in Table 6.</w:t>
      </w:r>
    </w:p>
    <w:p w:rsidR="008F4B32" w:rsidRDefault="008F4B32">
      <w:r>
        <w:br w:type="page"/>
      </w:r>
    </w:p>
    <w:p w:rsidR="008F4B32" w:rsidRPr="006659A4" w:rsidRDefault="008F4B32" w:rsidP="008F4B32">
      <w:pPr>
        <w:rPr>
          <w:b/>
          <w:i/>
          <w:u w:val="single"/>
        </w:rPr>
      </w:pPr>
      <w:r>
        <w:rPr>
          <w:b/>
          <w:i/>
          <w:u w:val="single"/>
        </w:rPr>
        <w:lastRenderedPageBreak/>
        <w:t>Page 14                                                                      2014 Minnesota Business Assistance Report</w:t>
      </w:r>
    </w:p>
    <w:p w:rsidR="008F4B32" w:rsidRDefault="008F4B32" w:rsidP="002F2E99"/>
    <w:p w:rsidR="008F4B32" w:rsidRDefault="008F4B32" w:rsidP="002F2E99"/>
    <w:p w:rsidR="00A35269" w:rsidRPr="00770C50" w:rsidRDefault="00A35269" w:rsidP="00A35269">
      <w:pPr>
        <w:pStyle w:val="Header"/>
        <w:tabs>
          <w:tab w:val="clear" w:pos="4320"/>
          <w:tab w:val="clear" w:pos="8640"/>
        </w:tabs>
        <w:ind w:left="360"/>
        <w:jc w:val="center"/>
        <w:rPr>
          <w:sz w:val="20"/>
          <w:szCs w:val="20"/>
        </w:rPr>
      </w:pPr>
      <w:r w:rsidRPr="00770C50">
        <w:rPr>
          <w:sz w:val="20"/>
          <w:szCs w:val="20"/>
        </w:rPr>
        <w:t>TABLE 6</w:t>
      </w:r>
    </w:p>
    <w:p w:rsidR="00A35269" w:rsidRPr="00770C50" w:rsidRDefault="00A35269" w:rsidP="00A35269">
      <w:pPr>
        <w:pStyle w:val="Header"/>
        <w:tabs>
          <w:tab w:val="clear" w:pos="4320"/>
          <w:tab w:val="clear" w:pos="8640"/>
        </w:tabs>
        <w:ind w:left="360"/>
        <w:jc w:val="center"/>
        <w:rPr>
          <w:sz w:val="20"/>
          <w:szCs w:val="20"/>
        </w:rPr>
      </w:pPr>
      <w:r w:rsidRPr="00770C50">
        <w:rPr>
          <w:sz w:val="20"/>
          <w:szCs w:val="20"/>
        </w:rPr>
        <w:t>Distribution of Non-JOBZ Full-time Job Creation, Wage Goals and Actual Performance for Agreements</w:t>
      </w:r>
      <w:r w:rsidR="00193F08" w:rsidRPr="00770C50">
        <w:rPr>
          <w:sz w:val="20"/>
          <w:szCs w:val="20"/>
        </w:rPr>
        <w:t xml:space="preserve"> Reached Between January 1, 2013</w:t>
      </w:r>
      <w:r w:rsidR="004214AA" w:rsidRPr="00770C50">
        <w:rPr>
          <w:sz w:val="20"/>
          <w:szCs w:val="20"/>
        </w:rPr>
        <w:t xml:space="preserve"> and December 31, 20</w:t>
      </w:r>
      <w:r w:rsidR="00193F08" w:rsidRPr="00770C50">
        <w:rPr>
          <w:sz w:val="20"/>
          <w:szCs w:val="20"/>
        </w:rPr>
        <w:t>13</w:t>
      </w:r>
    </w:p>
    <w:p w:rsidR="00A35269" w:rsidRDefault="00A35269" w:rsidP="00A35269">
      <w:pPr>
        <w:pStyle w:val="Header"/>
        <w:tabs>
          <w:tab w:val="clear" w:pos="4320"/>
          <w:tab w:val="clear" w:pos="8640"/>
        </w:tabs>
        <w:ind w:left="360"/>
        <w:jc w:val="cente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90"/>
        <w:gridCol w:w="1170"/>
        <w:gridCol w:w="990"/>
        <w:gridCol w:w="1260"/>
        <w:gridCol w:w="1080"/>
        <w:gridCol w:w="990"/>
        <w:gridCol w:w="990"/>
        <w:gridCol w:w="1260"/>
      </w:tblGrid>
      <w:tr w:rsidR="007D4F92" w:rsidRPr="00C305FD" w:rsidTr="007D4F92">
        <w:tc>
          <w:tcPr>
            <w:tcW w:w="6030" w:type="dxa"/>
            <w:gridSpan w:val="5"/>
            <w:tcBorders>
              <w:top w:val="single" w:sz="4" w:space="0" w:color="auto"/>
              <w:left w:val="single" w:sz="4" w:space="0" w:color="auto"/>
              <w:bottom w:val="single" w:sz="4" w:space="0" w:color="auto"/>
              <w:right w:val="single" w:sz="4" w:space="0" w:color="auto"/>
            </w:tcBorders>
          </w:tcPr>
          <w:p w:rsidR="007D4F92" w:rsidRPr="00390045" w:rsidRDefault="007D4F92" w:rsidP="007D4F92">
            <w:pPr>
              <w:pStyle w:val="Header"/>
              <w:tabs>
                <w:tab w:val="clear" w:pos="4320"/>
                <w:tab w:val="clear" w:pos="8640"/>
              </w:tabs>
              <w:jc w:val="center"/>
              <w:rPr>
                <w:b/>
                <w:sz w:val="18"/>
                <w:szCs w:val="18"/>
              </w:rPr>
            </w:pPr>
            <w:r w:rsidRPr="00390045">
              <w:rPr>
                <w:b/>
                <w:sz w:val="18"/>
                <w:szCs w:val="18"/>
              </w:rPr>
              <w:t>Goals</w:t>
            </w:r>
          </w:p>
        </w:tc>
        <w:tc>
          <w:tcPr>
            <w:tcW w:w="4320" w:type="dxa"/>
            <w:gridSpan w:val="4"/>
            <w:tcBorders>
              <w:top w:val="single" w:sz="4" w:space="0" w:color="auto"/>
              <w:left w:val="single" w:sz="4" w:space="0" w:color="auto"/>
              <w:bottom w:val="single" w:sz="4" w:space="0" w:color="auto"/>
              <w:right w:val="single" w:sz="4" w:space="0" w:color="auto"/>
            </w:tcBorders>
          </w:tcPr>
          <w:p w:rsidR="007D4F92" w:rsidRPr="00390045" w:rsidRDefault="007D4F92" w:rsidP="007D4F92">
            <w:pPr>
              <w:pStyle w:val="Header"/>
              <w:tabs>
                <w:tab w:val="clear" w:pos="4320"/>
                <w:tab w:val="clear" w:pos="8640"/>
              </w:tabs>
              <w:jc w:val="center"/>
              <w:rPr>
                <w:b/>
                <w:sz w:val="18"/>
                <w:szCs w:val="18"/>
              </w:rPr>
            </w:pPr>
            <w:r w:rsidRPr="00390045">
              <w:rPr>
                <w:b/>
                <w:sz w:val="18"/>
                <w:szCs w:val="18"/>
              </w:rPr>
              <w:t>Actual</w:t>
            </w:r>
          </w:p>
        </w:tc>
      </w:tr>
      <w:tr w:rsidR="007D4F92" w:rsidRPr="00C305FD" w:rsidTr="007D4F92">
        <w:tc>
          <w:tcPr>
            <w:tcW w:w="1620" w:type="dxa"/>
            <w:vAlign w:val="bottom"/>
          </w:tcPr>
          <w:p w:rsidR="007D4F92" w:rsidRPr="00390045" w:rsidRDefault="007D4F92" w:rsidP="007D4F92">
            <w:pPr>
              <w:pStyle w:val="Header"/>
              <w:tabs>
                <w:tab w:val="clear" w:pos="4320"/>
                <w:tab w:val="clear" w:pos="8640"/>
              </w:tabs>
              <w:jc w:val="center"/>
              <w:rPr>
                <w:b/>
                <w:sz w:val="18"/>
                <w:szCs w:val="18"/>
              </w:rPr>
            </w:pPr>
            <w:r w:rsidRPr="00390045">
              <w:rPr>
                <w:b/>
                <w:sz w:val="18"/>
                <w:szCs w:val="18"/>
              </w:rPr>
              <w:t>Hourly</w:t>
            </w:r>
          </w:p>
          <w:p w:rsidR="007D4F92" w:rsidRPr="00390045" w:rsidRDefault="007D4F92" w:rsidP="007D4F92">
            <w:pPr>
              <w:pStyle w:val="Header"/>
              <w:tabs>
                <w:tab w:val="clear" w:pos="4320"/>
                <w:tab w:val="clear" w:pos="8640"/>
              </w:tabs>
              <w:jc w:val="center"/>
              <w:rPr>
                <w:b/>
                <w:sz w:val="18"/>
                <w:szCs w:val="18"/>
              </w:rPr>
            </w:pPr>
            <w:r w:rsidRPr="00390045">
              <w:rPr>
                <w:b/>
                <w:sz w:val="18"/>
                <w:szCs w:val="18"/>
              </w:rPr>
              <w:t>Wage</w:t>
            </w:r>
          </w:p>
        </w:tc>
        <w:tc>
          <w:tcPr>
            <w:tcW w:w="990" w:type="dxa"/>
            <w:shd w:val="clear" w:color="auto" w:fill="auto"/>
            <w:vAlign w:val="bottom"/>
          </w:tcPr>
          <w:p w:rsidR="007D4F92" w:rsidRPr="00390045" w:rsidRDefault="007D4F92" w:rsidP="007D4F92">
            <w:pPr>
              <w:pStyle w:val="Header"/>
              <w:tabs>
                <w:tab w:val="clear" w:pos="4320"/>
                <w:tab w:val="clear" w:pos="8640"/>
              </w:tabs>
              <w:jc w:val="center"/>
              <w:rPr>
                <w:sz w:val="18"/>
                <w:szCs w:val="18"/>
              </w:rPr>
            </w:pPr>
            <w:r w:rsidRPr="00390045">
              <w:rPr>
                <w:b/>
                <w:sz w:val="18"/>
                <w:szCs w:val="18"/>
              </w:rPr>
              <w:t>Average Hourly Health Benefit</w:t>
            </w:r>
          </w:p>
        </w:tc>
        <w:tc>
          <w:tcPr>
            <w:tcW w:w="1170" w:type="dxa"/>
            <w:shd w:val="clear" w:color="auto" w:fill="auto"/>
            <w:vAlign w:val="bottom"/>
          </w:tcPr>
          <w:p w:rsidR="00390045" w:rsidRDefault="007D4F92" w:rsidP="007D4F92">
            <w:pPr>
              <w:pStyle w:val="Header"/>
              <w:jc w:val="center"/>
              <w:rPr>
                <w:b/>
                <w:sz w:val="18"/>
                <w:szCs w:val="18"/>
              </w:rPr>
            </w:pPr>
            <w:r w:rsidRPr="00390045">
              <w:rPr>
                <w:b/>
                <w:sz w:val="18"/>
                <w:szCs w:val="18"/>
              </w:rPr>
              <w:t>Average Hourly Non-</w:t>
            </w:r>
          </w:p>
          <w:p w:rsidR="007D4F92" w:rsidRPr="00390045" w:rsidRDefault="007D4F92" w:rsidP="007D4F92">
            <w:pPr>
              <w:pStyle w:val="Header"/>
              <w:jc w:val="center"/>
              <w:rPr>
                <w:b/>
                <w:sz w:val="18"/>
                <w:szCs w:val="18"/>
              </w:rPr>
            </w:pPr>
            <w:r w:rsidRPr="00390045">
              <w:rPr>
                <w:b/>
                <w:sz w:val="18"/>
                <w:szCs w:val="18"/>
              </w:rPr>
              <w:t>Health Benefit</w:t>
            </w:r>
          </w:p>
        </w:tc>
        <w:tc>
          <w:tcPr>
            <w:tcW w:w="990" w:type="dxa"/>
            <w:vAlign w:val="bottom"/>
          </w:tcPr>
          <w:p w:rsidR="007D4F92" w:rsidRPr="00390045" w:rsidRDefault="007D4F92" w:rsidP="007D4F92">
            <w:pPr>
              <w:pStyle w:val="Header"/>
              <w:tabs>
                <w:tab w:val="clear" w:pos="4320"/>
                <w:tab w:val="clear" w:pos="8640"/>
              </w:tabs>
              <w:jc w:val="center"/>
              <w:rPr>
                <w:b/>
                <w:sz w:val="18"/>
                <w:szCs w:val="18"/>
              </w:rPr>
            </w:pPr>
            <w:r w:rsidRPr="00390045">
              <w:rPr>
                <w:b/>
                <w:sz w:val="18"/>
                <w:szCs w:val="18"/>
              </w:rPr>
              <w:t>Number</w:t>
            </w:r>
          </w:p>
          <w:p w:rsidR="007D4F92" w:rsidRPr="00390045" w:rsidRDefault="007D4F92" w:rsidP="007D4F92">
            <w:pPr>
              <w:pStyle w:val="Header"/>
              <w:tabs>
                <w:tab w:val="clear" w:pos="4320"/>
                <w:tab w:val="clear" w:pos="8640"/>
              </w:tabs>
              <w:jc w:val="center"/>
              <w:rPr>
                <w:b/>
                <w:sz w:val="18"/>
                <w:szCs w:val="18"/>
              </w:rPr>
            </w:pPr>
            <w:r w:rsidRPr="00390045">
              <w:rPr>
                <w:b/>
                <w:sz w:val="18"/>
                <w:szCs w:val="18"/>
              </w:rPr>
              <w:t>of</w:t>
            </w:r>
          </w:p>
          <w:p w:rsidR="007D4F92" w:rsidRPr="00390045" w:rsidRDefault="007D4F92" w:rsidP="007D4F92">
            <w:pPr>
              <w:pStyle w:val="Header"/>
              <w:tabs>
                <w:tab w:val="clear" w:pos="4320"/>
                <w:tab w:val="clear" w:pos="8640"/>
              </w:tabs>
              <w:jc w:val="center"/>
              <w:rPr>
                <w:b/>
                <w:sz w:val="18"/>
                <w:szCs w:val="18"/>
              </w:rPr>
            </w:pPr>
            <w:r w:rsidRPr="00390045">
              <w:rPr>
                <w:b/>
                <w:sz w:val="18"/>
                <w:szCs w:val="18"/>
              </w:rPr>
              <w:t>Jobs</w:t>
            </w:r>
          </w:p>
        </w:tc>
        <w:tc>
          <w:tcPr>
            <w:tcW w:w="1260" w:type="dxa"/>
            <w:vAlign w:val="bottom"/>
          </w:tcPr>
          <w:p w:rsidR="007D4F92" w:rsidRPr="00390045" w:rsidRDefault="007D4F92" w:rsidP="007D4F92">
            <w:pPr>
              <w:pStyle w:val="Header"/>
              <w:tabs>
                <w:tab w:val="clear" w:pos="4320"/>
                <w:tab w:val="clear" w:pos="8640"/>
              </w:tabs>
              <w:jc w:val="center"/>
              <w:rPr>
                <w:b/>
                <w:sz w:val="18"/>
                <w:szCs w:val="18"/>
              </w:rPr>
            </w:pPr>
            <w:r w:rsidRPr="00390045">
              <w:rPr>
                <w:b/>
                <w:sz w:val="18"/>
                <w:szCs w:val="18"/>
              </w:rPr>
              <w:t>Percentage</w:t>
            </w:r>
          </w:p>
        </w:tc>
        <w:tc>
          <w:tcPr>
            <w:tcW w:w="1080" w:type="dxa"/>
            <w:shd w:val="clear" w:color="auto" w:fill="auto"/>
            <w:vAlign w:val="bottom"/>
          </w:tcPr>
          <w:p w:rsidR="007D4F92" w:rsidRPr="00390045" w:rsidRDefault="007D4F92" w:rsidP="007D4F92">
            <w:pPr>
              <w:pStyle w:val="Header"/>
              <w:tabs>
                <w:tab w:val="clear" w:pos="4320"/>
                <w:tab w:val="clear" w:pos="8640"/>
              </w:tabs>
              <w:jc w:val="center"/>
              <w:rPr>
                <w:sz w:val="18"/>
                <w:szCs w:val="18"/>
              </w:rPr>
            </w:pPr>
            <w:r w:rsidRPr="00390045">
              <w:rPr>
                <w:b/>
                <w:sz w:val="18"/>
                <w:szCs w:val="18"/>
              </w:rPr>
              <w:t>Average Hourly Health Benefit</w:t>
            </w:r>
          </w:p>
        </w:tc>
        <w:tc>
          <w:tcPr>
            <w:tcW w:w="990" w:type="dxa"/>
            <w:shd w:val="clear" w:color="auto" w:fill="auto"/>
            <w:vAlign w:val="bottom"/>
          </w:tcPr>
          <w:p w:rsidR="007D4F92" w:rsidRPr="00390045" w:rsidRDefault="007D4F92" w:rsidP="007D4F92">
            <w:pPr>
              <w:pStyle w:val="Header"/>
              <w:jc w:val="center"/>
              <w:rPr>
                <w:b/>
                <w:sz w:val="18"/>
                <w:szCs w:val="18"/>
              </w:rPr>
            </w:pPr>
            <w:r w:rsidRPr="00390045">
              <w:rPr>
                <w:b/>
                <w:sz w:val="18"/>
                <w:szCs w:val="18"/>
              </w:rPr>
              <w:t>Average Hourly Non-Health Benefit</w:t>
            </w:r>
          </w:p>
        </w:tc>
        <w:tc>
          <w:tcPr>
            <w:tcW w:w="990" w:type="dxa"/>
            <w:vAlign w:val="bottom"/>
          </w:tcPr>
          <w:p w:rsidR="007D4F92" w:rsidRPr="00390045" w:rsidRDefault="007D4F92" w:rsidP="007D4F92">
            <w:pPr>
              <w:pStyle w:val="Header"/>
              <w:tabs>
                <w:tab w:val="clear" w:pos="4320"/>
                <w:tab w:val="clear" w:pos="8640"/>
              </w:tabs>
              <w:jc w:val="center"/>
              <w:rPr>
                <w:b/>
                <w:sz w:val="18"/>
                <w:szCs w:val="18"/>
              </w:rPr>
            </w:pPr>
            <w:r w:rsidRPr="00390045">
              <w:rPr>
                <w:b/>
                <w:sz w:val="18"/>
                <w:szCs w:val="18"/>
              </w:rPr>
              <w:t>Number</w:t>
            </w:r>
          </w:p>
          <w:p w:rsidR="007D4F92" w:rsidRPr="00390045" w:rsidRDefault="007D4F92" w:rsidP="007D4F92">
            <w:pPr>
              <w:pStyle w:val="Header"/>
              <w:tabs>
                <w:tab w:val="clear" w:pos="4320"/>
                <w:tab w:val="clear" w:pos="8640"/>
              </w:tabs>
              <w:jc w:val="center"/>
              <w:rPr>
                <w:b/>
                <w:sz w:val="18"/>
                <w:szCs w:val="18"/>
              </w:rPr>
            </w:pPr>
            <w:r w:rsidRPr="00390045">
              <w:rPr>
                <w:b/>
                <w:sz w:val="18"/>
                <w:szCs w:val="18"/>
              </w:rPr>
              <w:t>of</w:t>
            </w:r>
          </w:p>
          <w:p w:rsidR="007D4F92" w:rsidRPr="00390045" w:rsidRDefault="007D4F92" w:rsidP="007D4F92">
            <w:pPr>
              <w:pStyle w:val="Header"/>
              <w:tabs>
                <w:tab w:val="clear" w:pos="4320"/>
                <w:tab w:val="clear" w:pos="8640"/>
              </w:tabs>
              <w:jc w:val="center"/>
              <w:rPr>
                <w:b/>
                <w:sz w:val="18"/>
                <w:szCs w:val="18"/>
              </w:rPr>
            </w:pPr>
            <w:r w:rsidRPr="00390045">
              <w:rPr>
                <w:b/>
                <w:sz w:val="18"/>
                <w:szCs w:val="18"/>
              </w:rPr>
              <w:t>Jobs</w:t>
            </w:r>
          </w:p>
        </w:tc>
        <w:tc>
          <w:tcPr>
            <w:tcW w:w="1260" w:type="dxa"/>
            <w:vAlign w:val="bottom"/>
          </w:tcPr>
          <w:p w:rsidR="007D4F92" w:rsidRPr="00390045" w:rsidRDefault="007D4F92" w:rsidP="007D4F92">
            <w:pPr>
              <w:pStyle w:val="Header"/>
              <w:tabs>
                <w:tab w:val="clear" w:pos="4320"/>
                <w:tab w:val="clear" w:pos="8640"/>
              </w:tabs>
              <w:jc w:val="center"/>
              <w:rPr>
                <w:b/>
                <w:sz w:val="18"/>
                <w:szCs w:val="18"/>
              </w:rPr>
            </w:pPr>
            <w:r w:rsidRPr="00390045">
              <w:rPr>
                <w:b/>
                <w:sz w:val="18"/>
                <w:szCs w:val="18"/>
              </w:rPr>
              <w:t>Percentage</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No Hourly Wage</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25</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3.9%</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Less than $7.00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$7.00 to $8.99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3</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0.5%</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$9.00 to $10.99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0.3%</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$11.00 to $12.99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19</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2.9%</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1</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0.3%</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$13.00 to $14.99</w:t>
            </w:r>
          </w:p>
        </w:tc>
        <w:tc>
          <w:tcPr>
            <w:tcW w:w="990" w:type="dxa"/>
            <w:shd w:val="clear" w:color="auto" w:fill="auto"/>
          </w:tcPr>
          <w:p w:rsidR="007D4F92" w:rsidRPr="00390045" w:rsidRDefault="007D4F92" w:rsidP="007D4F92">
            <w:pPr>
              <w:jc w:val="center"/>
              <w:rPr>
                <w:sz w:val="18"/>
                <w:szCs w:val="18"/>
              </w:rPr>
            </w:pPr>
            <w:r w:rsidRPr="00390045">
              <w:rPr>
                <w:sz w:val="18"/>
                <w:szCs w:val="18"/>
              </w:rPr>
              <w:t>$4.00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6</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0.9%</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8</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2.6%</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$15.00 to $16.99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7D4F92" w:rsidP="007D4F92">
            <w:pPr>
              <w:jc w:val="center"/>
              <w:rPr>
                <w:sz w:val="18"/>
                <w:szCs w:val="18"/>
              </w:rPr>
            </w:pPr>
            <w:r w:rsidRPr="00390045">
              <w:rPr>
                <w:sz w:val="18"/>
                <w:szCs w:val="18"/>
              </w:rPr>
              <w:t>142</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22.0%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7D4F92" w:rsidP="007D4F92">
            <w:pPr>
              <w:jc w:val="center"/>
              <w:rPr>
                <w:sz w:val="18"/>
                <w:szCs w:val="18"/>
              </w:rPr>
            </w:pPr>
            <w:r w:rsidRPr="00390045">
              <w:rPr>
                <w:sz w:val="18"/>
                <w:szCs w:val="18"/>
              </w:rPr>
              <w:t>140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45.9%</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$17.00 to $18.99</w:t>
            </w:r>
          </w:p>
        </w:tc>
        <w:tc>
          <w:tcPr>
            <w:tcW w:w="990" w:type="dxa"/>
            <w:shd w:val="clear" w:color="auto" w:fill="auto"/>
          </w:tcPr>
          <w:p w:rsidR="007D4F92" w:rsidRPr="00390045" w:rsidRDefault="007D4F92" w:rsidP="007D4F92">
            <w:pPr>
              <w:jc w:val="center"/>
              <w:rPr>
                <w:sz w:val="18"/>
                <w:szCs w:val="18"/>
              </w:rPr>
            </w:pPr>
            <w:r w:rsidRPr="00390045">
              <w:rPr>
                <w:sz w:val="18"/>
                <w:szCs w:val="18"/>
              </w:rPr>
              <w:t>$3.46</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7D4F92" w:rsidP="007D4F92">
            <w:pPr>
              <w:jc w:val="center"/>
              <w:rPr>
                <w:sz w:val="18"/>
                <w:szCs w:val="18"/>
              </w:rPr>
            </w:pPr>
            <w:r w:rsidRPr="00390045">
              <w:rPr>
                <w:sz w:val="18"/>
                <w:szCs w:val="18"/>
              </w:rPr>
              <w:t>239</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37.0%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$19.00 to $20.99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1</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0.2%</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$21.00 to $22.99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25</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3.9%</w:t>
            </w:r>
          </w:p>
        </w:tc>
        <w:tc>
          <w:tcPr>
            <w:tcW w:w="1080" w:type="dxa"/>
            <w:shd w:val="clear" w:color="auto" w:fill="auto"/>
          </w:tcPr>
          <w:p w:rsidR="007D4F92" w:rsidRPr="00390045" w:rsidRDefault="007D4F92" w:rsidP="007D4F92">
            <w:pPr>
              <w:jc w:val="center"/>
              <w:rPr>
                <w:sz w:val="18"/>
                <w:szCs w:val="18"/>
              </w:rPr>
            </w:pPr>
            <w:r w:rsidRPr="00390045">
              <w:rPr>
                <w:sz w:val="18"/>
                <w:szCs w:val="18"/>
              </w:rPr>
              <w:t>$3.70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61</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$23.00 to $24.99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3</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1.0%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$25.00 to $26.99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$27.00 to $28.99</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$29.00 to $30.99</w:t>
            </w:r>
          </w:p>
        </w:tc>
        <w:tc>
          <w:tcPr>
            <w:tcW w:w="990" w:type="dxa"/>
            <w:shd w:val="clear" w:color="auto" w:fill="auto"/>
          </w:tcPr>
          <w:p w:rsidR="007D4F92" w:rsidRPr="00390045" w:rsidRDefault="007D4F92" w:rsidP="007D4F92">
            <w:pPr>
              <w:jc w:val="center"/>
              <w:rPr>
                <w:sz w:val="18"/>
                <w:szCs w:val="18"/>
              </w:rPr>
            </w:pPr>
            <w:r w:rsidRPr="00390045">
              <w:rPr>
                <w:sz w:val="18"/>
                <w:szCs w:val="18"/>
              </w:rPr>
              <w:t>$5.00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7D4F92" w:rsidP="007D4F92">
            <w:pPr>
              <w:jc w:val="center"/>
              <w:rPr>
                <w:sz w:val="18"/>
                <w:szCs w:val="18"/>
              </w:rPr>
            </w:pPr>
            <w:r w:rsidRPr="00390045">
              <w:rPr>
                <w:sz w:val="18"/>
                <w:szCs w:val="18"/>
              </w:rPr>
              <w:t>184</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28.5%</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r>
      <w:tr w:rsidR="007D4F92" w:rsidRPr="00C305FD" w:rsidTr="007D4F92">
        <w:tc>
          <w:tcPr>
            <w:tcW w:w="1620" w:type="dxa"/>
          </w:tcPr>
          <w:p w:rsidR="007D4F92" w:rsidRPr="00390045" w:rsidRDefault="007D4F92" w:rsidP="007D4F92">
            <w:pPr>
              <w:pStyle w:val="Header"/>
              <w:tabs>
                <w:tab w:val="clear" w:pos="4320"/>
                <w:tab w:val="clear" w:pos="8640"/>
              </w:tabs>
              <w:rPr>
                <w:sz w:val="18"/>
                <w:szCs w:val="18"/>
              </w:rPr>
            </w:pPr>
            <w:r w:rsidRPr="00390045">
              <w:rPr>
                <w:sz w:val="18"/>
                <w:szCs w:val="18"/>
              </w:rPr>
              <w:t>$31.00 &amp; higher</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117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0.0%</w:t>
            </w:r>
          </w:p>
        </w:tc>
        <w:tc>
          <w:tcPr>
            <w:tcW w:w="108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shd w:val="clear" w:color="auto" w:fill="auto"/>
          </w:tcPr>
          <w:p w:rsidR="007D4F92" w:rsidRPr="00390045" w:rsidRDefault="007D4F92" w:rsidP="007D4F92">
            <w:pPr>
              <w:jc w:val="center"/>
              <w:rPr>
                <w:sz w:val="18"/>
                <w:szCs w:val="18"/>
              </w:rPr>
            </w:pPr>
            <w:r w:rsidRPr="00390045">
              <w:rPr>
                <w:sz w:val="18"/>
                <w:szCs w:val="18"/>
              </w:rPr>
              <w:t>$0.00</w:t>
            </w:r>
          </w:p>
        </w:tc>
        <w:tc>
          <w:tcPr>
            <w:tcW w:w="99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91</w:t>
            </w:r>
          </w:p>
        </w:tc>
        <w:tc>
          <w:tcPr>
            <w:tcW w:w="1260" w:type="dxa"/>
          </w:tcPr>
          <w:p w:rsidR="007D4F92" w:rsidRPr="00390045" w:rsidRDefault="00390045" w:rsidP="007D4F92">
            <w:pPr>
              <w:jc w:val="center"/>
              <w:rPr>
                <w:sz w:val="18"/>
                <w:szCs w:val="18"/>
              </w:rPr>
            </w:pPr>
            <w:r>
              <w:rPr>
                <w:sz w:val="18"/>
                <w:szCs w:val="18"/>
              </w:rPr>
              <w:t xml:space="preserve"> </w:t>
            </w:r>
            <w:r w:rsidR="007D4F92" w:rsidRPr="00390045">
              <w:rPr>
                <w:sz w:val="18"/>
                <w:szCs w:val="18"/>
              </w:rPr>
              <w:t>29.8%</w:t>
            </w:r>
          </w:p>
        </w:tc>
      </w:tr>
      <w:tr w:rsidR="007D4F92" w:rsidRPr="00C305FD" w:rsidTr="007D4F92">
        <w:tc>
          <w:tcPr>
            <w:tcW w:w="1620" w:type="dxa"/>
          </w:tcPr>
          <w:p w:rsidR="007D4F92" w:rsidRPr="00390045" w:rsidRDefault="007D4F92" w:rsidP="007D4F92">
            <w:pPr>
              <w:pStyle w:val="Header"/>
              <w:tabs>
                <w:tab w:val="clear" w:pos="4320"/>
                <w:tab w:val="clear" w:pos="8640"/>
              </w:tabs>
              <w:rPr>
                <w:b/>
                <w:sz w:val="18"/>
                <w:szCs w:val="18"/>
              </w:rPr>
            </w:pPr>
            <w:r w:rsidRPr="00390045">
              <w:rPr>
                <w:b/>
                <w:sz w:val="18"/>
                <w:szCs w:val="18"/>
              </w:rPr>
              <w:t>Total</w:t>
            </w:r>
          </w:p>
        </w:tc>
        <w:tc>
          <w:tcPr>
            <w:tcW w:w="990" w:type="dxa"/>
            <w:shd w:val="clear" w:color="auto" w:fill="auto"/>
          </w:tcPr>
          <w:p w:rsidR="007D4F92" w:rsidRPr="00390045" w:rsidRDefault="007D4F92" w:rsidP="007D4F92">
            <w:pPr>
              <w:jc w:val="center"/>
              <w:rPr>
                <w:b/>
                <w:sz w:val="18"/>
                <w:szCs w:val="18"/>
              </w:rPr>
            </w:pPr>
            <w:r w:rsidRPr="00390045">
              <w:rPr>
                <w:b/>
                <w:sz w:val="18"/>
                <w:szCs w:val="18"/>
              </w:rPr>
              <w:t>$4.15</w:t>
            </w:r>
          </w:p>
        </w:tc>
        <w:tc>
          <w:tcPr>
            <w:tcW w:w="1170" w:type="dxa"/>
            <w:shd w:val="clear" w:color="auto" w:fill="auto"/>
          </w:tcPr>
          <w:p w:rsidR="007D4F92" w:rsidRPr="00390045" w:rsidRDefault="007D4F92" w:rsidP="007D4F92">
            <w:pPr>
              <w:jc w:val="center"/>
              <w:rPr>
                <w:b/>
                <w:sz w:val="18"/>
                <w:szCs w:val="18"/>
              </w:rPr>
            </w:pPr>
            <w:r w:rsidRPr="00390045">
              <w:rPr>
                <w:b/>
                <w:sz w:val="18"/>
                <w:szCs w:val="18"/>
              </w:rPr>
              <w:t>$0.00</w:t>
            </w:r>
          </w:p>
        </w:tc>
        <w:tc>
          <w:tcPr>
            <w:tcW w:w="990" w:type="dxa"/>
          </w:tcPr>
          <w:p w:rsidR="007D4F92" w:rsidRPr="00390045" w:rsidRDefault="007D4F92" w:rsidP="007D4F92">
            <w:pPr>
              <w:jc w:val="center"/>
              <w:rPr>
                <w:b/>
                <w:sz w:val="18"/>
                <w:szCs w:val="18"/>
              </w:rPr>
            </w:pPr>
            <w:r w:rsidRPr="00390045">
              <w:rPr>
                <w:b/>
                <w:sz w:val="18"/>
                <w:szCs w:val="18"/>
              </w:rPr>
              <w:t>646</w:t>
            </w:r>
          </w:p>
        </w:tc>
        <w:tc>
          <w:tcPr>
            <w:tcW w:w="1260" w:type="dxa"/>
          </w:tcPr>
          <w:p w:rsidR="007D4F92" w:rsidRPr="00390045" w:rsidRDefault="007D4F92" w:rsidP="007D4F92">
            <w:pPr>
              <w:jc w:val="center"/>
              <w:rPr>
                <w:b/>
                <w:sz w:val="18"/>
                <w:szCs w:val="18"/>
              </w:rPr>
            </w:pPr>
            <w:r w:rsidRPr="00390045">
              <w:rPr>
                <w:b/>
                <w:sz w:val="18"/>
                <w:szCs w:val="18"/>
              </w:rPr>
              <w:t>100.0%</w:t>
            </w:r>
          </w:p>
        </w:tc>
        <w:tc>
          <w:tcPr>
            <w:tcW w:w="1080" w:type="dxa"/>
            <w:shd w:val="clear" w:color="auto" w:fill="auto"/>
          </w:tcPr>
          <w:p w:rsidR="007D4F92" w:rsidRPr="00390045" w:rsidRDefault="007D4F92" w:rsidP="007D4F92">
            <w:pPr>
              <w:jc w:val="center"/>
              <w:rPr>
                <w:b/>
                <w:sz w:val="18"/>
                <w:szCs w:val="18"/>
              </w:rPr>
            </w:pPr>
            <w:r w:rsidRPr="00390045">
              <w:rPr>
                <w:b/>
                <w:sz w:val="18"/>
                <w:szCs w:val="18"/>
              </w:rPr>
              <w:t>$3.70</w:t>
            </w:r>
          </w:p>
        </w:tc>
        <w:tc>
          <w:tcPr>
            <w:tcW w:w="990" w:type="dxa"/>
            <w:shd w:val="clear" w:color="auto" w:fill="auto"/>
          </w:tcPr>
          <w:p w:rsidR="007D4F92" w:rsidRPr="00390045" w:rsidRDefault="007D4F92" w:rsidP="007D4F92">
            <w:pPr>
              <w:jc w:val="center"/>
              <w:rPr>
                <w:b/>
                <w:sz w:val="18"/>
                <w:szCs w:val="18"/>
              </w:rPr>
            </w:pPr>
            <w:r w:rsidRPr="00390045">
              <w:rPr>
                <w:b/>
                <w:sz w:val="18"/>
                <w:szCs w:val="18"/>
              </w:rPr>
              <w:t>$0.00</w:t>
            </w:r>
          </w:p>
        </w:tc>
        <w:tc>
          <w:tcPr>
            <w:tcW w:w="990" w:type="dxa"/>
          </w:tcPr>
          <w:p w:rsidR="007D4F92" w:rsidRPr="00390045" w:rsidRDefault="007D4F92" w:rsidP="007D4F92">
            <w:pPr>
              <w:jc w:val="center"/>
              <w:rPr>
                <w:b/>
                <w:sz w:val="18"/>
                <w:szCs w:val="18"/>
              </w:rPr>
            </w:pPr>
            <w:r w:rsidRPr="00390045">
              <w:rPr>
                <w:b/>
                <w:sz w:val="18"/>
                <w:szCs w:val="18"/>
              </w:rPr>
              <w:t>305</w:t>
            </w:r>
          </w:p>
        </w:tc>
        <w:tc>
          <w:tcPr>
            <w:tcW w:w="1260" w:type="dxa"/>
          </w:tcPr>
          <w:p w:rsidR="007D4F92" w:rsidRPr="00390045" w:rsidRDefault="007D4F92" w:rsidP="007D4F92">
            <w:pPr>
              <w:jc w:val="center"/>
              <w:rPr>
                <w:b/>
                <w:sz w:val="18"/>
                <w:szCs w:val="18"/>
              </w:rPr>
            </w:pPr>
            <w:r w:rsidRPr="00390045">
              <w:rPr>
                <w:b/>
                <w:sz w:val="18"/>
                <w:szCs w:val="18"/>
              </w:rPr>
              <w:t>100.0%</w:t>
            </w:r>
          </w:p>
        </w:tc>
      </w:tr>
    </w:tbl>
    <w:p w:rsidR="00B54F71" w:rsidRPr="00C305FD" w:rsidRDefault="00B54F71" w:rsidP="00DA6629">
      <w:pPr>
        <w:pStyle w:val="Header"/>
        <w:tabs>
          <w:tab w:val="clear" w:pos="4320"/>
          <w:tab w:val="clear" w:pos="8640"/>
        </w:tabs>
        <w:rPr>
          <w:i/>
        </w:rPr>
      </w:pPr>
    </w:p>
    <w:p w:rsidR="00355BFA" w:rsidRDefault="00355BFA" w:rsidP="00DA6629">
      <w:pPr>
        <w:pStyle w:val="Header"/>
        <w:tabs>
          <w:tab w:val="clear" w:pos="4320"/>
          <w:tab w:val="clear" w:pos="8640"/>
        </w:tabs>
        <w:rPr>
          <w:i/>
        </w:rPr>
      </w:pPr>
    </w:p>
    <w:p w:rsidR="00BB676B" w:rsidRPr="00FF3B98" w:rsidRDefault="00FF3B98" w:rsidP="00DA6629">
      <w:pPr>
        <w:pStyle w:val="Header"/>
        <w:tabs>
          <w:tab w:val="clear" w:pos="4320"/>
          <w:tab w:val="clear" w:pos="8640"/>
        </w:tabs>
        <w:rPr>
          <w:i/>
        </w:rPr>
      </w:pPr>
      <w:r w:rsidRPr="003E2C85">
        <w:rPr>
          <w:i/>
        </w:rPr>
        <w:t>Part-time Job Creation and Wages</w:t>
      </w:r>
    </w:p>
    <w:p w:rsidR="002F2E99" w:rsidRDefault="00DF45B7" w:rsidP="002F2E99">
      <w:pPr>
        <w:pStyle w:val="Header"/>
        <w:tabs>
          <w:tab w:val="clear" w:pos="4320"/>
          <w:tab w:val="clear" w:pos="8640"/>
        </w:tabs>
      </w:pPr>
      <w:r>
        <w:t>Of the 20</w:t>
      </w:r>
      <w:r w:rsidR="00FF3B98">
        <w:t xml:space="preserve"> eligible business assistanc</w:t>
      </w:r>
      <w:r w:rsidR="00044A4D">
        <w:t>e agreements, a</w:t>
      </w:r>
      <w:r w:rsidR="00FA4AC7">
        <w:t xml:space="preserve">gencies reported </w:t>
      </w:r>
      <w:r w:rsidR="00AB0A37">
        <w:t>a part-time job creation goal of three jobs with an average</w:t>
      </w:r>
      <w:r w:rsidR="00044A4D">
        <w:t xml:space="preserve"> hourly health benefit</w:t>
      </w:r>
      <w:r w:rsidR="00AB0A37">
        <w:t xml:space="preserve"> of $1.13.  Agencies reported three</w:t>
      </w:r>
      <w:r w:rsidR="00FF3B98">
        <w:t xml:space="preserve"> actual part-time jobs.  The distributio</w:t>
      </w:r>
      <w:r w:rsidR="00044A4D">
        <w:t xml:space="preserve">n of part-time job creation, </w:t>
      </w:r>
      <w:r w:rsidR="00FF3B98">
        <w:t xml:space="preserve">wage goals and actual performance </w:t>
      </w:r>
      <w:r w:rsidR="005E2315">
        <w:t>can be seen in Table 7.</w:t>
      </w:r>
    </w:p>
    <w:p w:rsidR="000F1841" w:rsidRDefault="000F1841" w:rsidP="002F2E99">
      <w:pPr>
        <w:pStyle w:val="Header"/>
        <w:tabs>
          <w:tab w:val="clear" w:pos="4320"/>
          <w:tab w:val="clear" w:pos="8640"/>
        </w:tabs>
        <w:rPr>
          <w:highlight w:val="magenta"/>
        </w:rPr>
      </w:pPr>
    </w:p>
    <w:p w:rsidR="000F1841" w:rsidRPr="00F4352E" w:rsidRDefault="000F1841" w:rsidP="000F1841">
      <w:pPr>
        <w:pStyle w:val="Header"/>
        <w:tabs>
          <w:tab w:val="clear" w:pos="4320"/>
          <w:tab w:val="clear" w:pos="8640"/>
        </w:tabs>
        <w:ind w:left="360"/>
        <w:jc w:val="center"/>
        <w:rPr>
          <w:sz w:val="20"/>
          <w:szCs w:val="20"/>
        </w:rPr>
      </w:pPr>
      <w:r w:rsidRPr="00F4352E">
        <w:rPr>
          <w:sz w:val="20"/>
          <w:szCs w:val="20"/>
        </w:rPr>
        <w:t>TABLE 7</w:t>
      </w:r>
    </w:p>
    <w:p w:rsidR="000F1841" w:rsidRPr="00F4352E" w:rsidRDefault="000F1841" w:rsidP="000F1841">
      <w:pPr>
        <w:pStyle w:val="Header"/>
        <w:tabs>
          <w:tab w:val="clear" w:pos="4320"/>
          <w:tab w:val="clear" w:pos="8640"/>
        </w:tabs>
        <w:ind w:left="360"/>
        <w:jc w:val="center"/>
        <w:rPr>
          <w:sz w:val="20"/>
          <w:szCs w:val="20"/>
        </w:rPr>
      </w:pPr>
      <w:r w:rsidRPr="00F4352E">
        <w:rPr>
          <w:sz w:val="20"/>
          <w:szCs w:val="20"/>
        </w:rPr>
        <w:t>Distribution of Non-JOBZ Part-time Job Creation, Wage Goals and Actual Performance for Agreements Reached Between January 1, 2013 and December 31, 2013</w:t>
      </w:r>
    </w:p>
    <w:p w:rsidR="000F1841" w:rsidRDefault="000F1841" w:rsidP="000F1841">
      <w:pPr>
        <w:pStyle w:val="Header"/>
        <w:tabs>
          <w:tab w:val="clear" w:pos="4320"/>
          <w:tab w:val="clear" w:pos="8640"/>
        </w:tabs>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90"/>
        <w:gridCol w:w="1170"/>
        <w:gridCol w:w="990"/>
        <w:gridCol w:w="1260"/>
        <w:gridCol w:w="1080"/>
        <w:gridCol w:w="990"/>
        <w:gridCol w:w="990"/>
        <w:gridCol w:w="1260"/>
      </w:tblGrid>
      <w:tr w:rsidR="000F1841" w:rsidRPr="00956FAD" w:rsidTr="000F1841">
        <w:tc>
          <w:tcPr>
            <w:tcW w:w="6030" w:type="dxa"/>
            <w:gridSpan w:val="5"/>
          </w:tcPr>
          <w:p w:rsidR="000F1841" w:rsidRPr="00D9593B" w:rsidRDefault="000F1841" w:rsidP="000F1841">
            <w:pPr>
              <w:pStyle w:val="Header"/>
              <w:tabs>
                <w:tab w:val="clear" w:pos="4320"/>
                <w:tab w:val="clear" w:pos="8640"/>
              </w:tabs>
              <w:jc w:val="center"/>
              <w:rPr>
                <w:b/>
                <w:sz w:val="18"/>
                <w:szCs w:val="18"/>
              </w:rPr>
            </w:pPr>
            <w:r w:rsidRPr="00D9593B">
              <w:rPr>
                <w:b/>
                <w:sz w:val="18"/>
                <w:szCs w:val="18"/>
              </w:rPr>
              <w:t>Goals</w:t>
            </w:r>
          </w:p>
        </w:tc>
        <w:tc>
          <w:tcPr>
            <w:tcW w:w="4320" w:type="dxa"/>
            <w:gridSpan w:val="4"/>
          </w:tcPr>
          <w:p w:rsidR="000F1841" w:rsidRPr="00D9593B" w:rsidRDefault="000F1841" w:rsidP="000F1841">
            <w:pPr>
              <w:pStyle w:val="Header"/>
              <w:tabs>
                <w:tab w:val="clear" w:pos="4320"/>
                <w:tab w:val="clear" w:pos="8640"/>
              </w:tabs>
              <w:jc w:val="center"/>
              <w:rPr>
                <w:b/>
                <w:sz w:val="18"/>
                <w:szCs w:val="18"/>
              </w:rPr>
            </w:pPr>
            <w:r w:rsidRPr="00D9593B">
              <w:rPr>
                <w:b/>
                <w:sz w:val="18"/>
                <w:szCs w:val="18"/>
              </w:rPr>
              <w:t>Actual</w:t>
            </w:r>
          </w:p>
        </w:tc>
      </w:tr>
      <w:tr w:rsidR="000F1841" w:rsidRPr="00956FAD" w:rsidTr="000F1841">
        <w:tc>
          <w:tcPr>
            <w:tcW w:w="1620" w:type="dxa"/>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Hourly</w:t>
            </w:r>
          </w:p>
          <w:p w:rsidR="000F1841" w:rsidRPr="00D9593B" w:rsidRDefault="000F1841" w:rsidP="000F1841">
            <w:pPr>
              <w:pStyle w:val="Header"/>
              <w:tabs>
                <w:tab w:val="clear" w:pos="4320"/>
                <w:tab w:val="clear" w:pos="8640"/>
              </w:tabs>
              <w:jc w:val="center"/>
              <w:rPr>
                <w:b/>
                <w:sz w:val="18"/>
                <w:szCs w:val="18"/>
              </w:rPr>
            </w:pPr>
            <w:r w:rsidRPr="00D9593B">
              <w:rPr>
                <w:b/>
                <w:sz w:val="18"/>
                <w:szCs w:val="18"/>
              </w:rPr>
              <w:t>Wage</w:t>
            </w:r>
          </w:p>
        </w:tc>
        <w:tc>
          <w:tcPr>
            <w:tcW w:w="990" w:type="dxa"/>
            <w:shd w:val="clear" w:color="auto" w:fill="auto"/>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Average Hourly Health Benefit</w:t>
            </w:r>
          </w:p>
        </w:tc>
        <w:tc>
          <w:tcPr>
            <w:tcW w:w="1170" w:type="dxa"/>
            <w:shd w:val="clear" w:color="auto" w:fill="auto"/>
            <w:vAlign w:val="bottom"/>
          </w:tcPr>
          <w:p w:rsidR="000F1841" w:rsidRDefault="000F1841" w:rsidP="000F1841">
            <w:pPr>
              <w:pStyle w:val="Header"/>
              <w:jc w:val="center"/>
              <w:rPr>
                <w:b/>
                <w:sz w:val="18"/>
                <w:szCs w:val="18"/>
              </w:rPr>
            </w:pPr>
            <w:r w:rsidRPr="00D9593B">
              <w:rPr>
                <w:b/>
                <w:sz w:val="18"/>
                <w:szCs w:val="18"/>
              </w:rPr>
              <w:t>Average Hourly Non-</w:t>
            </w:r>
          </w:p>
          <w:p w:rsidR="000F1841" w:rsidRPr="00D9593B" w:rsidRDefault="000F1841" w:rsidP="000F1841">
            <w:pPr>
              <w:pStyle w:val="Header"/>
              <w:jc w:val="center"/>
              <w:rPr>
                <w:b/>
                <w:sz w:val="18"/>
                <w:szCs w:val="18"/>
              </w:rPr>
            </w:pPr>
            <w:r w:rsidRPr="00D9593B">
              <w:rPr>
                <w:b/>
                <w:sz w:val="18"/>
                <w:szCs w:val="18"/>
              </w:rPr>
              <w:t>Health Benefit</w:t>
            </w:r>
          </w:p>
        </w:tc>
        <w:tc>
          <w:tcPr>
            <w:tcW w:w="990" w:type="dxa"/>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Number</w:t>
            </w:r>
          </w:p>
          <w:p w:rsidR="000F1841" w:rsidRPr="00D9593B" w:rsidRDefault="000F1841" w:rsidP="000F1841">
            <w:pPr>
              <w:pStyle w:val="Header"/>
              <w:tabs>
                <w:tab w:val="clear" w:pos="4320"/>
                <w:tab w:val="clear" w:pos="8640"/>
              </w:tabs>
              <w:jc w:val="center"/>
              <w:rPr>
                <w:b/>
                <w:sz w:val="18"/>
                <w:szCs w:val="18"/>
              </w:rPr>
            </w:pPr>
            <w:r w:rsidRPr="00D9593B">
              <w:rPr>
                <w:b/>
                <w:sz w:val="18"/>
                <w:szCs w:val="18"/>
              </w:rPr>
              <w:t>of</w:t>
            </w:r>
          </w:p>
          <w:p w:rsidR="000F1841" w:rsidRPr="00D9593B" w:rsidRDefault="000F1841" w:rsidP="000F1841">
            <w:pPr>
              <w:pStyle w:val="Header"/>
              <w:tabs>
                <w:tab w:val="clear" w:pos="4320"/>
                <w:tab w:val="clear" w:pos="8640"/>
              </w:tabs>
              <w:jc w:val="center"/>
              <w:rPr>
                <w:b/>
                <w:sz w:val="18"/>
                <w:szCs w:val="18"/>
              </w:rPr>
            </w:pPr>
            <w:r w:rsidRPr="00D9593B">
              <w:rPr>
                <w:b/>
                <w:sz w:val="18"/>
                <w:szCs w:val="18"/>
              </w:rPr>
              <w:t>Jobs</w:t>
            </w:r>
          </w:p>
        </w:tc>
        <w:tc>
          <w:tcPr>
            <w:tcW w:w="1260" w:type="dxa"/>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Percentage</w:t>
            </w:r>
          </w:p>
        </w:tc>
        <w:tc>
          <w:tcPr>
            <w:tcW w:w="1080" w:type="dxa"/>
            <w:shd w:val="clear" w:color="auto" w:fill="auto"/>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Average Hourly Health Benefit</w:t>
            </w:r>
          </w:p>
        </w:tc>
        <w:tc>
          <w:tcPr>
            <w:tcW w:w="990" w:type="dxa"/>
            <w:shd w:val="clear" w:color="auto" w:fill="auto"/>
            <w:vAlign w:val="bottom"/>
          </w:tcPr>
          <w:p w:rsidR="000F1841" w:rsidRPr="00D9593B" w:rsidRDefault="000F1841" w:rsidP="000F1841">
            <w:pPr>
              <w:pStyle w:val="Header"/>
              <w:jc w:val="center"/>
              <w:rPr>
                <w:b/>
                <w:sz w:val="18"/>
                <w:szCs w:val="18"/>
              </w:rPr>
            </w:pPr>
            <w:r w:rsidRPr="00D9593B">
              <w:rPr>
                <w:b/>
                <w:sz w:val="18"/>
                <w:szCs w:val="18"/>
              </w:rPr>
              <w:t>Average Hourly Non-Health Benefit</w:t>
            </w:r>
          </w:p>
        </w:tc>
        <w:tc>
          <w:tcPr>
            <w:tcW w:w="990" w:type="dxa"/>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Number</w:t>
            </w:r>
          </w:p>
          <w:p w:rsidR="000F1841" w:rsidRPr="00D9593B" w:rsidRDefault="000F1841" w:rsidP="000F1841">
            <w:pPr>
              <w:pStyle w:val="Header"/>
              <w:tabs>
                <w:tab w:val="clear" w:pos="4320"/>
                <w:tab w:val="clear" w:pos="8640"/>
              </w:tabs>
              <w:jc w:val="center"/>
              <w:rPr>
                <w:b/>
                <w:sz w:val="18"/>
                <w:szCs w:val="18"/>
              </w:rPr>
            </w:pPr>
            <w:r w:rsidRPr="00D9593B">
              <w:rPr>
                <w:b/>
                <w:sz w:val="18"/>
                <w:szCs w:val="18"/>
              </w:rPr>
              <w:t>of</w:t>
            </w:r>
          </w:p>
          <w:p w:rsidR="000F1841" w:rsidRPr="00D9593B" w:rsidRDefault="000F1841" w:rsidP="000F1841">
            <w:pPr>
              <w:pStyle w:val="Header"/>
              <w:tabs>
                <w:tab w:val="clear" w:pos="4320"/>
                <w:tab w:val="clear" w:pos="8640"/>
              </w:tabs>
              <w:jc w:val="center"/>
              <w:rPr>
                <w:b/>
                <w:sz w:val="18"/>
                <w:szCs w:val="18"/>
              </w:rPr>
            </w:pPr>
            <w:r w:rsidRPr="00D9593B">
              <w:rPr>
                <w:b/>
                <w:sz w:val="18"/>
                <w:szCs w:val="18"/>
              </w:rPr>
              <w:t>Jobs</w:t>
            </w:r>
          </w:p>
        </w:tc>
        <w:tc>
          <w:tcPr>
            <w:tcW w:w="1260" w:type="dxa"/>
            <w:vAlign w:val="bottom"/>
          </w:tcPr>
          <w:p w:rsidR="000F1841" w:rsidRPr="00D9593B" w:rsidRDefault="000F1841" w:rsidP="000F1841">
            <w:pPr>
              <w:pStyle w:val="Header"/>
              <w:tabs>
                <w:tab w:val="clear" w:pos="4320"/>
                <w:tab w:val="clear" w:pos="8640"/>
              </w:tabs>
              <w:jc w:val="center"/>
              <w:rPr>
                <w:b/>
                <w:sz w:val="18"/>
                <w:szCs w:val="18"/>
              </w:rPr>
            </w:pPr>
            <w:r w:rsidRPr="00D9593B">
              <w:rPr>
                <w:b/>
                <w:sz w:val="18"/>
                <w:szCs w:val="18"/>
              </w:rPr>
              <w:t>Percentage</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No Hourly Wage</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Less than $7.00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$7.00 to $8.99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$9.00 to $10.99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$11.00 to $12.99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$1.13</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3</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100.0%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3</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100.0%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$13.00 to $14.99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$15.00 to $16.99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$17.00 to $18.99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$19.00 to $20.99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$21.00 to $22.99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$23.00 to $24.99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$25.00 to $26.99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$27.00 to $28.99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$29.00 to $30.99</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sz w:val="18"/>
                <w:szCs w:val="18"/>
              </w:rPr>
            </w:pPr>
            <w:r w:rsidRPr="00D9593B">
              <w:rPr>
                <w:sz w:val="18"/>
                <w:szCs w:val="18"/>
              </w:rPr>
              <w:t>$31.00  &amp; higher</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117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c>
          <w:tcPr>
            <w:tcW w:w="108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shd w:val="clear" w:color="auto" w:fill="auto"/>
          </w:tcPr>
          <w:p w:rsidR="000F1841" w:rsidRPr="00D9593B" w:rsidRDefault="000F1841" w:rsidP="000F1841">
            <w:pPr>
              <w:rPr>
                <w:sz w:val="18"/>
                <w:szCs w:val="18"/>
              </w:rPr>
            </w:pPr>
            <w:r>
              <w:rPr>
                <w:sz w:val="18"/>
                <w:szCs w:val="18"/>
              </w:rPr>
              <w:t xml:space="preserve">    </w:t>
            </w:r>
            <w:r w:rsidRPr="00D9593B">
              <w:rPr>
                <w:sz w:val="18"/>
                <w:szCs w:val="18"/>
              </w:rPr>
              <w:t>$0.00</w:t>
            </w:r>
          </w:p>
        </w:tc>
        <w:tc>
          <w:tcPr>
            <w:tcW w:w="990" w:type="dxa"/>
          </w:tcPr>
          <w:p w:rsidR="000F1841" w:rsidRPr="00D9593B" w:rsidRDefault="000F1841" w:rsidP="000F1841">
            <w:pPr>
              <w:rPr>
                <w:sz w:val="18"/>
                <w:szCs w:val="18"/>
              </w:rPr>
            </w:pPr>
            <w:r>
              <w:rPr>
                <w:sz w:val="18"/>
                <w:szCs w:val="18"/>
              </w:rPr>
              <w:t xml:space="preserve">        </w:t>
            </w:r>
            <w:r w:rsidRPr="00D9593B">
              <w:rPr>
                <w:sz w:val="18"/>
                <w:szCs w:val="18"/>
              </w:rPr>
              <w:t>0</w:t>
            </w:r>
          </w:p>
        </w:tc>
        <w:tc>
          <w:tcPr>
            <w:tcW w:w="1260" w:type="dxa"/>
          </w:tcPr>
          <w:p w:rsidR="000F1841" w:rsidRPr="00D9593B" w:rsidRDefault="000F1841" w:rsidP="000F1841">
            <w:pPr>
              <w:rPr>
                <w:sz w:val="18"/>
                <w:szCs w:val="18"/>
              </w:rPr>
            </w:pPr>
            <w:r>
              <w:rPr>
                <w:sz w:val="18"/>
                <w:szCs w:val="18"/>
              </w:rPr>
              <w:t xml:space="preserve">          </w:t>
            </w:r>
            <w:r w:rsidRPr="00D9593B">
              <w:rPr>
                <w:sz w:val="18"/>
                <w:szCs w:val="18"/>
              </w:rPr>
              <w:t>0.0%</w:t>
            </w:r>
          </w:p>
        </w:tc>
      </w:tr>
      <w:tr w:rsidR="000F1841" w:rsidRPr="00956FAD" w:rsidTr="000F1841">
        <w:tc>
          <w:tcPr>
            <w:tcW w:w="1620" w:type="dxa"/>
          </w:tcPr>
          <w:p w:rsidR="000F1841" w:rsidRPr="00D9593B" w:rsidRDefault="000F1841" w:rsidP="000F1841">
            <w:pPr>
              <w:pStyle w:val="Header"/>
              <w:tabs>
                <w:tab w:val="clear" w:pos="4320"/>
                <w:tab w:val="clear" w:pos="8640"/>
              </w:tabs>
              <w:rPr>
                <w:b/>
                <w:sz w:val="18"/>
                <w:szCs w:val="18"/>
              </w:rPr>
            </w:pPr>
            <w:r w:rsidRPr="00D9593B">
              <w:rPr>
                <w:b/>
                <w:sz w:val="18"/>
                <w:szCs w:val="18"/>
              </w:rPr>
              <w:t>Total</w:t>
            </w:r>
          </w:p>
        </w:tc>
        <w:tc>
          <w:tcPr>
            <w:tcW w:w="990" w:type="dxa"/>
            <w:shd w:val="clear" w:color="auto" w:fill="auto"/>
          </w:tcPr>
          <w:p w:rsidR="000F1841" w:rsidRPr="00D9593B" w:rsidRDefault="000F1841" w:rsidP="000F1841">
            <w:pPr>
              <w:rPr>
                <w:b/>
                <w:sz w:val="18"/>
                <w:szCs w:val="18"/>
              </w:rPr>
            </w:pPr>
            <w:r>
              <w:rPr>
                <w:b/>
                <w:sz w:val="18"/>
                <w:szCs w:val="18"/>
              </w:rPr>
              <w:t xml:space="preserve">    </w:t>
            </w:r>
            <w:r w:rsidRPr="00D9593B">
              <w:rPr>
                <w:b/>
                <w:sz w:val="18"/>
                <w:szCs w:val="18"/>
              </w:rPr>
              <w:t>$1.13</w:t>
            </w:r>
          </w:p>
        </w:tc>
        <w:tc>
          <w:tcPr>
            <w:tcW w:w="1170" w:type="dxa"/>
            <w:shd w:val="clear" w:color="auto" w:fill="auto"/>
          </w:tcPr>
          <w:p w:rsidR="000F1841" w:rsidRPr="00D9593B" w:rsidRDefault="000F1841" w:rsidP="000F1841">
            <w:pPr>
              <w:rPr>
                <w:b/>
                <w:sz w:val="18"/>
                <w:szCs w:val="18"/>
              </w:rPr>
            </w:pPr>
            <w:r>
              <w:rPr>
                <w:b/>
                <w:sz w:val="18"/>
                <w:szCs w:val="18"/>
              </w:rPr>
              <w:t xml:space="preserve">      </w:t>
            </w:r>
            <w:r w:rsidRPr="00D9593B">
              <w:rPr>
                <w:b/>
                <w:sz w:val="18"/>
                <w:szCs w:val="18"/>
              </w:rPr>
              <w:t>$0.00</w:t>
            </w:r>
          </w:p>
        </w:tc>
        <w:tc>
          <w:tcPr>
            <w:tcW w:w="990" w:type="dxa"/>
          </w:tcPr>
          <w:p w:rsidR="000F1841" w:rsidRPr="00D9593B" w:rsidRDefault="000F1841" w:rsidP="000F1841">
            <w:pPr>
              <w:rPr>
                <w:b/>
                <w:sz w:val="18"/>
                <w:szCs w:val="18"/>
              </w:rPr>
            </w:pPr>
            <w:r>
              <w:rPr>
                <w:b/>
                <w:sz w:val="18"/>
                <w:szCs w:val="18"/>
              </w:rPr>
              <w:t xml:space="preserve">        </w:t>
            </w:r>
            <w:r w:rsidRPr="00D9593B">
              <w:rPr>
                <w:b/>
                <w:sz w:val="18"/>
                <w:szCs w:val="18"/>
              </w:rPr>
              <w:t>3</w:t>
            </w:r>
          </w:p>
        </w:tc>
        <w:tc>
          <w:tcPr>
            <w:tcW w:w="1260" w:type="dxa"/>
          </w:tcPr>
          <w:p w:rsidR="000F1841" w:rsidRPr="00D9593B" w:rsidRDefault="000F1841" w:rsidP="000F1841">
            <w:pPr>
              <w:rPr>
                <w:b/>
                <w:sz w:val="18"/>
                <w:szCs w:val="18"/>
              </w:rPr>
            </w:pPr>
            <w:r>
              <w:rPr>
                <w:b/>
                <w:sz w:val="18"/>
                <w:szCs w:val="18"/>
              </w:rPr>
              <w:t xml:space="preserve">      </w:t>
            </w:r>
            <w:r w:rsidRPr="00D9593B">
              <w:rPr>
                <w:b/>
                <w:sz w:val="18"/>
                <w:szCs w:val="18"/>
              </w:rPr>
              <w:t>100.0%</w:t>
            </w:r>
          </w:p>
        </w:tc>
        <w:tc>
          <w:tcPr>
            <w:tcW w:w="1080" w:type="dxa"/>
            <w:shd w:val="clear" w:color="auto" w:fill="auto"/>
          </w:tcPr>
          <w:p w:rsidR="000F1841" w:rsidRPr="00D9593B" w:rsidRDefault="000F1841" w:rsidP="000F1841">
            <w:pPr>
              <w:rPr>
                <w:b/>
                <w:sz w:val="18"/>
                <w:szCs w:val="18"/>
              </w:rPr>
            </w:pPr>
            <w:r>
              <w:rPr>
                <w:b/>
                <w:sz w:val="18"/>
                <w:szCs w:val="18"/>
              </w:rPr>
              <w:t xml:space="preserve">     </w:t>
            </w:r>
            <w:r w:rsidRPr="00D9593B">
              <w:rPr>
                <w:b/>
                <w:sz w:val="18"/>
                <w:szCs w:val="18"/>
              </w:rPr>
              <w:t>$0.00</w:t>
            </w:r>
          </w:p>
        </w:tc>
        <w:tc>
          <w:tcPr>
            <w:tcW w:w="990" w:type="dxa"/>
            <w:shd w:val="clear" w:color="auto" w:fill="auto"/>
          </w:tcPr>
          <w:p w:rsidR="000F1841" w:rsidRPr="00D9593B" w:rsidRDefault="000F1841" w:rsidP="000F1841">
            <w:pPr>
              <w:rPr>
                <w:b/>
                <w:sz w:val="18"/>
                <w:szCs w:val="18"/>
              </w:rPr>
            </w:pPr>
            <w:r>
              <w:rPr>
                <w:b/>
                <w:sz w:val="18"/>
                <w:szCs w:val="18"/>
              </w:rPr>
              <w:t xml:space="preserve">    </w:t>
            </w:r>
            <w:r w:rsidRPr="00D9593B">
              <w:rPr>
                <w:b/>
                <w:sz w:val="18"/>
                <w:szCs w:val="18"/>
              </w:rPr>
              <w:t>$0.00</w:t>
            </w:r>
          </w:p>
        </w:tc>
        <w:tc>
          <w:tcPr>
            <w:tcW w:w="990" w:type="dxa"/>
          </w:tcPr>
          <w:p w:rsidR="000F1841" w:rsidRPr="00D9593B" w:rsidRDefault="000F1841" w:rsidP="000F1841">
            <w:pPr>
              <w:rPr>
                <w:b/>
                <w:sz w:val="18"/>
                <w:szCs w:val="18"/>
              </w:rPr>
            </w:pPr>
            <w:r>
              <w:rPr>
                <w:b/>
                <w:sz w:val="18"/>
                <w:szCs w:val="18"/>
              </w:rPr>
              <w:t xml:space="preserve">        </w:t>
            </w:r>
            <w:r w:rsidRPr="00D9593B">
              <w:rPr>
                <w:b/>
                <w:sz w:val="18"/>
                <w:szCs w:val="18"/>
              </w:rPr>
              <w:t>3</w:t>
            </w:r>
          </w:p>
        </w:tc>
        <w:tc>
          <w:tcPr>
            <w:tcW w:w="1260" w:type="dxa"/>
          </w:tcPr>
          <w:p w:rsidR="000F1841" w:rsidRPr="00D9593B" w:rsidRDefault="000F1841" w:rsidP="000F1841">
            <w:pPr>
              <w:rPr>
                <w:b/>
                <w:sz w:val="18"/>
                <w:szCs w:val="18"/>
              </w:rPr>
            </w:pPr>
            <w:r>
              <w:rPr>
                <w:b/>
                <w:sz w:val="18"/>
                <w:szCs w:val="18"/>
              </w:rPr>
              <w:t xml:space="preserve">      </w:t>
            </w:r>
            <w:r w:rsidRPr="00D9593B">
              <w:rPr>
                <w:b/>
                <w:sz w:val="18"/>
                <w:szCs w:val="18"/>
              </w:rPr>
              <w:t>100.0%</w:t>
            </w:r>
          </w:p>
        </w:tc>
      </w:tr>
    </w:tbl>
    <w:p w:rsidR="008F4B32" w:rsidRPr="00BF17D4" w:rsidRDefault="008F4B32" w:rsidP="008F4B32">
      <w:pPr>
        <w:jc w:val="center"/>
        <w:rPr>
          <w:b/>
          <w:i/>
          <w:u w:val="single"/>
        </w:rPr>
      </w:pPr>
      <w:r>
        <w:rPr>
          <w:b/>
          <w:i/>
          <w:u w:val="single"/>
        </w:rPr>
        <w:lastRenderedPageBreak/>
        <w:t>Minnesota Department of Employment and Economic Development                               Page 15</w:t>
      </w:r>
    </w:p>
    <w:p w:rsidR="008039FA" w:rsidRDefault="008039FA" w:rsidP="00931986"/>
    <w:p w:rsidR="008F4B32" w:rsidRDefault="008F4B32" w:rsidP="00931986"/>
    <w:p w:rsidR="002F2E99" w:rsidRDefault="00D72996" w:rsidP="0002552A">
      <w:pPr>
        <w:pStyle w:val="Header"/>
        <w:tabs>
          <w:tab w:val="clear" w:pos="4320"/>
          <w:tab w:val="clear" w:pos="8640"/>
        </w:tabs>
        <w:rPr>
          <w:i/>
        </w:rPr>
      </w:pPr>
      <w:r w:rsidRPr="004921B3">
        <w:rPr>
          <w:i/>
        </w:rPr>
        <w:t>Job Retention Goals and Actual Performance</w:t>
      </w:r>
    </w:p>
    <w:p w:rsidR="008039FA" w:rsidRDefault="0071110C" w:rsidP="008039FA">
      <w:pPr>
        <w:pStyle w:val="Header"/>
        <w:tabs>
          <w:tab w:val="clear" w:pos="4320"/>
          <w:tab w:val="clear" w:pos="8640"/>
        </w:tabs>
      </w:pPr>
      <w:r>
        <w:t>Of the 20</w:t>
      </w:r>
      <w:r w:rsidR="00D72996">
        <w:t xml:space="preserve"> eligible business assistance agreements, agencies reported a job retention goal of </w:t>
      </w:r>
      <w:r>
        <w:t>663</w:t>
      </w:r>
      <w:r w:rsidR="00D20511">
        <w:t xml:space="preserve"> jobs</w:t>
      </w:r>
      <w:r w:rsidR="00E7711E">
        <w:t xml:space="preserve">.  </w:t>
      </w:r>
      <w:r w:rsidR="00D20511">
        <w:t>Agencies reported 606</w:t>
      </w:r>
      <w:r w:rsidR="00E7711E">
        <w:t xml:space="preserve"> jobs retained </w:t>
      </w:r>
      <w:r w:rsidR="00F2784D">
        <w:t xml:space="preserve">(see Table 8).  </w:t>
      </w:r>
      <w:r w:rsidR="00002B71">
        <w:t>A</w:t>
      </w:r>
      <w:r w:rsidR="00E7711E">
        <w:t xml:space="preserve">gencies reported that recipients had more time to meet their job retention goals.  </w:t>
      </w:r>
      <w:r w:rsidR="00F2784D">
        <w:t xml:space="preserve">The distribution of retained job goals, wages and actual performance </w:t>
      </w:r>
      <w:r w:rsidR="005E2315">
        <w:t>can be seen in Table 8.</w:t>
      </w:r>
    </w:p>
    <w:p w:rsidR="00931986" w:rsidRDefault="00931986" w:rsidP="008039FA">
      <w:pPr>
        <w:pStyle w:val="Header"/>
        <w:tabs>
          <w:tab w:val="clear" w:pos="4320"/>
          <w:tab w:val="clear" w:pos="8640"/>
        </w:tabs>
      </w:pPr>
    </w:p>
    <w:p w:rsidR="00F2784D" w:rsidRPr="00F4352E" w:rsidRDefault="00F2784D" w:rsidP="00F2784D">
      <w:pPr>
        <w:pStyle w:val="Header"/>
        <w:tabs>
          <w:tab w:val="clear" w:pos="4320"/>
          <w:tab w:val="clear" w:pos="8640"/>
        </w:tabs>
        <w:ind w:left="360"/>
        <w:jc w:val="center"/>
        <w:rPr>
          <w:sz w:val="20"/>
          <w:szCs w:val="20"/>
        </w:rPr>
      </w:pPr>
      <w:r w:rsidRPr="00F4352E">
        <w:rPr>
          <w:sz w:val="20"/>
          <w:szCs w:val="20"/>
        </w:rPr>
        <w:t>TABLE 8</w:t>
      </w:r>
    </w:p>
    <w:p w:rsidR="00F2784D" w:rsidRPr="00F4352E" w:rsidRDefault="00F2784D" w:rsidP="00F2784D">
      <w:pPr>
        <w:pStyle w:val="Header"/>
        <w:tabs>
          <w:tab w:val="clear" w:pos="4320"/>
          <w:tab w:val="clear" w:pos="8640"/>
        </w:tabs>
        <w:ind w:left="360"/>
        <w:jc w:val="center"/>
        <w:rPr>
          <w:sz w:val="20"/>
          <w:szCs w:val="20"/>
        </w:rPr>
      </w:pPr>
      <w:r w:rsidRPr="00F4352E">
        <w:rPr>
          <w:sz w:val="20"/>
          <w:szCs w:val="20"/>
        </w:rPr>
        <w:t>Distribution of</w:t>
      </w:r>
      <w:r w:rsidR="00CC3737" w:rsidRPr="00F4352E">
        <w:rPr>
          <w:sz w:val="20"/>
          <w:szCs w:val="20"/>
        </w:rPr>
        <w:t xml:space="preserve"> Non-JOBZ Job Retention Goals</w:t>
      </w:r>
      <w:r w:rsidRPr="00F4352E">
        <w:rPr>
          <w:sz w:val="20"/>
          <w:szCs w:val="20"/>
        </w:rPr>
        <w:t>, Wage</w:t>
      </w:r>
      <w:r w:rsidR="00CC3737" w:rsidRPr="00F4352E">
        <w:rPr>
          <w:sz w:val="20"/>
          <w:szCs w:val="20"/>
        </w:rPr>
        <w:t>s</w:t>
      </w:r>
      <w:r w:rsidRPr="00F4352E">
        <w:rPr>
          <w:sz w:val="20"/>
          <w:szCs w:val="20"/>
        </w:rPr>
        <w:t xml:space="preserve"> and Actual Performance for Agreements</w:t>
      </w:r>
      <w:r w:rsidR="0071110C" w:rsidRPr="00F4352E">
        <w:rPr>
          <w:sz w:val="20"/>
          <w:szCs w:val="20"/>
        </w:rPr>
        <w:t xml:space="preserve"> Reached Between January 1, 2013 and December 31, 2013</w:t>
      </w:r>
    </w:p>
    <w:p w:rsidR="00F2784D" w:rsidRPr="008039FA" w:rsidRDefault="00F2784D" w:rsidP="00F2784D">
      <w:pPr>
        <w:pStyle w:val="Header"/>
        <w:tabs>
          <w:tab w:val="clear" w:pos="4320"/>
          <w:tab w:val="clear" w:pos="8640"/>
        </w:tabs>
        <w:rPr>
          <w:sz w:val="20"/>
          <w:szCs w:val="20"/>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990"/>
        <w:gridCol w:w="1170"/>
        <w:gridCol w:w="990"/>
        <w:gridCol w:w="1260"/>
        <w:gridCol w:w="1080"/>
        <w:gridCol w:w="990"/>
        <w:gridCol w:w="990"/>
        <w:gridCol w:w="1260"/>
      </w:tblGrid>
      <w:tr w:rsidR="00956FAD" w:rsidRPr="00CD1FCC" w:rsidTr="00956FAD">
        <w:tc>
          <w:tcPr>
            <w:tcW w:w="6030" w:type="dxa"/>
            <w:gridSpan w:val="5"/>
            <w:tcBorders>
              <w:top w:val="single" w:sz="4" w:space="0" w:color="auto"/>
              <w:left w:val="single" w:sz="4" w:space="0" w:color="auto"/>
              <w:bottom w:val="single" w:sz="4" w:space="0" w:color="auto"/>
              <w:right w:val="single" w:sz="4" w:space="0" w:color="auto"/>
            </w:tcBorders>
          </w:tcPr>
          <w:p w:rsidR="00956FAD" w:rsidRPr="008039FA" w:rsidRDefault="00956FAD" w:rsidP="00707AC3">
            <w:pPr>
              <w:pStyle w:val="Header"/>
              <w:tabs>
                <w:tab w:val="clear" w:pos="4320"/>
                <w:tab w:val="clear" w:pos="8640"/>
              </w:tabs>
              <w:jc w:val="center"/>
              <w:rPr>
                <w:b/>
                <w:sz w:val="18"/>
                <w:szCs w:val="18"/>
              </w:rPr>
            </w:pPr>
            <w:r w:rsidRPr="008039FA">
              <w:rPr>
                <w:b/>
                <w:sz w:val="18"/>
                <w:szCs w:val="18"/>
              </w:rPr>
              <w:t>Goals</w:t>
            </w:r>
          </w:p>
        </w:tc>
        <w:tc>
          <w:tcPr>
            <w:tcW w:w="4320" w:type="dxa"/>
            <w:gridSpan w:val="4"/>
            <w:tcBorders>
              <w:top w:val="single" w:sz="4" w:space="0" w:color="auto"/>
              <w:left w:val="single" w:sz="4" w:space="0" w:color="auto"/>
              <w:bottom w:val="single" w:sz="4" w:space="0" w:color="auto"/>
              <w:right w:val="single" w:sz="4" w:space="0" w:color="auto"/>
            </w:tcBorders>
          </w:tcPr>
          <w:p w:rsidR="00956FAD" w:rsidRPr="008039FA" w:rsidRDefault="00956FAD" w:rsidP="00707AC3">
            <w:pPr>
              <w:pStyle w:val="Header"/>
              <w:tabs>
                <w:tab w:val="clear" w:pos="4320"/>
                <w:tab w:val="clear" w:pos="8640"/>
              </w:tabs>
              <w:jc w:val="center"/>
              <w:rPr>
                <w:b/>
                <w:sz w:val="18"/>
                <w:szCs w:val="18"/>
              </w:rPr>
            </w:pPr>
            <w:r w:rsidRPr="008039FA">
              <w:rPr>
                <w:b/>
                <w:sz w:val="18"/>
                <w:szCs w:val="18"/>
              </w:rPr>
              <w:t>Actual</w:t>
            </w:r>
          </w:p>
        </w:tc>
      </w:tr>
      <w:tr w:rsidR="00956FAD" w:rsidRPr="00CD1FCC" w:rsidTr="00707AC3">
        <w:tc>
          <w:tcPr>
            <w:tcW w:w="1620" w:type="dxa"/>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Hourly</w:t>
            </w:r>
          </w:p>
          <w:p w:rsidR="00956FAD" w:rsidRPr="008039FA" w:rsidRDefault="00956FAD" w:rsidP="00707AC3">
            <w:pPr>
              <w:pStyle w:val="Header"/>
              <w:tabs>
                <w:tab w:val="clear" w:pos="4320"/>
                <w:tab w:val="clear" w:pos="8640"/>
              </w:tabs>
              <w:jc w:val="center"/>
              <w:rPr>
                <w:b/>
                <w:sz w:val="18"/>
                <w:szCs w:val="18"/>
              </w:rPr>
            </w:pPr>
            <w:r w:rsidRPr="008039FA">
              <w:rPr>
                <w:b/>
                <w:sz w:val="18"/>
                <w:szCs w:val="18"/>
              </w:rPr>
              <w:t>Wage</w:t>
            </w:r>
          </w:p>
        </w:tc>
        <w:tc>
          <w:tcPr>
            <w:tcW w:w="990" w:type="dxa"/>
            <w:shd w:val="clear" w:color="auto" w:fill="auto"/>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Average Hourly Health Benefit</w:t>
            </w:r>
          </w:p>
        </w:tc>
        <w:tc>
          <w:tcPr>
            <w:tcW w:w="1170" w:type="dxa"/>
            <w:shd w:val="clear" w:color="auto" w:fill="auto"/>
            <w:vAlign w:val="bottom"/>
          </w:tcPr>
          <w:p w:rsidR="008039FA" w:rsidRDefault="00956FAD" w:rsidP="00707AC3">
            <w:pPr>
              <w:pStyle w:val="Header"/>
              <w:jc w:val="center"/>
              <w:rPr>
                <w:b/>
                <w:sz w:val="18"/>
                <w:szCs w:val="18"/>
              </w:rPr>
            </w:pPr>
            <w:r w:rsidRPr="008039FA">
              <w:rPr>
                <w:b/>
                <w:sz w:val="18"/>
                <w:szCs w:val="18"/>
              </w:rPr>
              <w:t>Average Hourly Non-</w:t>
            </w:r>
          </w:p>
          <w:p w:rsidR="00956FAD" w:rsidRPr="008039FA" w:rsidRDefault="00956FAD" w:rsidP="00707AC3">
            <w:pPr>
              <w:pStyle w:val="Header"/>
              <w:jc w:val="center"/>
              <w:rPr>
                <w:b/>
                <w:sz w:val="18"/>
                <w:szCs w:val="18"/>
              </w:rPr>
            </w:pPr>
            <w:r w:rsidRPr="008039FA">
              <w:rPr>
                <w:b/>
                <w:sz w:val="18"/>
                <w:szCs w:val="18"/>
              </w:rPr>
              <w:t>Health Benefit</w:t>
            </w:r>
          </w:p>
        </w:tc>
        <w:tc>
          <w:tcPr>
            <w:tcW w:w="990" w:type="dxa"/>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Number</w:t>
            </w:r>
          </w:p>
          <w:p w:rsidR="00956FAD" w:rsidRPr="008039FA" w:rsidRDefault="00956FAD" w:rsidP="00707AC3">
            <w:pPr>
              <w:pStyle w:val="Header"/>
              <w:tabs>
                <w:tab w:val="clear" w:pos="4320"/>
                <w:tab w:val="clear" w:pos="8640"/>
              </w:tabs>
              <w:jc w:val="center"/>
              <w:rPr>
                <w:b/>
                <w:sz w:val="18"/>
                <w:szCs w:val="18"/>
              </w:rPr>
            </w:pPr>
            <w:r w:rsidRPr="008039FA">
              <w:rPr>
                <w:b/>
                <w:sz w:val="18"/>
                <w:szCs w:val="18"/>
              </w:rPr>
              <w:t>of</w:t>
            </w:r>
          </w:p>
          <w:p w:rsidR="00956FAD" w:rsidRPr="008039FA" w:rsidRDefault="00956FAD" w:rsidP="00707AC3">
            <w:pPr>
              <w:pStyle w:val="Header"/>
              <w:tabs>
                <w:tab w:val="clear" w:pos="4320"/>
                <w:tab w:val="clear" w:pos="8640"/>
              </w:tabs>
              <w:jc w:val="center"/>
              <w:rPr>
                <w:b/>
                <w:sz w:val="18"/>
                <w:szCs w:val="18"/>
              </w:rPr>
            </w:pPr>
            <w:r w:rsidRPr="008039FA">
              <w:rPr>
                <w:b/>
                <w:sz w:val="18"/>
                <w:szCs w:val="18"/>
              </w:rPr>
              <w:t>Jobs</w:t>
            </w:r>
          </w:p>
        </w:tc>
        <w:tc>
          <w:tcPr>
            <w:tcW w:w="1260" w:type="dxa"/>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Percentage</w:t>
            </w:r>
          </w:p>
        </w:tc>
        <w:tc>
          <w:tcPr>
            <w:tcW w:w="1080" w:type="dxa"/>
            <w:shd w:val="clear" w:color="auto" w:fill="auto"/>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Average Hourly Health Benefit</w:t>
            </w:r>
          </w:p>
        </w:tc>
        <w:tc>
          <w:tcPr>
            <w:tcW w:w="990" w:type="dxa"/>
            <w:shd w:val="clear" w:color="auto" w:fill="auto"/>
            <w:vAlign w:val="bottom"/>
          </w:tcPr>
          <w:p w:rsidR="00956FAD" w:rsidRPr="008039FA" w:rsidRDefault="00956FAD" w:rsidP="00707AC3">
            <w:pPr>
              <w:pStyle w:val="Header"/>
              <w:jc w:val="center"/>
              <w:rPr>
                <w:b/>
                <w:sz w:val="18"/>
                <w:szCs w:val="18"/>
              </w:rPr>
            </w:pPr>
            <w:r w:rsidRPr="008039FA">
              <w:rPr>
                <w:b/>
                <w:sz w:val="18"/>
                <w:szCs w:val="18"/>
              </w:rPr>
              <w:t>Average Hourly Non-Health Benefit</w:t>
            </w:r>
          </w:p>
        </w:tc>
        <w:tc>
          <w:tcPr>
            <w:tcW w:w="990" w:type="dxa"/>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Number</w:t>
            </w:r>
          </w:p>
          <w:p w:rsidR="00956FAD" w:rsidRPr="008039FA" w:rsidRDefault="00956FAD" w:rsidP="00707AC3">
            <w:pPr>
              <w:pStyle w:val="Header"/>
              <w:tabs>
                <w:tab w:val="clear" w:pos="4320"/>
                <w:tab w:val="clear" w:pos="8640"/>
              </w:tabs>
              <w:jc w:val="center"/>
              <w:rPr>
                <w:b/>
                <w:sz w:val="18"/>
                <w:szCs w:val="18"/>
              </w:rPr>
            </w:pPr>
            <w:r w:rsidRPr="008039FA">
              <w:rPr>
                <w:b/>
                <w:sz w:val="18"/>
                <w:szCs w:val="18"/>
              </w:rPr>
              <w:t>of</w:t>
            </w:r>
          </w:p>
          <w:p w:rsidR="00956FAD" w:rsidRPr="008039FA" w:rsidRDefault="00956FAD" w:rsidP="00707AC3">
            <w:pPr>
              <w:pStyle w:val="Header"/>
              <w:tabs>
                <w:tab w:val="clear" w:pos="4320"/>
                <w:tab w:val="clear" w:pos="8640"/>
              </w:tabs>
              <w:jc w:val="center"/>
              <w:rPr>
                <w:b/>
                <w:sz w:val="18"/>
                <w:szCs w:val="18"/>
              </w:rPr>
            </w:pPr>
            <w:r w:rsidRPr="008039FA">
              <w:rPr>
                <w:b/>
                <w:sz w:val="18"/>
                <w:szCs w:val="18"/>
              </w:rPr>
              <w:t>Jobs</w:t>
            </w:r>
          </w:p>
        </w:tc>
        <w:tc>
          <w:tcPr>
            <w:tcW w:w="1260" w:type="dxa"/>
            <w:vAlign w:val="bottom"/>
          </w:tcPr>
          <w:p w:rsidR="00956FAD" w:rsidRPr="008039FA" w:rsidRDefault="00956FAD" w:rsidP="00707AC3">
            <w:pPr>
              <w:pStyle w:val="Header"/>
              <w:tabs>
                <w:tab w:val="clear" w:pos="4320"/>
                <w:tab w:val="clear" w:pos="8640"/>
              </w:tabs>
              <w:jc w:val="center"/>
              <w:rPr>
                <w:b/>
                <w:sz w:val="18"/>
                <w:szCs w:val="18"/>
              </w:rPr>
            </w:pPr>
            <w:r w:rsidRPr="008039FA">
              <w:rPr>
                <w:b/>
                <w:sz w:val="18"/>
                <w:szCs w:val="18"/>
              </w:rPr>
              <w:t>Percentage</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No Hourly Wage</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8039FA">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Less than $7.00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$7.00 to $8.99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$9.00 to $10.99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16</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2.4%</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16</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2.6%</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$11.00 to $12.99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79</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11.9%</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9</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1.5%</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$13.00 to $14.99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16</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2.4%</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16</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2.6%</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$15.00 to $16.99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956FAD" w:rsidP="00956FAD">
            <w:pPr>
              <w:jc w:val="center"/>
              <w:rPr>
                <w:sz w:val="18"/>
                <w:szCs w:val="18"/>
              </w:rPr>
            </w:pPr>
            <w:r w:rsidRPr="008039FA">
              <w:rPr>
                <w:sz w:val="18"/>
                <w:szCs w:val="18"/>
              </w:rPr>
              <w:t>532</w:t>
            </w:r>
          </w:p>
        </w:tc>
        <w:tc>
          <w:tcPr>
            <w:tcW w:w="1260" w:type="dxa"/>
          </w:tcPr>
          <w:p w:rsidR="00956FAD" w:rsidRPr="008039FA" w:rsidRDefault="008039FA" w:rsidP="008039FA">
            <w:pPr>
              <w:jc w:val="center"/>
              <w:rPr>
                <w:sz w:val="18"/>
                <w:szCs w:val="18"/>
              </w:rPr>
            </w:pPr>
            <w:r>
              <w:rPr>
                <w:sz w:val="18"/>
                <w:szCs w:val="18"/>
              </w:rPr>
              <w:t xml:space="preserve"> </w:t>
            </w:r>
            <w:r w:rsidR="00956FAD" w:rsidRPr="008039FA">
              <w:rPr>
                <w:sz w:val="18"/>
                <w:szCs w:val="18"/>
              </w:rPr>
              <w:t>80.2%</w:t>
            </w:r>
          </w:p>
        </w:tc>
        <w:tc>
          <w:tcPr>
            <w:tcW w:w="1080" w:type="dxa"/>
            <w:shd w:val="clear" w:color="auto" w:fill="auto"/>
          </w:tcPr>
          <w:p w:rsidR="00956FAD" w:rsidRPr="008039FA" w:rsidRDefault="00956FAD" w:rsidP="00956FAD">
            <w:pPr>
              <w:jc w:val="center"/>
              <w:rPr>
                <w:sz w:val="18"/>
                <w:szCs w:val="18"/>
              </w:rPr>
            </w:pPr>
            <w:r w:rsidRPr="008039FA">
              <w:rPr>
                <w:sz w:val="18"/>
                <w:szCs w:val="18"/>
              </w:rPr>
              <w:t>$2.48</w:t>
            </w:r>
          </w:p>
        </w:tc>
        <w:tc>
          <w:tcPr>
            <w:tcW w:w="990" w:type="dxa"/>
            <w:shd w:val="clear" w:color="auto" w:fill="auto"/>
          </w:tcPr>
          <w:p w:rsidR="00956FAD" w:rsidRPr="008039FA" w:rsidRDefault="00956FAD" w:rsidP="00956FAD">
            <w:pPr>
              <w:jc w:val="center"/>
              <w:rPr>
                <w:sz w:val="18"/>
                <w:szCs w:val="18"/>
              </w:rPr>
            </w:pPr>
            <w:r w:rsidRPr="008039FA">
              <w:rPr>
                <w:sz w:val="18"/>
                <w:szCs w:val="18"/>
              </w:rPr>
              <w:t>$0.94</w:t>
            </w:r>
          </w:p>
        </w:tc>
        <w:tc>
          <w:tcPr>
            <w:tcW w:w="990" w:type="dxa"/>
          </w:tcPr>
          <w:p w:rsidR="00956FAD" w:rsidRPr="008039FA" w:rsidRDefault="00956FAD" w:rsidP="00956FAD">
            <w:pPr>
              <w:jc w:val="center"/>
              <w:rPr>
                <w:sz w:val="18"/>
                <w:szCs w:val="18"/>
              </w:rPr>
            </w:pPr>
            <w:r w:rsidRPr="008039FA">
              <w:rPr>
                <w:sz w:val="18"/>
                <w:szCs w:val="18"/>
              </w:rPr>
              <w:t>536</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88.4%</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$17.00 to $18.99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0.2%</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0.2%</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$19.00 to $20.99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$2.48</w:t>
            </w:r>
          </w:p>
        </w:tc>
        <w:tc>
          <w:tcPr>
            <w:tcW w:w="990" w:type="dxa"/>
            <w:shd w:val="clear" w:color="auto" w:fill="auto"/>
          </w:tcPr>
          <w:p w:rsidR="00956FAD" w:rsidRPr="008039FA" w:rsidRDefault="00956FAD" w:rsidP="00956FAD">
            <w:pPr>
              <w:jc w:val="center"/>
              <w:rPr>
                <w:sz w:val="18"/>
                <w:szCs w:val="18"/>
              </w:rPr>
            </w:pPr>
            <w:r w:rsidRPr="008039FA">
              <w:rPr>
                <w:sz w:val="18"/>
                <w:szCs w:val="18"/>
              </w:rPr>
              <w:t>$1.20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0.3%</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$21.00 to $22.99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4</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0.6%</w:t>
            </w:r>
          </w:p>
        </w:tc>
        <w:tc>
          <w:tcPr>
            <w:tcW w:w="1080" w:type="dxa"/>
            <w:shd w:val="clear" w:color="auto" w:fill="auto"/>
          </w:tcPr>
          <w:p w:rsidR="00956FAD" w:rsidRPr="008039FA" w:rsidRDefault="00956FAD" w:rsidP="00956FAD">
            <w:pPr>
              <w:jc w:val="center"/>
              <w:rPr>
                <w:sz w:val="18"/>
                <w:szCs w:val="18"/>
              </w:rPr>
            </w:pPr>
            <w:r w:rsidRPr="008039FA">
              <w:rPr>
                <w:sz w:val="18"/>
                <w:szCs w:val="18"/>
              </w:rPr>
              <w:t>$3.09</w:t>
            </w:r>
          </w:p>
        </w:tc>
        <w:tc>
          <w:tcPr>
            <w:tcW w:w="990" w:type="dxa"/>
            <w:shd w:val="clear" w:color="auto" w:fill="auto"/>
          </w:tcPr>
          <w:p w:rsidR="00956FAD" w:rsidRPr="008039FA" w:rsidRDefault="00956FAD" w:rsidP="00956FAD">
            <w:pPr>
              <w:jc w:val="center"/>
              <w:rPr>
                <w:sz w:val="18"/>
                <w:szCs w:val="18"/>
              </w:rPr>
            </w:pPr>
            <w:r w:rsidRPr="008039FA">
              <w:rPr>
                <w:sz w:val="18"/>
                <w:szCs w:val="18"/>
              </w:rPr>
              <w:t>$1.32</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8</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1.3%</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$23.00 to $24.99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$2.48</w:t>
            </w:r>
          </w:p>
        </w:tc>
        <w:tc>
          <w:tcPr>
            <w:tcW w:w="990" w:type="dxa"/>
            <w:shd w:val="clear" w:color="auto" w:fill="auto"/>
          </w:tcPr>
          <w:p w:rsidR="00956FAD" w:rsidRPr="008039FA" w:rsidRDefault="00956FAD" w:rsidP="00956FAD">
            <w:pPr>
              <w:jc w:val="center"/>
              <w:rPr>
                <w:sz w:val="18"/>
                <w:szCs w:val="18"/>
              </w:rPr>
            </w:pPr>
            <w:r w:rsidRPr="008039FA">
              <w:rPr>
                <w:sz w:val="18"/>
                <w:szCs w:val="18"/>
              </w:rPr>
              <w:t>$1.49</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0.3%</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$25.00 to $26.99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0.2%</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0.2%</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$27.00 to $28.99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3</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0.5%</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3</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0.5%</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$29.00 to $30.99</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c>
          <w:tcPr>
            <w:tcW w:w="108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0.0%</w:t>
            </w:r>
          </w:p>
        </w:tc>
      </w:tr>
      <w:tr w:rsidR="00956FAD" w:rsidRPr="00CD1FCC" w:rsidTr="00707AC3">
        <w:tc>
          <w:tcPr>
            <w:tcW w:w="1620" w:type="dxa"/>
          </w:tcPr>
          <w:p w:rsidR="00956FAD" w:rsidRPr="008039FA" w:rsidRDefault="00956FAD" w:rsidP="00707AC3">
            <w:pPr>
              <w:pStyle w:val="Header"/>
              <w:tabs>
                <w:tab w:val="clear" w:pos="4320"/>
                <w:tab w:val="clear" w:pos="8640"/>
              </w:tabs>
              <w:rPr>
                <w:sz w:val="18"/>
                <w:szCs w:val="18"/>
              </w:rPr>
            </w:pPr>
            <w:r w:rsidRPr="008039FA">
              <w:rPr>
                <w:sz w:val="18"/>
                <w:szCs w:val="18"/>
              </w:rPr>
              <w:t>$31.00  &amp; higher</w:t>
            </w:r>
          </w:p>
        </w:tc>
        <w:tc>
          <w:tcPr>
            <w:tcW w:w="990" w:type="dxa"/>
            <w:shd w:val="clear" w:color="auto" w:fill="auto"/>
          </w:tcPr>
          <w:p w:rsidR="00956FAD" w:rsidRPr="008039FA" w:rsidRDefault="00956FAD" w:rsidP="00956FAD">
            <w:pPr>
              <w:jc w:val="center"/>
              <w:rPr>
                <w:sz w:val="18"/>
                <w:szCs w:val="18"/>
              </w:rPr>
            </w:pPr>
            <w:r w:rsidRPr="008039FA">
              <w:rPr>
                <w:sz w:val="18"/>
                <w:szCs w:val="18"/>
              </w:rPr>
              <w:t>$0.00</w:t>
            </w:r>
          </w:p>
        </w:tc>
        <w:tc>
          <w:tcPr>
            <w:tcW w:w="1170" w:type="dxa"/>
            <w:shd w:val="clear" w:color="auto" w:fill="auto"/>
          </w:tcPr>
          <w:p w:rsidR="00956FAD" w:rsidRPr="008039FA" w:rsidRDefault="00956FAD" w:rsidP="00956FAD">
            <w:pPr>
              <w:jc w:val="center"/>
              <w:rPr>
                <w:sz w:val="18"/>
                <w:szCs w:val="18"/>
              </w:rPr>
            </w:pPr>
            <w:r w:rsidRPr="008039FA">
              <w:rPr>
                <w:sz w:val="18"/>
                <w:szCs w:val="18"/>
              </w:rPr>
              <w:t>$0.00</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11</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1.7%</w:t>
            </w:r>
          </w:p>
        </w:tc>
        <w:tc>
          <w:tcPr>
            <w:tcW w:w="1080" w:type="dxa"/>
            <w:shd w:val="clear" w:color="auto" w:fill="auto"/>
          </w:tcPr>
          <w:p w:rsidR="00956FAD" w:rsidRPr="008039FA" w:rsidRDefault="00956FAD" w:rsidP="00956FAD">
            <w:pPr>
              <w:jc w:val="center"/>
              <w:rPr>
                <w:sz w:val="18"/>
                <w:szCs w:val="18"/>
              </w:rPr>
            </w:pPr>
            <w:r w:rsidRPr="008039FA">
              <w:rPr>
                <w:sz w:val="18"/>
                <w:szCs w:val="18"/>
              </w:rPr>
              <w:t>$2.48</w:t>
            </w:r>
          </w:p>
        </w:tc>
        <w:tc>
          <w:tcPr>
            <w:tcW w:w="990" w:type="dxa"/>
            <w:shd w:val="clear" w:color="auto" w:fill="auto"/>
          </w:tcPr>
          <w:p w:rsidR="00956FAD" w:rsidRPr="008039FA" w:rsidRDefault="00956FAD" w:rsidP="00956FAD">
            <w:pPr>
              <w:jc w:val="center"/>
              <w:rPr>
                <w:sz w:val="18"/>
                <w:szCs w:val="18"/>
              </w:rPr>
            </w:pPr>
            <w:r w:rsidRPr="008039FA">
              <w:rPr>
                <w:sz w:val="18"/>
                <w:szCs w:val="18"/>
              </w:rPr>
              <w:t>$1.92</w:t>
            </w:r>
          </w:p>
        </w:tc>
        <w:tc>
          <w:tcPr>
            <w:tcW w:w="99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12</w:t>
            </w:r>
          </w:p>
        </w:tc>
        <w:tc>
          <w:tcPr>
            <w:tcW w:w="1260" w:type="dxa"/>
          </w:tcPr>
          <w:p w:rsidR="00956FAD" w:rsidRPr="008039FA" w:rsidRDefault="008039FA" w:rsidP="00956FAD">
            <w:pPr>
              <w:jc w:val="center"/>
              <w:rPr>
                <w:sz w:val="18"/>
                <w:szCs w:val="18"/>
              </w:rPr>
            </w:pPr>
            <w:r>
              <w:rPr>
                <w:sz w:val="18"/>
                <w:szCs w:val="18"/>
              </w:rPr>
              <w:t xml:space="preserve">   </w:t>
            </w:r>
            <w:r w:rsidR="00956FAD" w:rsidRPr="008039FA">
              <w:rPr>
                <w:sz w:val="18"/>
                <w:szCs w:val="18"/>
              </w:rPr>
              <w:t>2.0%</w:t>
            </w:r>
          </w:p>
        </w:tc>
      </w:tr>
      <w:tr w:rsidR="00956FAD" w:rsidRPr="00CD1FCC" w:rsidTr="00707AC3">
        <w:tc>
          <w:tcPr>
            <w:tcW w:w="1620" w:type="dxa"/>
          </w:tcPr>
          <w:p w:rsidR="00956FAD" w:rsidRPr="008039FA" w:rsidRDefault="00956FAD" w:rsidP="00707AC3">
            <w:pPr>
              <w:pStyle w:val="Header"/>
              <w:tabs>
                <w:tab w:val="clear" w:pos="4320"/>
                <w:tab w:val="clear" w:pos="8640"/>
              </w:tabs>
              <w:rPr>
                <w:b/>
                <w:sz w:val="18"/>
                <w:szCs w:val="18"/>
              </w:rPr>
            </w:pPr>
            <w:r w:rsidRPr="008039FA">
              <w:rPr>
                <w:b/>
                <w:sz w:val="18"/>
                <w:szCs w:val="18"/>
              </w:rPr>
              <w:t>Total</w:t>
            </w:r>
          </w:p>
        </w:tc>
        <w:tc>
          <w:tcPr>
            <w:tcW w:w="990" w:type="dxa"/>
            <w:shd w:val="clear" w:color="auto" w:fill="auto"/>
          </w:tcPr>
          <w:p w:rsidR="00956FAD" w:rsidRPr="008039FA" w:rsidRDefault="00956FAD" w:rsidP="00956FAD">
            <w:pPr>
              <w:jc w:val="center"/>
              <w:rPr>
                <w:b/>
                <w:sz w:val="18"/>
                <w:szCs w:val="18"/>
              </w:rPr>
            </w:pPr>
            <w:r w:rsidRPr="008039FA">
              <w:rPr>
                <w:b/>
                <w:sz w:val="18"/>
                <w:szCs w:val="18"/>
              </w:rPr>
              <w:t>$0.00</w:t>
            </w:r>
          </w:p>
        </w:tc>
        <w:tc>
          <w:tcPr>
            <w:tcW w:w="1170" w:type="dxa"/>
            <w:shd w:val="clear" w:color="auto" w:fill="auto"/>
          </w:tcPr>
          <w:p w:rsidR="00956FAD" w:rsidRPr="008039FA" w:rsidRDefault="00956FAD" w:rsidP="00956FAD">
            <w:pPr>
              <w:jc w:val="center"/>
              <w:rPr>
                <w:b/>
                <w:sz w:val="18"/>
                <w:szCs w:val="18"/>
              </w:rPr>
            </w:pPr>
            <w:r w:rsidRPr="008039FA">
              <w:rPr>
                <w:b/>
                <w:sz w:val="18"/>
                <w:szCs w:val="18"/>
              </w:rPr>
              <w:t>$0.00</w:t>
            </w:r>
          </w:p>
        </w:tc>
        <w:tc>
          <w:tcPr>
            <w:tcW w:w="990" w:type="dxa"/>
          </w:tcPr>
          <w:p w:rsidR="00956FAD" w:rsidRPr="008039FA" w:rsidRDefault="00956FAD" w:rsidP="00956FAD">
            <w:pPr>
              <w:jc w:val="center"/>
              <w:rPr>
                <w:b/>
                <w:sz w:val="18"/>
                <w:szCs w:val="18"/>
              </w:rPr>
            </w:pPr>
            <w:r w:rsidRPr="008039FA">
              <w:rPr>
                <w:b/>
                <w:sz w:val="18"/>
                <w:szCs w:val="18"/>
              </w:rPr>
              <w:t>663</w:t>
            </w:r>
          </w:p>
        </w:tc>
        <w:tc>
          <w:tcPr>
            <w:tcW w:w="1260" w:type="dxa"/>
          </w:tcPr>
          <w:p w:rsidR="00956FAD" w:rsidRPr="008039FA" w:rsidRDefault="00956FAD" w:rsidP="00956FAD">
            <w:pPr>
              <w:jc w:val="center"/>
              <w:rPr>
                <w:b/>
                <w:sz w:val="18"/>
                <w:szCs w:val="18"/>
              </w:rPr>
            </w:pPr>
            <w:r w:rsidRPr="008039FA">
              <w:rPr>
                <w:b/>
                <w:sz w:val="18"/>
                <w:szCs w:val="18"/>
              </w:rPr>
              <w:t>100.0%</w:t>
            </w:r>
          </w:p>
        </w:tc>
        <w:tc>
          <w:tcPr>
            <w:tcW w:w="1080" w:type="dxa"/>
            <w:shd w:val="clear" w:color="auto" w:fill="auto"/>
          </w:tcPr>
          <w:p w:rsidR="00956FAD" w:rsidRPr="008039FA" w:rsidRDefault="00956FAD" w:rsidP="00956FAD">
            <w:pPr>
              <w:jc w:val="center"/>
              <w:rPr>
                <w:b/>
                <w:sz w:val="18"/>
                <w:szCs w:val="18"/>
              </w:rPr>
            </w:pPr>
            <w:r w:rsidRPr="008039FA">
              <w:rPr>
                <w:b/>
                <w:sz w:val="18"/>
                <w:szCs w:val="18"/>
              </w:rPr>
              <w:t>$2.60</w:t>
            </w:r>
          </w:p>
        </w:tc>
        <w:tc>
          <w:tcPr>
            <w:tcW w:w="990" w:type="dxa"/>
            <w:shd w:val="clear" w:color="auto" w:fill="auto"/>
          </w:tcPr>
          <w:p w:rsidR="00956FAD" w:rsidRPr="008039FA" w:rsidRDefault="00956FAD" w:rsidP="00956FAD">
            <w:pPr>
              <w:jc w:val="center"/>
              <w:rPr>
                <w:b/>
                <w:sz w:val="18"/>
                <w:szCs w:val="18"/>
              </w:rPr>
            </w:pPr>
            <w:r w:rsidRPr="008039FA">
              <w:rPr>
                <w:b/>
                <w:sz w:val="18"/>
                <w:szCs w:val="18"/>
              </w:rPr>
              <w:t>$1.37</w:t>
            </w:r>
          </w:p>
        </w:tc>
        <w:tc>
          <w:tcPr>
            <w:tcW w:w="990" w:type="dxa"/>
          </w:tcPr>
          <w:p w:rsidR="00956FAD" w:rsidRPr="008039FA" w:rsidRDefault="00956FAD" w:rsidP="00956FAD">
            <w:pPr>
              <w:jc w:val="center"/>
              <w:rPr>
                <w:b/>
                <w:sz w:val="18"/>
                <w:szCs w:val="18"/>
              </w:rPr>
            </w:pPr>
            <w:r w:rsidRPr="008039FA">
              <w:rPr>
                <w:b/>
                <w:sz w:val="18"/>
                <w:szCs w:val="18"/>
              </w:rPr>
              <w:t>606</w:t>
            </w:r>
          </w:p>
        </w:tc>
        <w:tc>
          <w:tcPr>
            <w:tcW w:w="1260" w:type="dxa"/>
          </w:tcPr>
          <w:p w:rsidR="00956FAD" w:rsidRPr="008039FA" w:rsidRDefault="00956FAD" w:rsidP="00956FAD">
            <w:pPr>
              <w:jc w:val="center"/>
              <w:rPr>
                <w:b/>
                <w:sz w:val="18"/>
                <w:szCs w:val="18"/>
              </w:rPr>
            </w:pPr>
            <w:r w:rsidRPr="008039FA">
              <w:rPr>
                <w:b/>
                <w:sz w:val="18"/>
                <w:szCs w:val="18"/>
              </w:rPr>
              <w:t>100.0%</w:t>
            </w:r>
          </w:p>
        </w:tc>
      </w:tr>
    </w:tbl>
    <w:p w:rsidR="00F2784D" w:rsidRPr="00BB676B" w:rsidRDefault="00F2784D" w:rsidP="000B767B">
      <w:pPr>
        <w:pStyle w:val="Header"/>
        <w:tabs>
          <w:tab w:val="clear" w:pos="4320"/>
          <w:tab w:val="clear" w:pos="8640"/>
        </w:tabs>
      </w:pPr>
    </w:p>
    <w:sectPr w:rsidR="00F2784D" w:rsidRPr="00BB676B" w:rsidSect="000B767B">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ED" w:rsidRDefault="00E55BED">
      <w:r>
        <w:separator/>
      </w:r>
    </w:p>
  </w:endnote>
  <w:endnote w:type="continuationSeparator" w:id="0">
    <w:p w:rsidR="00E55BED" w:rsidRDefault="00E5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ED" w:rsidRDefault="00E55BED">
      <w:r>
        <w:separator/>
      </w:r>
    </w:p>
  </w:footnote>
  <w:footnote w:type="continuationSeparator" w:id="0">
    <w:p w:rsidR="00E55BED" w:rsidRDefault="00E55BED">
      <w:r>
        <w:continuationSeparator/>
      </w:r>
    </w:p>
  </w:footnote>
  <w:footnote w:id="1">
    <w:p w:rsidR="00E55BED" w:rsidRPr="000C590F" w:rsidRDefault="00E55BED">
      <w:pPr>
        <w:pStyle w:val="FootnoteText"/>
        <w:rPr>
          <w:sz w:val="18"/>
          <w:szCs w:val="18"/>
        </w:rPr>
      </w:pPr>
      <w:r w:rsidRPr="000C590F">
        <w:rPr>
          <w:rStyle w:val="FootnoteReference"/>
          <w:sz w:val="18"/>
          <w:szCs w:val="18"/>
        </w:rPr>
        <w:footnoteRef/>
      </w:r>
      <w:r w:rsidRPr="000C590F">
        <w:rPr>
          <w:sz w:val="18"/>
          <w:szCs w:val="18"/>
        </w:rPr>
        <w:t>For recipients that have not yet met all their obligations stipulated in their business and financial assistance agreements, there are several reasons why this may occur.  First, the recipient may have more time to meet its goals and obligations stipulated in their agreement.  Recipients or businesses have two years from the benefit date to meet specific wage and job goals and in some cases local government agencies may have a five year requirement to remain on the premises where the subsidy is provided.  Also in the case of TIF or tax abatement, like JOBZ projects, recipients are required to report for the duration of the TIF or tax abatement which may be as long as 10 to 12 years from the benefit date.  Second, some projects may not have been updated for several years due to staffing changes at local government agencies.  Reporting on these projects may be delayed even after receiving a notice from DEED.</w:t>
      </w:r>
    </w:p>
  </w:footnote>
  <w:footnote w:id="2">
    <w:p w:rsidR="00E55BED" w:rsidRDefault="00E55BED" w:rsidP="00984AB7">
      <w:pPr>
        <w:pStyle w:val="FootnoteText"/>
      </w:pPr>
      <w:r>
        <w:rPr>
          <w:rStyle w:val="FootnoteReference"/>
        </w:rPr>
        <w:footnoteRef/>
      </w:r>
      <w:r>
        <w:t>City includes economic development authorities (EDAs).</w:t>
      </w:r>
    </w:p>
  </w:footnote>
  <w:footnote w:id="3">
    <w:p w:rsidR="00E55BED" w:rsidRDefault="00E55BED" w:rsidP="00984AB7">
      <w:pPr>
        <w:pStyle w:val="FootnoteText"/>
      </w:pPr>
      <w:r>
        <w:rPr>
          <w:rStyle w:val="FootnoteReference"/>
        </w:rPr>
        <w:footnoteRef/>
      </w:r>
      <w:r>
        <w:t>Other is township.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3347B"/>
    <w:multiLevelType w:val="hybridMultilevel"/>
    <w:tmpl w:val="359C3148"/>
    <w:lvl w:ilvl="0" w:tplc="0F128B0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2D226BA"/>
    <w:multiLevelType w:val="hybridMultilevel"/>
    <w:tmpl w:val="CC00C4E2"/>
    <w:lvl w:ilvl="0" w:tplc="0F128B0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55"/>
    <w:rsid w:val="00002B71"/>
    <w:rsid w:val="00003E85"/>
    <w:rsid w:val="000059C4"/>
    <w:rsid w:val="00006EA9"/>
    <w:rsid w:val="0002552A"/>
    <w:rsid w:val="00033276"/>
    <w:rsid w:val="00044A4D"/>
    <w:rsid w:val="00045E84"/>
    <w:rsid w:val="000460D4"/>
    <w:rsid w:val="0005569C"/>
    <w:rsid w:val="00062B1B"/>
    <w:rsid w:val="0006300A"/>
    <w:rsid w:val="00073AE9"/>
    <w:rsid w:val="00075E84"/>
    <w:rsid w:val="000768D2"/>
    <w:rsid w:val="00076CC9"/>
    <w:rsid w:val="00077F28"/>
    <w:rsid w:val="0008313A"/>
    <w:rsid w:val="00083D9A"/>
    <w:rsid w:val="00094588"/>
    <w:rsid w:val="000A037A"/>
    <w:rsid w:val="000A6221"/>
    <w:rsid w:val="000B02CF"/>
    <w:rsid w:val="000B3A5A"/>
    <w:rsid w:val="000B767B"/>
    <w:rsid w:val="000C590F"/>
    <w:rsid w:val="000D042A"/>
    <w:rsid w:val="000D5A02"/>
    <w:rsid w:val="000D7330"/>
    <w:rsid w:val="000E3251"/>
    <w:rsid w:val="000F1841"/>
    <w:rsid w:val="0010000C"/>
    <w:rsid w:val="001019D4"/>
    <w:rsid w:val="00115B34"/>
    <w:rsid w:val="00131506"/>
    <w:rsid w:val="001354B8"/>
    <w:rsid w:val="00137389"/>
    <w:rsid w:val="00141A39"/>
    <w:rsid w:val="00144899"/>
    <w:rsid w:val="00147652"/>
    <w:rsid w:val="00152CC3"/>
    <w:rsid w:val="001540D4"/>
    <w:rsid w:val="00155E50"/>
    <w:rsid w:val="00164D49"/>
    <w:rsid w:val="001666AE"/>
    <w:rsid w:val="001678D2"/>
    <w:rsid w:val="001713BC"/>
    <w:rsid w:val="00180992"/>
    <w:rsid w:val="001832BE"/>
    <w:rsid w:val="0018398E"/>
    <w:rsid w:val="00183FE5"/>
    <w:rsid w:val="00184D65"/>
    <w:rsid w:val="00184DFE"/>
    <w:rsid w:val="001871DE"/>
    <w:rsid w:val="001871E5"/>
    <w:rsid w:val="00190058"/>
    <w:rsid w:val="00190F32"/>
    <w:rsid w:val="00193B77"/>
    <w:rsid w:val="00193F08"/>
    <w:rsid w:val="00195CAF"/>
    <w:rsid w:val="0019641F"/>
    <w:rsid w:val="001A34FD"/>
    <w:rsid w:val="001A57EB"/>
    <w:rsid w:val="001B727C"/>
    <w:rsid w:val="001C0AEF"/>
    <w:rsid w:val="001C0B0C"/>
    <w:rsid w:val="001D0E62"/>
    <w:rsid w:val="001D2667"/>
    <w:rsid w:val="001D3881"/>
    <w:rsid w:val="001D3EB9"/>
    <w:rsid w:val="001E6B13"/>
    <w:rsid w:val="00205BF8"/>
    <w:rsid w:val="00206490"/>
    <w:rsid w:val="002108BC"/>
    <w:rsid w:val="00222C83"/>
    <w:rsid w:val="0022472A"/>
    <w:rsid w:val="00233FAF"/>
    <w:rsid w:val="00236D48"/>
    <w:rsid w:val="002379F8"/>
    <w:rsid w:val="002450AE"/>
    <w:rsid w:val="00253065"/>
    <w:rsid w:val="00253604"/>
    <w:rsid w:val="0026301B"/>
    <w:rsid w:val="00263EEA"/>
    <w:rsid w:val="002670E1"/>
    <w:rsid w:val="00270F93"/>
    <w:rsid w:val="0027373B"/>
    <w:rsid w:val="00273D10"/>
    <w:rsid w:val="00280CAA"/>
    <w:rsid w:val="002846EE"/>
    <w:rsid w:val="00292219"/>
    <w:rsid w:val="00297520"/>
    <w:rsid w:val="00297530"/>
    <w:rsid w:val="002A7698"/>
    <w:rsid w:val="002C38A1"/>
    <w:rsid w:val="002C6A21"/>
    <w:rsid w:val="002E3411"/>
    <w:rsid w:val="002F18A2"/>
    <w:rsid w:val="002F2E99"/>
    <w:rsid w:val="002F6070"/>
    <w:rsid w:val="003021A1"/>
    <w:rsid w:val="00305ED8"/>
    <w:rsid w:val="003112F2"/>
    <w:rsid w:val="00324888"/>
    <w:rsid w:val="00324E33"/>
    <w:rsid w:val="00326FAC"/>
    <w:rsid w:val="003317A4"/>
    <w:rsid w:val="00336E25"/>
    <w:rsid w:val="0034310A"/>
    <w:rsid w:val="003478A0"/>
    <w:rsid w:val="00351C54"/>
    <w:rsid w:val="00352FAA"/>
    <w:rsid w:val="00355BFA"/>
    <w:rsid w:val="003610DF"/>
    <w:rsid w:val="00361172"/>
    <w:rsid w:val="00364579"/>
    <w:rsid w:val="00364BF5"/>
    <w:rsid w:val="003669E7"/>
    <w:rsid w:val="00366AAC"/>
    <w:rsid w:val="00367673"/>
    <w:rsid w:val="00370B0B"/>
    <w:rsid w:val="0037519A"/>
    <w:rsid w:val="00384047"/>
    <w:rsid w:val="00390045"/>
    <w:rsid w:val="003C1001"/>
    <w:rsid w:val="003C52B5"/>
    <w:rsid w:val="003C6F46"/>
    <w:rsid w:val="003D5104"/>
    <w:rsid w:val="003E0BE6"/>
    <w:rsid w:val="003E2C85"/>
    <w:rsid w:val="003E3F84"/>
    <w:rsid w:val="003F0562"/>
    <w:rsid w:val="003F2C89"/>
    <w:rsid w:val="003F7598"/>
    <w:rsid w:val="00404DA1"/>
    <w:rsid w:val="004056B7"/>
    <w:rsid w:val="00405CC7"/>
    <w:rsid w:val="00406B36"/>
    <w:rsid w:val="004214AA"/>
    <w:rsid w:val="004238A0"/>
    <w:rsid w:val="004276F5"/>
    <w:rsid w:val="00434127"/>
    <w:rsid w:val="00437B1F"/>
    <w:rsid w:val="004477F4"/>
    <w:rsid w:val="00453C04"/>
    <w:rsid w:val="00455FDC"/>
    <w:rsid w:val="00460097"/>
    <w:rsid w:val="00461BC6"/>
    <w:rsid w:val="00470146"/>
    <w:rsid w:val="004701D2"/>
    <w:rsid w:val="004809E6"/>
    <w:rsid w:val="00484278"/>
    <w:rsid w:val="004867BB"/>
    <w:rsid w:val="004921B3"/>
    <w:rsid w:val="004A3E91"/>
    <w:rsid w:val="004A43A8"/>
    <w:rsid w:val="004B2105"/>
    <w:rsid w:val="004B3AC3"/>
    <w:rsid w:val="004C3955"/>
    <w:rsid w:val="004C3D2A"/>
    <w:rsid w:val="004C7A67"/>
    <w:rsid w:val="004D121F"/>
    <w:rsid w:val="004D23F9"/>
    <w:rsid w:val="004E16BA"/>
    <w:rsid w:val="004E1C4C"/>
    <w:rsid w:val="004E40F3"/>
    <w:rsid w:val="004E6E47"/>
    <w:rsid w:val="004E70E5"/>
    <w:rsid w:val="004F01E6"/>
    <w:rsid w:val="004F314D"/>
    <w:rsid w:val="004F4DB0"/>
    <w:rsid w:val="00502214"/>
    <w:rsid w:val="0050586B"/>
    <w:rsid w:val="00505B48"/>
    <w:rsid w:val="0051301F"/>
    <w:rsid w:val="00516EC4"/>
    <w:rsid w:val="005247A1"/>
    <w:rsid w:val="005269A7"/>
    <w:rsid w:val="00533A10"/>
    <w:rsid w:val="00535C17"/>
    <w:rsid w:val="005469C5"/>
    <w:rsid w:val="00546CD4"/>
    <w:rsid w:val="005503CE"/>
    <w:rsid w:val="00554C77"/>
    <w:rsid w:val="00555F68"/>
    <w:rsid w:val="005638F7"/>
    <w:rsid w:val="005649F1"/>
    <w:rsid w:val="00585AB0"/>
    <w:rsid w:val="00586B40"/>
    <w:rsid w:val="00587533"/>
    <w:rsid w:val="00596538"/>
    <w:rsid w:val="005965B9"/>
    <w:rsid w:val="00596FD0"/>
    <w:rsid w:val="005C03DD"/>
    <w:rsid w:val="005C370E"/>
    <w:rsid w:val="005D31EB"/>
    <w:rsid w:val="005E2315"/>
    <w:rsid w:val="005E7092"/>
    <w:rsid w:val="005F417F"/>
    <w:rsid w:val="00612E9D"/>
    <w:rsid w:val="00615333"/>
    <w:rsid w:val="006228AB"/>
    <w:rsid w:val="00625DD2"/>
    <w:rsid w:val="006340EA"/>
    <w:rsid w:val="00634B72"/>
    <w:rsid w:val="00635ABD"/>
    <w:rsid w:val="00635DFA"/>
    <w:rsid w:val="00636796"/>
    <w:rsid w:val="00656382"/>
    <w:rsid w:val="00665874"/>
    <w:rsid w:val="00665E1E"/>
    <w:rsid w:val="00665F98"/>
    <w:rsid w:val="00674749"/>
    <w:rsid w:val="006750B9"/>
    <w:rsid w:val="00676155"/>
    <w:rsid w:val="00691E46"/>
    <w:rsid w:val="00692176"/>
    <w:rsid w:val="00695C8D"/>
    <w:rsid w:val="006A152F"/>
    <w:rsid w:val="006A1E56"/>
    <w:rsid w:val="006A23FF"/>
    <w:rsid w:val="006B0138"/>
    <w:rsid w:val="006B1CA7"/>
    <w:rsid w:val="006B599E"/>
    <w:rsid w:val="006B6A6F"/>
    <w:rsid w:val="006B7E91"/>
    <w:rsid w:val="006B7EEC"/>
    <w:rsid w:val="006C27EA"/>
    <w:rsid w:val="006C33FA"/>
    <w:rsid w:val="006E2634"/>
    <w:rsid w:val="006F01EC"/>
    <w:rsid w:val="006F0959"/>
    <w:rsid w:val="006F5232"/>
    <w:rsid w:val="006F73D9"/>
    <w:rsid w:val="007024EB"/>
    <w:rsid w:val="00706F75"/>
    <w:rsid w:val="007079AF"/>
    <w:rsid w:val="00707A31"/>
    <w:rsid w:val="00707AC3"/>
    <w:rsid w:val="00707C77"/>
    <w:rsid w:val="0071110C"/>
    <w:rsid w:val="00713F2B"/>
    <w:rsid w:val="00725623"/>
    <w:rsid w:val="00726FE6"/>
    <w:rsid w:val="00730FC1"/>
    <w:rsid w:val="00732E69"/>
    <w:rsid w:val="00733827"/>
    <w:rsid w:val="0073652E"/>
    <w:rsid w:val="0074078C"/>
    <w:rsid w:val="0074523A"/>
    <w:rsid w:val="00747E9F"/>
    <w:rsid w:val="007521B7"/>
    <w:rsid w:val="007550C2"/>
    <w:rsid w:val="00757BDE"/>
    <w:rsid w:val="00763934"/>
    <w:rsid w:val="00763DE5"/>
    <w:rsid w:val="00770C50"/>
    <w:rsid w:val="00771D31"/>
    <w:rsid w:val="00774630"/>
    <w:rsid w:val="00786AD9"/>
    <w:rsid w:val="007A0F10"/>
    <w:rsid w:val="007A241A"/>
    <w:rsid w:val="007A5BD5"/>
    <w:rsid w:val="007A7088"/>
    <w:rsid w:val="007B530A"/>
    <w:rsid w:val="007B6244"/>
    <w:rsid w:val="007C7FAB"/>
    <w:rsid w:val="007D030D"/>
    <w:rsid w:val="007D2CC9"/>
    <w:rsid w:val="007D2DE8"/>
    <w:rsid w:val="007D4F92"/>
    <w:rsid w:val="007E778A"/>
    <w:rsid w:val="0080195F"/>
    <w:rsid w:val="00802D11"/>
    <w:rsid w:val="008039FA"/>
    <w:rsid w:val="00805E32"/>
    <w:rsid w:val="00807425"/>
    <w:rsid w:val="008074D4"/>
    <w:rsid w:val="008129CC"/>
    <w:rsid w:val="008157DD"/>
    <w:rsid w:val="0082236A"/>
    <w:rsid w:val="0082325C"/>
    <w:rsid w:val="00825204"/>
    <w:rsid w:val="008275DB"/>
    <w:rsid w:val="00832244"/>
    <w:rsid w:val="008416E0"/>
    <w:rsid w:val="00842B1F"/>
    <w:rsid w:val="008516AA"/>
    <w:rsid w:val="008528AE"/>
    <w:rsid w:val="00856C3B"/>
    <w:rsid w:val="00856CDD"/>
    <w:rsid w:val="00873A4A"/>
    <w:rsid w:val="008767B1"/>
    <w:rsid w:val="00883A3B"/>
    <w:rsid w:val="008A158A"/>
    <w:rsid w:val="008A623F"/>
    <w:rsid w:val="008B1E8B"/>
    <w:rsid w:val="008C2BDD"/>
    <w:rsid w:val="008C5181"/>
    <w:rsid w:val="008D04B8"/>
    <w:rsid w:val="008D1060"/>
    <w:rsid w:val="008D1FB2"/>
    <w:rsid w:val="008D4CCC"/>
    <w:rsid w:val="008D6AF1"/>
    <w:rsid w:val="008E466E"/>
    <w:rsid w:val="008E4DFC"/>
    <w:rsid w:val="008E5A32"/>
    <w:rsid w:val="008E67F6"/>
    <w:rsid w:val="008E6DAE"/>
    <w:rsid w:val="008F159D"/>
    <w:rsid w:val="008F1D4A"/>
    <w:rsid w:val="008F2799"/>
    <w:rsid w:val="008F36D8"/>
    <w:rsid w:val="008F4B32"/>
    <w:rsid w:val="0090122F"/>
    <w:rsid w:val="009063FA"/>
    <w:rsid w:val="0091192D"/>
    <w:rsid w:val="00921291"/>
    <w:rsid w:val="00925D50"/>
    <w:rsid w:val="00931986"/>
    <w:rsid w:val="00931BC3"/>
    <w:rsid w:val="00932B54"/>
    <w:rsid w:val="00942CD0"/>
    <w:rsid w:val="00943693"/>
    <w:rsid w:val="00944A00"/>
    <w:rsid w:val="00950074"/>
    <w:rsid w:val="00955DFD"/>
    <w:rsid w:val="00956FAD"/>
    <w:rsid w:val="00965B4C"/>
    <w:rsid w:val="00965C0D"/>
    <w:rsid w:val="0096613E"/>
    <w:rsid w:val="00967738"/>
    <w:rsid w:val="009817EB"/>
    <w:rsid w:val="00981A6B"/>
    <w:rsid w:val="00984AB7"/>
    <w:rsid w:val="0099020E"/>
    <w:rsid w:val="0099656C"/>
    <w:rsid w:val="00997A92"/>
    <w:rsid w:val="009A0EE1"/>
    <w:rsid w:val="009A3676"/>
    <w:rsid w:val="009A4439"/>
    <w:rsid w:val="009E5ED5"/>
    <w:rsid w:val="009F182D"/>
    <w:rsid w:val="009F3962"/>
    <w:rsid w:val="00A015E9"/>
    <w:rsid w:val="00A01B21"/>
    <w:rsid w:val="00A12DF0"/>
    <w:rsid w:val="00A13A25"/>
    <w:rsid w:val="00A14412"/>
    <w:rsid w:val="00A169E3"/>
    <w:rsid w:val="00A24E09"/>
    <w:rsid w:val="00A25049"/>
    <w:rsid w:val="00A265F3"/>
    <w:rsid w:val="00A32A8B"/>
    <w:rsid w:val="00A34721"/>
    <w:rsid w:val="00A35269"/>
    <w:rsid w:val="00A40ABB"/>
    <w:rsid w:val="00A44BBE"/>
    <w:rsid w:val="00A450B8"/>
    <w:rsid w:val="00A451CF"/>
    <w:rsid w:val="00A469A0"/>
    <w:rsid w:val="00A511FC"/>
    <w:rsid w:val="00A546DF"/>
    <w:rsid w:val="00A66E11"/>
    <w:rsid w:val="00A678BA"/>
    <w:rsid w:val="00A7334F"/>
    <w:rsid w:val="00A73F23"/>
    <w:rsid w:val="00A76DF5"/>
    <w:rsid w:val="00A80EFA"/>
    <w:rsid w:val="00A861A4"/>
    <w:rsid w:val="00A95693"/>
    <w:rsid w:val="00AA0CA6"/>
    <w:rsid w:val="00AB0A37"/>
    <w:rsid w:val="00AB22C8"/>
    <w:rsid w:val="00AC5AE6"/>
    <w:rsid w:val="00AC6D22"/>
    <w:rsid w:val="00AD577E"/>
    <w:rsid w:val="00AE007B"/>
    <w:rsid w:val="00AF0E79"/>
    <w:rsid w:val="00AF516E"/>
    <w:rsid w:val="00B0165F"/>
    <w:rsid w:val="00B01672"/>
    <w:rsid w:val="00B048B4"/>
    <w:rsid w:val="00B0678F"/>
    <w:rsid w:val="00B11029"/>
    <w:rsid w:val="00B17B46"/>
    <w:rsid w:val="00B41FD1"/>
    <w:rsid w:val="00B45872"/>
    <w:rsid w:val="00B47242"/>
    <w:rsid w:val="00B51EB1"/>
    <w:rsid w:val="00B54948"/>
    <w:rsid w:val="00B54F71"/>
    <w:rsid w:val="00B61C6A"/>
    <w:rsid w:val="00B645F8"/>
    <w:rsid w:val="00B67432"/>
    <w:rsid w:val="00B6756E"/>
    <w:rsid w:val="00B724FB"/>
    <w:rsid w:val="00B72B21"/>
    <w:rsid w:val="00B74599"/>
    <w:rsid w:val="00B76A7E"/>
    <w:rsid w:val="00B80C05"/>
    <w:rsid w:val="00B861D7"/>
    <w:rsid w:val="00B87ED2"/>
    <w:rsid w:val="00B916FA"/>
    <w:rsid w:val="00B93AEC"/>
    <w:rsid w:val="00B96CDF"/>
    <w:rsid w:val="00B975F1"/>
    <w:rsid w:val="00B97D1C"/>
    <w:rsid w:val="00BA0D89"/>
    <w:rsid w:val="00BA0EB8"/>
    <w:rsid w:val="00BA7126"/>
    <w:rsid w:val="00BB1F08"/>
    <w:rsid w:val="00BB4DA7"/>
    <w:rsid w:val="00BB676B"/>
    <w:rsid w:val="00BC1371"/>
    <w:rsid w:val="00BC14BF"/>
    <w:rsid w:val="00BC2990"/>
    <w:rsid w:val="00BC585B"/>
    <w:rsid w:val="00BD0B7E"/>
    <w:rsid w:val="00BD4773"/>
    <w:rsid w:val="00BE1B57"/>
    <w:rsid w:val="00BE316A"/>
    <w:rsid w:val="00BE3FA4"/>
    <w:rsid w:val="00BE5423"/>
    <w:rsid w:val="00BF17D4"/>
    <w:rsid w:val="00BF3116"/>
    <w:rsid w:val="00BF4CDE"/>
    <w:rsid w:val="00C01AD3"/>
    <w:rsid w:val="00C079A1"/>
    <w:rsid w:val="00C167FA"/>
    <w:rsid w:val="00C2014D"/>
    <w:rsid w:val="00C22D9C"/>
    <w:rsid w:val="00C23C41"/>
    <w:rsid w:val="00C24116"/>
    <w:rsid w:val="00C26FFB"/>
    <w:rsid w:val="00C305FD"/>
    <w:rsid w:val="00C3610D"/>
    <w:rsid w:val="00C41C41"/>
    <w:rsid w:val="00C44065"/>
    <w:rsid w:val="00C46760"/>
    <w:rsid w:val="00C60B94"/>
    <w:rsid w:val="00C61048"/>
    <w:rsid w:val="00C6495B"/>
    <w:rsid w:val="00C657F2"/>
    <w:rsid w:val="00C668AF"/>
    <w:rsid w:val="00C7322F"/>
    <w:rsid w:val="00C73359"/>
    <w:rsid w:val="00C7692D"/>
    <w:rsid w:val="00C7746A"/>
    <w:rsid w:val="00C813A3"/>
    <w:rsid w:val="00C87982"/>
    <w:rsid w:val="00C928E2"/>
    <w:rsid w:val="00C9792D"/>
    <w:rsid w:val="00CA0C26"/>
    <w:rsid w:val="00CB2FFD"/>
    <w:rsid w:val="00CC3737"/>
    <w:rsid w:val="00CC7646"/>
    <w:rsid w:val="00CD0553"/>
    <w:rsid w:val="00CD0D54"/>
    <w:rsid w:val="00CD1FCC"/>
    <w:rsid w:val="00CD74F3"/>
    <w:rsid w:val="00CE275B"/>
    <w:rsid w:val="00CE3D5E"/>
    <w:rsid w:val="00CF1048"/>
    <w:rsid w:val="00CF5689"/>
    <w:rsid w:val="00CF5A9B"/>
    <w:rsid w:val="00D028F8"/>
    <w:rsid w:val="00D0588A"/>
    <w:rsid w:val="00D12179"/>
    <w:rsid w:val="00D15244"/>
    <w:rsid w:val="00D20511"/>
    <w:rsid w:val="00D213F1"/>
    <w:rsid w:val="00D237BA"/>
    <w:rsid w:val="00D3040E"/>
    <w:rsid w:val="00D37B88"/>
    <w:rsid w:val="00D43A54"/>
    <w:rsid w:val="00D43AC9"/>
    <w:rsid w:val="00D46785"/>
    <w:rsid w:val="00D46A3B"/>
    <w:rsid w:val="00D50CD0"/>
    <w:rsid w:val="00D72996"/>
    <w:rsid w:val="00D76856"/>
    <w:rsid w:val="00D80D2F"/>
    <w:rsid w:val="00D812CC"/>
    <w:rsid w:val="00D85808"/>
    <w:rsid w:val="00D86C73"/>
    <w:rsid w:val="00D9593B"/>
    <w:rsid w:val="00D961FD"/>
    <w:rsid w:val="00DA4252"/>
    <w:rsid w:val="00DA5190"/>
    <w:rsid w:val="00DA6629"/>
    <w:rsid w:val="00DA777C"/>
    <w:rsid w:val="00DB4DFB"/>
    <w:rsid w:val="00DB7BEB"/>
    <w:rsid w:val="00DE085A"/>
    <w:rsid w:val="00DE0976"/>
    <w:rsid w:val="00DE1BF3"/>
    <w:rsid w:val="00DE4CC8"/>
    <w:rsid w:val="00DE5D19"/>
    <w:rsid w:val="00DF45B7"/>
    <w:rsid w:val="00E03245"/>
    <w:rsid w:val="00E13B8D"/>
    <w:rsid w:val="00E23862"/>
    <w:rsid w:val="00E24070"/>
    <w:rsid w:val="00E25801"/>
    <w:rsid w:val="00E2594A"/>
    <w:rsid w:val="00E265E8"/>
    <w:rsid w:val="00E30E20"/>
    <w:rsid w:val="00E319A0"/>
    <w:rsid w:val="00E348F1"/>
    <w:rsid w:val="00E34F01"/>
    <w:rsid w:val="00E359C9"/>
    <w:rsid w:val="00E4180B"/>
    <w:rsid w:val="00E51A39"/>
    <w:rsid w:val="00E51ADA"/>
    <w:rsid w:val="00E51C08"/>
    <w:rsid w:val="00E52FB0"/>
    <w:rsid w:val="00E55BED"/>
    <w:rsid w:val="00E67E17"/>
    <w:rsid w:val="00E7408C"/>
    <w:rsid w:val="00E752AF"/>
    <w:rsid w:val="00E7711E"/>
    <w:rsid w:val="00E84EF6"/>
    <w:rsid w:val="00E93307"/>
    <w:rsid w:val="00E97944"/>
    <w:rsid w:val="00EA0B4C"/>
    <w:rsid w:val="00EA0D38"/>
    <w:rsid w:val="00EA7225"/>
    <w:rsid w:val="00EA7E24"/>
    <w:rsid w:val="00EB11CF"/>
    <w:rsid w:val="00EB4BEF"/>
    <w:rsid w:val="00EC3DDC"/>
    <w:rsid w:val="00ED4A0F"/>
    <w:rsid w:val="00EE3C17"/>
    <w:rsid w:val="00EE4F0A"/>
    <w:rsid w:val="00EF4E88"/>
    <w:rsid w:val="00F002E5"/>
    <w:rsid w:val="00F02445"/>
    <w:rsid w:val="00F06A40"/>
    <w:rsid w:val="00F2653A"/>
    <w:rsid w:val="00F2784D"/>
    <w:rsid w:val="00F27CC1"/>
    <w:rsid w:val="00F4352E"/>
    <w:rsid w:val="00F46770"/>
    <w:rsid w:val="00F52233"/>
    <w:rsid w:val="00F5348C"/>
    <w:rsid w:val="00F54D6E"/>
    <w:rsid w:val="00F5579B"/>
    <w:rsid w:val="00F579DD"/>
    <w:rsid w:val="00F71C49"/>
    <w:rsid w:val="00F7382B"/>
    <w:rsid w:val="00F84491"/>
    <w:rsid w:val="00F948F5"/>
    <w:rsid w:val="00FA1CCA"/>
    <w:rsid w:val="00FA4AC7"/>
    <w:rsid w:val="00FA586F"/>
    <w:rsid w:val="00FB12C9"/>
    <w:rsid w:val="00FB3D5C"/>
    <w:rsid w:val="00FB60C4"/>
    <w:rsid w:val="00FB7692"/>
    <w:rsid w:val="00FB769A"/>
    <w:rsid w:val="00FC04FA"/>
    <w:rsid w:val="00FE7280"/>
    <w:rsid w:val="00FE7BC3"/>
    <w:rsid w:val="00FF3B98"/>
    <w:rsid w:val="00FF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6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316A"/>
    <w:rPr>
      <w:rFonts w:ascii="Tahoma" w:hAnsi="Tahoma" w:cs="Tahoma"/>
      <w:sz w:val="16"/>
      <w:szCs w:val="16"/>
    </w:rPr>
  </w:style>
  <w:style w:type="paragraph" w:styleId="Header">
    <w:name w:val="header"/>
    <w:basedOn w:val="Normal"/>
    <w:link w:val="HeaderChar"/>
    <w:uiPriority w:val="99"/>
    <w:rsid w:val="00DE5D19"/>
    <w:pPr>
      <w:tabs>
        <w:tab w:val="center" w:pos="4320"/>
        <w:tab w:val="right" w:pos="8640"/>
      </w:tabs>
    </w:pPr>
  </w:style>
  <w:style w:type="paragraph" w:styleId="Footer">
    <w:name w:val="footer"/>
    <w:basedOn w:val="Normal"/>
    <w:link w:val="FooterChar"/>
    <w:uiPriority w:val="99"/>
    <w:rsid w:val="00DE5D19"/>
    <w:pPr>
      <w:tabs>
        <w:tab w:val="center" w:pos="4320"/>
        <w:tab w:val="right" w:pos="8640"/>
      </w:tabs>
    </w:pPr>
  </w:style>
  <w:style w:type="paragraph" w:styleId="FootnoteText">
    <w:name w:val="footnote text"/>
    <w:basedOn w:val="Normal"/>
    <w:semiHidden/>
    <w:rsid w:val="00984AB7"/>
    <w:rPr>
      <w:sz w:val="20"/>
      <w:szCs w:val="20"/>
    </w:rPr>
  </w:style>
  <w:style w:type="character" w:styleId="FootnoteReference">
    <w:name w:val="footnote reference"/>
    <w:basedOn w:val="DefaultParagraphFont"/>
    <w:semiHidden/>
    <w:rsid w:val="00984AB7"/>
    <w:rPr>
      <w:vertAlign w:val="superscript"/>
    </w:rPr>
  </w:style>
  <w:style w:type="character" w:customStyle="1" w:styleId="FooterChar">
    <w:name w:val="Footer Char"/>
    <w:basedOn w:val="DefaultParagraphFont"/>
    <w:link w:val="Footer"/>
    <w:uiPriority w:val="99"/>
    <w:rsid w:val="00EC3DDC"/>
    <w:rPr>
      <w:sz w:val="24"/>
      <w:szCs w:val="24"/>
    </w:rPr>
  </w:style>
  <w:style w:type="paragraph" w:styleId="NoSpacing">
    <w:name w:val="No Spacing"/>
    <w:link w:val="NoSpacingChar"/>
    <w:uiPriority w:val="1"/>
    <w:qFormat/>
    <w:rsid w:val="00EC3DD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C3DD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EC3DDC"/>
    <w:rPr>
      <w:sz w:val="24"/>
      <w:szCs w:val="24"/>
    </w:rPr>
  </w:style>
  <w:style w:type="character" w:styleId="Hyperlink">
    <w:name w:val="Hyperlink"/>
    <w:rsid w:val="004276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6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3F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E316A"/>
    <w:rPr>
      <w:rFonts w:ascii="Tahoma" w:hAnsi="Tahoma" w:cs="Tahoma"/>
      <w:sz w:val="16"/>
      <w:szCs w:val="16"/>
    </w:rPr>
  </w:style>
  <w:style w:type="paragraph" w:styleId="Header">
    <w:name w:val="header"/>
    <w:basedOn w:val="Normal"/>
    <w:link w:val="HeaderChar"/>
    <w:uiPriority w:val="99"/>
    <w:rsid w:val="00DE5D19"/>
    <w:pPr>
      <w:tabs>
        <w:tab w:val="center" w:pos="4320"/>
        <w:tab w:val="right" w:pos="8640"/>
      </w:tabs>
    </w:pPr>
  </w:style>
  <w:style w:type="paragraph" w:styleId="Footer">
    <w:name w:val="footer"/>
    <w:basedOn w:val="Normal"/>
    <w:link w:val="FooterChar"/>
    <w:uiPriority w:val="99"/>
    <w:rsid w:val="00DE5D19"/>
    <w:pPr>
      <w:tabs>
        <w:tab w:val="center" w:pos="4320"/>
        <w:tab w:val="right" w:pos="8640"/>
      </w:tabs>
    </w:pPr>
  </w:style>
  <w:style w:type="paragraph" w:styleId="FootnoteText">
    <w:name w:val="footnote text"/>
    <w:basedOn w:val="Normal"/>
    <w:semiHidden/>
    <w:rsid w:val="00984AB7"/>
    <w:rPr>
      <w:sz w:val="20"/>
      <w:szCs w:val="20"/>
    </w:rPr>
  </w:style>
  <w:style w:type="character" w:styleId="FootnoteReference">
    <w:name w:val="footnote reference"/>
    <w:basedOn w:val="DefaultParagraphFont"/>
    <w:semiHidden/>
    <w:rsid w:val="00984AB7"/>
    <w:rPr>
      <w:vertAlign w:val="superscript"/>
    </w:rPr>
  </w:style>
  <w:style w:type="character" w:customStyle="1" w:styleId="FooterChar">
    <w:name w:val="Footer Char"/>
    <w:basedOn w:val="DefaultParagraphFont"/>
    <w:link w:val="Footer"/>
    <w:uiPriority w:val="99"/>
    <w:rsid w:val="00EC3DDC"/>
    <w:rPr>
      <w:sz w:val="24"/>
      <w:szCs w:val="24"/>
    </w:rPr>
  </w:style>
  <w:style w:type="paragraph" w:styleId="NoSpacing">
    <w:name w:val="No Spacing"/>
    <w:link w:val="NoSpacingChar"/>
    <w:uiPriority w:val="1"/>
    <w:qFormat/>
    <w:rsid w:val="00EC3DD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C3DD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EC3DDC"/>
    <w:rPr>
      <w:sz w:val="24"/>
      <w:szCs w:val="24"/>
    </w:rPr>
  </w:style>
  <w:style w:type="character" w:styleId="Hyperlink">
    <w:name w:val="Hyperlink"/>
    <w:rsid w:val="00427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BF33B-75EC-4A98-8FDF-F7F414E6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7383</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2008 BUSINESS ASSISTANCE REPORT</vt:lpstr>
    </vt:vector>
  </TitlesOfParts>
  <Company>DEED</Company>
  <LinksUpToDate>false</LinksUpToDate>
  <CharactersWithSpaces>50592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BUSINESS ASSISTANCE REPORT</dc:title>
  <dc:creator>DEED</dc:creator>
  <cp:lastModifiedBy>Marietta Olsen</cp:lastModifiedBy>
  <cp:revision>3</cp:revision>
  <cp:lastPrinted>2014-12-05T19:37:00Z</cp:lastPrinted>
  <dcterms:created xsi:type="dcterms:W3CDTF">2014-12-04T19:38:00Z</dcterms:created>
  <dcterms:modified xsi:type="dcterms:W3CDTF">2014-12-05T19:37:00Z</dcterms:modified>
</cp:coreProperties>
</file>