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EAA6" w14:textId="1489C768" w:rsidR="003F0DA0" w:rsidRPr="00420B72" w:rsidRDefault="00484DC9" w:rsidP="00420B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Performance Updates</w:t>
      </w:r>
      <w:r w:rsidR="000C430C" w:rsidRPr="000C430C">
        <w:t xml:space="preserve"> </w:t>
      </w:r>
      <w:r w:rsidR="000C430C" w:rsidRPr="000C430C">
        <w:rPr>
          <w:b/>
          <w:bCs/>
          <w:sz w:val="28"/>
          <w:szCs w:val="28"/>
        </w:rPr>
        <w:t>for the</w:t>
      </w:r>
      <w:r w:rsidR="000C430C">
        <w:t xml:space="preserve"> </w:t>
      </w:r>
      <w:r w:rsidR="000C430C" w:rsidRPr="000C430C">
        <w:rPr>
          <w:b/>
          <w:bCs/>
          <w:sz w:val="28"/>
          <w:szCs w:val="28"/>
        </w:rPr>
        <w:t>Dislocated Worker and WIOA Adult</w:t>
      </w:r>
    </w:p>
    <w:p w14:paraId="007E95A3" w14:textId="77777777" w:rsidR="00823692" w:rsidRDefault="00823692" w:rsidP="0094503B">
      <w:pPr>
        <w:tabs>
          <w:tab w:val="left" w:pos="6144"/>
        </w:tabs>
      </w:pPr>
    </w:p>
    <w:p w14:paraId="69428389" w14:textId="483CD10A" w:rsidR="00B31438" w:rsidRDefault="00B31438" w:rsidP="00B31438">
      <w:pPr>
        <w:tabs>
          <w:tab w:val="left" w:pos="6144"/>
        </w:tabs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Program Year (PY) 2021 Quarter </w:t>
      </w:r>
      <w:r>
        <w:rPr>
          <w:b/>
          <w:bCs/>
          <w:sz w:val="26"/>
          <w:szCs w:val="26"/>
          <w:u w:val="single"/>
        </w:rPr>
        <w:t>Two</w:t>
      </w:r>
      <w:r>
        <w:rPr>
          <w:b/>
          <w:bCs/>
          <w:sz w:val="26"/>
          <w:szCs w:val="26"/>
          <w:u w:val="single"/>
        </w:rPr>
        <w:t xml:space="preserve"> (Q</w:t>
      </w:r>
      <w:r>
        <w:rPr>
          <w:b/>
          <w:bCs/>
          <w:sz w:val="26"/>
          <w:szCs w:val="26"/>
          <w:u w:val="single"/>
        </w:rPr>
        <w:t>2</w:t>
      </w:r>
      <w:r>
        <w:rPr>
          <w:b/>
          <w:bCs/>
          <w:sz w:val="26"/>
          <w:szCs w:val="26"/>
          <w:u w:val="single"/>
        </w:rPr>
        <w:t>) Performance Outcomes compared to Negotiated Goals</w:t>
      </w:r>
    </w:p>
    <w:p w14:paraId="37BD1203" w14:textId="56094068" w:rsidR="00B31438" w:rsidRDefault="00B31438" w:rsidP="00B31438">
      <w:r>
        <w:t xml:space="preserve">Attached you will find the performance outcome spreadsheets for </w:t>
      </w:r>
      <w:r w:rsidRPr="0056643A">
        <w:rPr>
          <w:highlight w:val="yellow"/>
        </w:rPr>
        <w:t>Total Dislocated Worker,</w:t>
      </w:r>
      <w:r>
        <w:t xml:space="preserve"> </w:t>
      </w:r>
      <w:r w:rsidRPr="0056643A">
        <w:rPr>
          <w:highlight w:val="green"/>
        </w:rPr>
        <w:t>State Dislocated Worker</w:t>
      </w:r>
      <w:r>
        <w:t xml:space="preserve">, </w:t>
      </w:r>
      <w:r w:rsidRPr="0056643A">
        <w:rPr>
          <w:highlight w:val="yellow"/>
        </w:rPr>
        <w:t>WIOA Dislocated Worker</w:t>
      </w:r>
      <w:r>
        <w:t xml:space="preserve">, </w:t>
      </w:r>
      <w:r w:rsidRPr="0056643A">
        <w:rPr>
          <w:highlight w:val="green"/>
        </w:rPr>
        <w:t>DWG</w:t>
      </w:r>
      <w:r>
        <w:t xml:space="preserve">, and </w:t>
      </w:r>
      <w:r w:rsidRPr="0056643A">
        <w:rPr>
          <w:highlight w:val="yellow"/>
        </w:rPr>
        <w:t>WIOA Adult programs</w:t>
      </w:r>
      <w:r>
        <w:t>. These are best when printed landscape, in color, and on 11x17 size paper.</w:t>
      </w:r>
    </w:p>
    <w:p w14:paraId="3BF8CB45" w14:textId="62F7FCE2" w:rsidR="00FF28D9" w:rsidRDefault="00FF28D9" w:rsidP="00B31438">
      <w:r w:rsidRPr="00FF28D9">
        <w:drawing>
          <wp:inline distT="0" distB="0" distL="0" distR="0" wp14:anchorId="4BCBA30B" wp14:editId="73D12F47">
            <wp:extent cx="6273165" cy="17862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D64FB" w14:textId="463990FE" w:rsidR="00FF28D9" w:rsidRDefault="00FF28D9" w:rsidP="00B31438">
      <w:r w:rsidRPr="00FF28D9">
        <w:drawing>
          <wp:inline distT="0" distB="0" distL="0" distR="0" wp14:anchorId="79046485" wp14:editId="31989930">
            <wp:extent cx="5443855" cy="1562735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E755F" w14:textId="4E0D5A64" w:rsidR="00FF28D9" w:rsidRDefault="00FF28D9" w:rsidP="00B31438">
      <w:r w:rsidRPr="00FF28D9">
        <w:drawing>
          <wp:inline distT="0" distB="0" distL="0" distR="0" wp14:anchorId="71D8383F" wp14:editId="3B97EA89">
            <wp:extent cx="3763645" cy="1552575"/>
            <wp:effectExtent l="0" t="0" r="825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B17AA" w14:textId="28D64D35" w:rsidR="00FF28D9" w:rsidRDefault="00FF28D9" w:rsidP="00B31438">
      <w:r w:rsidRPr="00FF28D9">
        <w:drawing>
          <wp:inline distT="0" distB="0" distL="0" distR="0" wp14:anchorId="355B29E3" wp14:editId="744F7F5F">
            <wp:extent cx="5443855" cy="1562735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D9AE4" w14:textId="740132BC" w:rsidR="00FF28D9" w:rsidRDefault="00564D0A" w:rsidP="00B31438">
      <w:r w:rsidRPr="00564D0A">
        <w:lastRenderedPageBreak/>
        <w:drawing>
          <wp:inline distT="0" distB="0" distL="0" distR="0" wp14:anchorId="456069B2" wp14:editId="47A1E7C4">
            <wp:extent cx="4710430" cy="23920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D75E3" w14:textId="77777777" w:rsidR="00B31438" w:rsidRDefault="00B31438" w:rsidP="00B31438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Performance goals based on </w:t>
      </w:r>
      <w:proofErr w:type="spellStart"/>
      <w:r>
        <w:t>WlOA</w:t>
      </w:r>
      <w:proofErr w:type="spellEnd"/>
      <w:r>
        <w:t xml:space="preserve"> negotiated standards for PY2021</w:t>
      </w:r>
    </w:p>
    <w:p w14:paraId="78106E49" w14:textId="77777777" w:rsidR="00B31438" w:rsidRDefault="00B31438" w:rsidP="00B31438">
      <w:pPr>
        <w:pStyle w:val="ListParagraph"/>
        <w:numPr>
          <w:ilvl w:val="0"/>
          <w:numId w:val="9"/>
        </w:numPr>
        <w:jc w:val="both"/>
      </w:pPr>
      <w:r>
        <w:t>Color Key:</w:t>
      </w:r>
    </w:p>
    <w:p w14:paraId="2963EB38" w14:textId="77777777" w:rsidR="00B31438" w:rsidRDefault="00B31438" w:rsidP="00B31438">
      <w:pPr>
        <w:pStyle w:val="ListParagraph"/>
        <w:numPr>
          <w:ilvl w:val="1"/>
          <w:numId w:val="9"/>
        </w:numPr>
        <w:jc w:val="both"/>
      </w:pPr>
      <w:r>
        <w:t>Blue are the negotiated performance standards</w:t>
      </w:r>
    </w:p>
    <w:p w14:paraId="79439131" w14:textId="77777777" w:rsidR="00B31438" w:rsidRDefault="00B31438" w:rsidP="00B31438">
      <w:pPr>
        <w:pStyle w:val="ListParagraph"/>
        <w:numPr>
          <w:ilvl w:val="1"/>
          <w:numId w:val="9"/>
        </w:numPr>
        <w:jc w:val="both"/>
      </w:pPr>
      <w:r>
        <w:t>Green means the set goal was met or exceeded</w:t>
      </w:r>
    </w:p>
    <w:p w14:paraId="3025FA71" w14:textId="77777777" w:rsidR="00B31438" w:rsidRDefault="00B31438" w:rsidP="00B31438">
      <w:pPr>
        <w:pStyle w:val="ListParagraph"/>
        <w:numPr>
          <w:ilvl w:val="1"/>
          <w:numId w:val="9"/>
        </w:numPr>
        <w:jc w:val="both"/>
      </w:pPr>
      <w:r>
        <w:t>Yellow means at least 50% of the goal was met</w:t>
      </w:r>
    </w:p>
    <w:p w14:paraId="3C057B6C" w14:textId="77777777" w:rsidR="00B31438" w:rsidRDefault="00B31438" w:rsidP="00B31438">
      <w:pPr>
        <w:pStyle w:val="ListParagraph"/>
        <w:numPr>
          <w:ilvl w:val="1"/>
          <w:numId w:val="9"/>
        </w:numPr>
        <w:spacing w:after="120"/>
        <w:jc w:val="both"/>
      </w:pPr>
      <w:r>
        <w:t>Red means less than 50% of the goal was met</w:t>
      </w:r>
      <w:r>
        <w:tab/>
      </w:r>
      <w:r>
        <w:tab/>
      </w:r>
    </w:p>
    <w:p w14:paraId="395CA4D1" w14:textId="77777777" w:rsidR="00B31438" w:rsidRDefault="00B31438" w:rsidP="00B31438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Served </w:t>
      </w:r>
      <w:proofErr w:type="gramStart"/>
      <w:r>
        <w:t>is</w:t>
      </w:r>
      <w:proofErr w:type="gramEnd"/>
      <w:r>
        <w:t xml:space="preserve"> all participants accessing the program during the actual program year (real-time)</w:t>
      </w:r>
    </w:p>
    <w:p w14:paraId="322BC3D0" w14:textId="16CEEFEF" w:rsidR="00B31438" w:rsidRDefault="00B31438" w:rsidP="00B31438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Getting a Job results based on </w:t>
      </w:r>
      <w:proofErr w:type="spellStart"/>
      <w:r>
        <w:t>exiters</w:t>
      </w:r>
      <w:proofErr w:type="spellEnd"/>
      <w:r>
        <w:t xml:space="preserve"> July 1, 2020 – </w:t>
      </w:r>
      <w:r w:rsidR="00564D0A">
        <w:t>December</w:t>
      </w:r>
      <w:r>
        <w:t xml:space="preserve"> 3</w:t>
      </w:r>
      <w:r w:rsidR="00564D0A">
        <w:t>1</w:t>
      </w:r>
      <w:r>
        <w:t xml:space="preserve">, </w:t>
      </w:r>
      <w:proofErr w:type="gramStart"/>
      <w:r>
        <w:t>2020</w:t>
      </w:r>
      <w:proofErr w:type="gramEnd"/>
      <w:r>
        <w:t xml:space="preserve"> except those exited with exclusion. This indicator measures each </w:t>
      </w:r>
      <w:proofErr w:type="spellStart"/>
      <w:r>
        <w:t>exiter's</w:t>
      </w:r>
      <w:proofErr w:type="spellEnd"/>
      <w:r>
        <w:t xml:space="preserve"> employment status during the 2nd quarter after exiting the program. Formula: Percent of employed </w:t>
      </w:r>
      <w:proofErr w:type="spellStart"/>
      <w:r>
        <w:t>exiters</w:t>
      </w:r>
      <w:proofErr w:type="spellEnd"/>
      <w:r>
        <w:t xml:space="preserve"> divided by all </w:t>
      </w:r>
      <w:proofErr w:type="spellStart"/>
      <w:r>
        <w:t>exiters</w:t>
      </w:r>
      <w:proofErr w:type="spellEnd"/>
      <w:r>
        <w:t xml:space="preserve"> during the reporting period.</w:t>
      </w:r>
      <w:r>
        <w:tab/>
      </w:r>
      <w:r>
        <w:tab/>
      </w:r>
    </w:p>
    <w:p w14:paraId="5403CCE4" w14:textId="52CF84EA" w:rsidR="00B31438" w:rsidRDefault="00B31438" w:rsidP="00B31438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Keeping a Job results based on </w:t>
      </w:r>
      <w:proofErr w:type="spellStart"/>
      <w:r>
        <w:t>exiters</w:t>
      </w:r>
      <w:proofErr w:type="spellEnd"/>
      <w:r>
        <w:t xml:space="preserve"> January 1, 2020 – </w:t>
      </w:r>
      <w:r w:rsidR="00564D0A">
        <w:t>June</w:t>
      </w:r>
      <w:r>
        <w:t xml:space="preserve"> 3</w:t>
      </w:r>
      <w:r w:rsidR="00564D0A">
        <w:t>0</w:t>
      </w:r>
      <w:r>
        <w:t xml:space="preserve">, </w:t>
      </w:r>
      <w:proofErr w:type="gramStart"/>
      <w:r>
        <w:t>2020</w:t>
      </w:r>
      <w:proofErr w:type="gramEnd"/>
      <w:r>
        <w:t xml:space="preserve"> except those exited with exclusion. This indicator measures each </w:t>
      </w:r>
      <w:proofErr w:type="spellStart"/>
      <w:r>
        <w:t>exiter's</w:t>
      </w:r>
      <w:proofErr w:type="spellEnd"/>
      <w:r>
        <w:t xml:space="preserve"> employment status during the 4th quarter after exiting the program. Formula: Percent of employed </w:t>
      </w:r>
      <w:proofErr w:type="spellStart"/>
      <w:r>
        <w:t>exiters</w:t>
      </w:r>
      <w:proofErr w:type="spellEnd"/>
      <w:r>
        <w:t xml:space="preserve"> divided by all </w:t>
      </w:r>
      <w:proofErr w:type="spellStart"/>
      <w:r>
        <w:t>exiters</w:t>
      </w:r>
      <w:proofErr w:type="spellEnd"/>
      <w:r>
        <w:t xml:space="preserve"> during the reporting period. </w:t>
      </w:r>
    </w:p>
    <w:p w14:paraId="30D827DD" w14:textId="434F126B" w:rsidR="00B31438" w:rsidRDefault="00B31438" w:rsidP="00B31438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2nd Quarter Median Earnings results based on </w:t>
      </w:r>
      <w:proofErr w:type="spellStart"/>
      <w:r>
        <w:t>exiters</w:t>
      </w:r>
      <w:proofErr w:type="spellEnd"/>
      <w:r>
        <w:t xml:space="preserve"> </w:t>
      </w:r>
      <w:r w:rsidRPr="004C2310">
        <w:t>July 1, 20</w:t>
      </w:r>
      <w:r>
        <w:t>20</w:t>
      </w:r>
      <w:r w:rsidRPr="004C2310">
        <w:t xml:space="preserve"> – </w:t>
      </w:r>
      <w:r w:rsidR="00564D0A">
        <w:t>December</w:t>
      </w:r>
      <w:r w:rsidRPr="004C2310">
        <w:t xml:space="preserve"> 3</w:t>
      </w:r>
      <w:r w:rsidR="00564D0A">
        <w:t>1</w:t>
      </w:r>
      <w:r w:rsidRPr="004C2310">
        <w:t xml:space="preserve">, </w:t>
      </w:r>
      <w:proofErr w:type="gramStart"/>
      <w:r w:rsidRPr="004C2310">
        <w:t>20</w:t>
      </w:r>
      <w:r>
        <w:t>20</w:t>
      </w:r>
      <w:proofErr w:type="gramEnd"/>
      <w:r>
        <w:t xml:space="preserve"> except those exited with exclusionary reason and those showing zero earnings. This indicator measures the median earning during the 2nd quarter after exiting the program.</w:t>
      </w:r>
    </w:p>
    <w:p w14:paraId="1AE3C20C" w14:textId="62ABCDC0" w:rsidR="00B31438" w:rsidRDefault="00B31438" w:rsidP="00B31438">
      <w:pPr>
        <w:tabs>
          <w:tab w:val="left" w:pos="6144"/>
        </w:tabs>
      </w:pPr>
      <w:r>
        <w:t xml:space="preserve">Credential Attainment results based on </w:t>
      </w:r>
      <w:proofErr w:type="spellStart"/>
      <w:r>
        <w:t>exiters</w:t>
      </w:r>
      <w:proofErr w:type="spellEnd"/>
      <w:r>
        <w:t xml:space="preserve"> January 1, 2020 – </w:t>
      </w:r>
      <w:r w:rsidR="00564D0A">
        <w:t>June</w:t>
      </w:r>
      <w:r>
        <w:t xml:space="preserve"> 3</w:t>
      </w:r>
      <w:r w:rsidR="00564D0A">
        <w:t>0</w:t>
      </w:r>
      <w:r>
        <w:t xml:space="preserve">, </w:t>
      </w:r>
      <w:proofErr w:type="gramStart"/>
      <w:r>
        <w:t>2020</w:t>
      </w:r>
      <w:proofErr w:type="gramEnd"/>
      <w:r>
        <w:t xml:space="preserve"> except those exited with exclusionary reason and those who did not attend credential type training. This indicator measures the percent of participants who received a credential after attending training.</w:t>
      </w:r>
      <w:r>
        <w:tab/>
      </w:r>
      <w:r>
        <w:tab/>
      </w:r>
    </w:p>
    <w:p w14:paraId="177AD6DD" w14:textId="77777777" w:rsidR="00B31438" w:rsidRDefault="00B31438" w:rsidP="00B31438">
      <w:pPr>
        <w:tabs>
          <w:tab w:val="left" w:pos="6144"/>
        </w:tabs>
      </w:pPr>
    </w:p>
    <w:p w14:paraId="7A06A75F" w14:textId="77777777" w:rsidR="000C430C" w:rsidRDefault="000C430C" w:rsidP="00B31438">
      <w:pPr>
        <w:tabs>
          <w:tab w:val="left" w:pos="6144"/>
        </w:tabs>
        <w:rPr>
          <w:b/>
          <w:bCs/>
          <w:sz w:val="26"/>
          <w:szCs w:val="26"/>
          <w:u w:val="single"/>
        </w:rPr>
      </w:pPr>
    </w:p>
    <w:p w14:paraId="133F2B97" w14:textId="616B1504" w:rsidR="00B06881" w:rsidRPr="007D44B5" w:rsidRDefault="0094503B" w:rsidP="00B31438">
      <w:pPr>
        <w:tabs>
          <w:tab w:val="left" w:pos="6144"/>
        </w:tabs>
        <w:rPr>
          <w:b/>
          <w:bCs/>
          <w:sz w:val="26"/>
          <w:szCs w:val="26"/>
          <w:u w:val="single"/>
        </w:rPr>
      </w:pPr>
      <w:r w:rsidRPr="007D44B5">
        <w:rPr>
          <w:b/>
          <w:bCs/>
          <w:sz w:val="26"/>
          <w:szCs w:val="26"/>
          <w:u w:val="single"/>
        </w:rPr>
        <w:t xml:space="preserve">Cases accessing </w:t>
      </w:r>
      <w:r w:rsidR="00557120">
        <w:rPr>
          <w:b/>
          <w:bCs/>
          <w:sz w:val="26"/>
          <w:szCs w:val="26"/>
          <w:u w:val="single"/>
        </w:rPr>
        <w:t>PY</w:t>
      </w:r>
      <w:r w:rsidR="00420B72" w:rsidRPr="007D44B5">
        <w:rPr>
          <w:b/>
          <w:bCs/>
          <w:sz w:val="26"/>
          <w:szCs w:val="26"/>
          <w:u w:val="single"/>
        </w:rPr>
        <w:t>20</w:t>
      </w:r>
      <w:r w:rsidR="004C7B4D">
        <w:rPr>
          <w:b/>
          <w:bCs/>
          <w:sz w:val="26"/>
          <w:szCs w:val="26"/>
          <w:u w:val="single"/>
        </w:rPr>
        <w:t>20</w:t>
      </w:r>
      <w:r w:rsidRPr="007D44B5">
        <w:rPr>
          <w:b/>
          <w:bCs/>
          <w:sz w:val="26"/>
          <w:szCs w:val="26"/>
          <w:u w:val="single"/>
        </w:rPr>
        <w:t xml:space="preserve"> Dislocated Worker </w:t>
      </w:r>
      <w:r w:rsidR="00557120">
        <w:rPr>
          <w:b/>
          <w:bCs/>
          <w:sz w:val="26"/>
          <w:szCs w:val="26"/>
          <w:u w:val="single"/>
        </w:rPr>
        <w:t xml:space="preserve">(DW) </w:t>
      </w:r>
      <w:r w:rsidRPr="007D44B5">
        <w:rPr>
          <w:b/>
          <w:bCs/>
          <w:sz w:val="26"/>
          <w:szCs w:val="26"/>
          <w:u w:val="single"/>
        </w:rPr>
        <w:t xml:space="preserve">and WIOA Adult </w:t>
      </w:r>
      <w:r w:rsidR="00557120">
        <w:rPr>
          <w:b/>
          <w:bCs/>
          <w:sz w:val="26"/>
          <w:szCs w:val="26"/>
          <w:u w:val="single"/>
        </w:rPr>
        <w:t xml:space="preserve">(AD) </w:t>
      </w:r>
      <w:r w:rsidRPr="007D44B5">
        <w:rPr>
          <w:b/>
          <w:bCs/>
          <w:sz w:val="26"/>
          <w:szCs w:val="26"/>
          <w:u w:val="single"/>
        </w:rPr>
        <w:t>Allocations</w:t>
      </w:r>
    </w:p>
    <w:p w14:paraId="7977FB1F" w14:textId="64121869" w:rsidR="00E16471" w:rsidRDefault="00557120" w:rsidP="00E9049C">
      <w:pPr>
        <w:jc w:val="both"/>
      </w:pPr>
      <w:r>
        <w:t>Reminder: PY</w:t>
      </w:r>
      <w:r w:rsidR="00420B72" w:rsidRPr="007D44B5">
        <w:t>20</w:t>
      </w:r>
      <w:r w:rsidR="004C7B4D">
        <w:t>20</w:t>
      </w:r>
      <w:r w:rsidR="00E16471" w:rsidRPr="007D44B5">
        <w:t xml:space="preserve"> allocations w</w:t>
      </w:r>
      <w:r w:rsidR="00420B72" w:rsidRPr="007D44B5">
        <w:t>ill be expiring on June 30, 2020</w:t>
      </w:r>
      <w:r w:rsidR="00E16471" w:rsidRPr="007D44B5">
        <w:t xml:space="preserve">. </w:t>
      </w:r>
    </w:p>
    <w:p w14:paraId="253F6BCF" w14:textId="77777777" w:rsidR="00CD0B21" w:rsidRDefault="00CD0B21" w:rsidP="00E9049C">
      <w:pPr>
        <w:jc w:val="both"/>
      </w:pPr>
    </w:p>
    <w:p w14:paraId="532F61A3" w14:textId="3C691461" w:rsidR="000C430C" w:rsidRDefault="000C430C" w:rsidP="00E9049C">
      <w:pPr>
        <w:jc w:val="both"/>
      </w:pPr>
      <w:r w:rsidRPr="000C430C">
        <w:drawing>
          <wp:inline distT="0" distB="0" distL="0" distR="0" wp14:anchorId="54137774" wp14:editId="28150E5B">
            <wp:extent cx="6858000" cy="13982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FB0F8" w14:textId="2DF6AE9B" w:rsidR="000C430C" w:rsidRDefault="000C430C" w:rsidP="00E9049C">
      <w:pPr>
        <w:jc w:val="both"/>
      </w:pPr>
    </w:p>
    <w:p w14:paraId="6B953C0F" w14:textId="572DFDCA" w:rsidR="000C430C" w:rsidRDefault="000C430C" w:rsidP="00E9049C">
      <w:pPr>
        <w:jc w:val="both"/>
      </w:pPr>
    </w:p>
    <w:p w14:paraId="1A6E0F6B" w14:textId="0B5237F8" w:rsidR="000C430C" w:rsidRDefault="000C430C" w:rsidP="00E9049C">
      <w:pPr>
        <w:jc w:val="both"/>
      </w:pPr>
    </w:p>
    <w:p w14:paraId="6C39CC21" w14:textId="0059002F" w:rsidR="000C430C" w:rsidRDefault="000C430C" w:rsidP="00E9049C">
      <w:pPr>
        <w:jc w:val="both"/>
      </w:pPr>
    </w:p>
    <w:p w14:paraId="7168B7A7" w14:textId="595A84CB" w:rsidR="000C430C" w:rsidRDefault="000C430C" w:rsidP="00E9049C">
      <w:pPr>
        <w:jc w:val="both"/>
      </w:pPr>
    </w:p>
    <w:p w14:paraId="7EA49FDE" w14:textId="111BE244" w:rsidR="000C430C" w:rsidRPr="007D44B5" w:rsidRDefault="000C430C" w:rsidP="00E9049C">
      <w:pPr>
        <w:jc w:val="both"/>
      </w:pPr>
      <w:r w:rsidRPr="000C430C">
        <w:t>All cases showing the following funding streams within an open activity will need your attention.</w:t>
      </w:r>
    </w:p>
    <w:p w14:paraId="0AE9D39B" w14:textId="14FEBB02" w:rsidR="00EE5B9A" w:rsidRPr="00EE5B9A" w:rsidRDefault="00A50C11" w:rsidP="00E9049C">
      <w:pPr>
        <w:jc w:val="both"/>
        <w:rPr>
          <w:color w:val="70AD47" w:themeColor="accent6"/>
        </w:rPr>
      </w:pPr>
      <w:r w:rsidRPr="00A50C11">
        <w:rPr>
          <w:noProof/>
        </w:rPr>
        <w:drawing>
          <wp:inline distT="0" distB="0" distL="0" distR="0" wp14:anchorId="391E8474" wp14:editId="4D290B25">
            <wp:extent cx="6858000" cy="38068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79C6D" w14:textId="5E8EE605" w:rsidR="00B8153B" w:rsidRPr="00EE5B9A" w:rsidRDefault="00EE5B9A" w:rsidP="00E9049C">
      <w:pPr>
        <w:jc w:val="both"/>
        <w:rPr>
          <w:color w:val="70AD47" w:themeColor="accent6"/>
        </w:rPr>
      </w:pPr>
      <w:r w:rsidRPr="00EE5B9A">
        <w:rPr>
          <w:color w:val="70AD47" w:themeColor="accent6"/>
        </w:rPr>
        <w:tab/>
      </w:r>
      <w:r w:rsidRPr="00EE5B9A">
        <w:rPr>
          <w:color w:val="70AD47" w:themeColor="accent6"/>
        </w:rPr>
        <w:tab/>
      </w:r>
      <w:r w:rsidRPr="00EE5B9A">
        <w:rPr>
          <w:color w:val="70AD47" w:themeColor="accent6"/>
        </w:rPr>
        <w:tab/>
      </w:r>
      <w:r w:rsidRPr="00EE5B9A">
        <w:rPr>
          <w:color w:val="70AD47" w:themeColor="accent6"/>
        </w:rPr>
        <w:tab/>
      </w:r>
      <w:r w:rsidRPr="00EE5B9A">
        <w:rPr>
          <w:color w:val="70AD47" w:themeColor="accent6"/>
        </w:rPr>
        <w:tab/>
      </w:r>
      <w:r w:rsidRPr="00EE5B9A">
        <w:rPr>
          <w:color w:val="70AD47" w:themeColor="accent6"/>
        </w:rPr>
        <w:tab/>
      </w:r>
      <w:r w:rsidRPr="00EE5B9A">
        <w:rPr>
          <w:color w:val="70AD47" w:themeColor="accent6"/>
        </w:rPr>
        <w:tab/>
      </w:r>
    </w:p>
    <w:p w14:paraId="6CE8E77F" w14:textId="254C65B5" w:rsidR="00F80144" w:rsidRPr="007D44B5" w:rsidRDefault="00E16471" w:rsidP="00E9049C">
      <w:pPr>
        <w:jc w:val="both"/>
      </w:pPr>
      <w:r w:rsidRPr="007D44B5">
        <w:t xml:space="preserve">If the participant will continue receiving </w:t>
      </w:r>
      <w:r w:rsidR="007645DD" w:rsidRPr="007D44B5">
        <w:t>a service</w:t>
      </w:r>
      <w:r w:rsidRPr="007D44B5">
        <w:t xml:space="preserve"> </w:t>
      </w:r>
      <w:r w:rsidR="007645DD" w:rsidRPr="007D44B5">
        <w:t>currently</w:t>
      </w:r>
      <w:r w:rsidRPr="007D44B5">
        <w:t xml:space="preserve"> supported by </w:t>
      </w:r>
      <w:r w:rsidR="000B4DD2" w:rsidRPr="007D44B5">
        <w:t>PY</w:t>
      </w:r>
      <w:r w:rsidR="00420B72" w:rsidRPr="007D44B5">
        <w:t>20</w:t>
      </w:r>
      <w:r w:rsidR="00A50C11">
        <w:t>20</w:t>
      </w:r>
      <w:r w:rsidRPr="007D44B5">
        <w:t xml:space="preserve"> allocation</w:t>
      </w:r>
      <w:r w:rsidR="00DB4F0A" w:rsidRPr="007D44B5">
        <w:t>s</w:t>
      </w:r>
      <w:r w:rsidR="00420B72" w:rsidRPr="007D44B5">
        <w:t xml:space="preserve"> after June 30, 202</w:t>
      </w:r>
      <w:r w:rsidR="00A50C11">
        <w:t>2</w:t>
      </w:r>
      <w:r w:rsidRPr="007D44B5">
        <w:t xml:space="preserve">, </w:t>
      </w:r>
      <w:r w:rsidR="007645DD" w:rsidRPr="007D44B5">
        <w:t>a new activity</w:t>
      </w:r>
      <w:r w:rsidRPr="007D44B5">
        <w:t xml:space="preserve"> will need to be opened </w:t>
      </w:r>
      <w:r w:rsidR="007645DD" w:rsidRPr="007D44B5">
        <w:t>for each service the participant will continue</w:t>
      </w:r>
      <w:r w:rsidR="00F80144" w:rsidRPr="007D44B5">
        <w:t xml:space="preserve">. </w:t>
      </w:r>
    </w:p>
    <w:p w14:paraId="3E05F48A" w14:textId="77777777" w:rsidR="007D44B5" w:rsidRPr="007D44B5" w:rsidRDefault="007D44B5" w:rsidP="00420B72">
      <w:pPr>
        <w:jc w:val="both"/>
      </w:pPr>
    </w:p>
    <w:p w14:paraId="05832049" w14:textId="77777777" w:rsidR="00420B72" w:rsidRPr="007D44B5" w:rsidRDefault="007D44B5" w:rsidP="00420B72">
      <w:pPr>
        <w:jc w:val="both"/>
      </w:pPr>
      <w:r w:rsidRPr="007D44B5">
        <w:t>Reminder: A</w:t>
      </w:r>
      <w:r w:rsidR="00F80144" w:rsidRPr="007D44B5">
        <w:t>ll Dislocated Worker and WIOA Adult program year formula allocations (small layoff grants</w:t>
      </w:r>
      <w:r w:rsidR="007E31D5" w:rsidRPr="007D44B5">
        <w:t>/WIOA Adult allotments</w:t>
      </w:r>
      <w:r w:rsidR="00F80144" w:rsidRPr="007D44B5">
        <w:t>) remain active for two years.</w:t>
      </w:r>
    </w:p>
    <w:p w14:paraId="127A554F" w14:textId="61C5D88A" w:rsidR="00F80144" w:rsidRPr="007D44B5" w:rsidRDefault="00844AC3" w:rsidP="00420B72">
      <w:pPr>
        <w:pStyle w:val="ListParagraph"/>
        <w:numPr>
          <w:ilvl w:val="0"/>
          <w:numId w:val="8"/>
        </w:numPr>
        <w:jc w:val="both"/>
      </w:pPr>
      <w:r w:rsidRPr="007D44B5">
        <w:t>PY</w:t>
      </w:r>
      <w:r w:rsidR="00557120">
        <w:t>20</w:t>
      </w:r>
      <w:r w:rsidR="00A50C11">
        <w:t>20</w:t>
      </w:r>
      <w:r w:rsidR="00F80144" w:rsidRPr="007D44B5">
        <w:t xml:space="preserve"> = July 1, 20</w:t>
      </w:r>
      <w:r w:rsidR="00A50C11">
        <w:t>20</w:t>
      </w:r>
      <w:r w:rsidR="00F80144" w:rsidRPr="007D44B5">
        <w:t xml:space="preserve"> – June 30, 202</w:t>
      </w:r>
      <w:r w:rsidR="00A50C11">
        <w:t>2</w:t>
      </w:r>
    </w:p>
    <w:p w14:paraId="7A27616E" w14:textId="6E07BBD1" w:rsidR="00F80144" w:rsidRPr="007D44B5" w:rsidRDefault="00844AC3" w:rsidP="001C25BF">
      <w:pPr>
        <w:pStyle w:val="ListParagraph"/>
        <w:numPr>
          <w:ilvl w:val="0"/>
          <w:numId w:val="4"/>
        </w:numPr>
      </w:pPr>
      <w:r w:rsidRPr="007D44B5">
        <w:t>PY</w:t>
      </w:r>
      <w:r w:rsidR="00557120">
        <w:t>20</w:t>
      </w:r>
      <w:r w:rsidR="00A50C11">
        <w:t>21</w:t>
      </w:r>
      <w:r w:rsidR="00F80144" w:rsidRPr="007D44B5">
        <w:t xml:space="preserve"> = July 1, 20</w:t>
      </w:r>
      <w:r w:rsidR="00A50C11">
        <w:t>21</w:t>
      </w:r>
      <w:r w:rsidR="00F80144" w:rsidRPr="007D44B5">
        <w:t xml:space="preserve"> – June 30, 202</w:t>
      </w:r>
      <w:r w:rsidR="00A50C11">
        <w:t>3</w:t>
      </w:r>
    </w:p>
    <w:p w14:paraId="53D1BFD5" w14:textId="283411E1" w:rsidR="00420B72" w:rsidRPr="007D44B5" w:rsidRDefault="00420B72" w:rsidP="001C25BF">
      <w:pPr>
        <w:pStyle w:val="ListParagraph"/>
        <w:numPr>
          <w:ilvl w:val="0"/>
          <w:numId w:val="4"/>
        </w:numPr>
      </w:pPr>
      <w:r w:rsidRPr="007D44B5">
        <w:t>PY</w:t>
      </w:r>
      <w:r w:rsidR="00557120">
        <w:t>20</w:t>
      </w:r>
      <w:r w:rsidRPr="007D44B5">
        <w:t>2</w:t>
      </w:r>
      <w:r w:rsidR="00A50C11">
        <w:t>2</w:t>
      </w:r>
      <w:r w:rsidRPr="007D44B5">
        <w:t xml:space="preserve"> = July 1, 202</w:t>
      </w:r>
      <w:r w:rsidR="00A50C11">
        <w:t>2</w:t>
      </w:r>
      <w:r w:rsidRPr="007D44B5">
        <w:t xml:space="preserve"> – June 30, 202</w:t>
      </w:r>
      <w:r w:rsidR="00A50C11">
        <w:t>4</w:t>
      </w:r>
    </w:p>
    <w:p w14:paraId="30B9266C" w14:textId="77777777" w:rsidR="00F80144" w:rsidRPr="007D44B5" w:rsidRDefault="00F80144" w:rsidP="00F80144">
      <w:pPr>
        <w:ind w:left="360"/>
        <w:jc w:val="both"/>
      </w:pPr>
    </w:p>
    <w:p w14:paraId="4A03C11E" w14:textId="6A2C15B1" w:rsidR="00B8313F" w:rsidRPr="007D44B5" w:rsidRDefault="00F80144" w:rsidP="00F80144">
      <w:pPr>
        <w:jc w:val="both"/>
      </w:pPr>
      <w:r w:rsidRPr="007D44B5">
        <w:t xml:space="preserve">This means, the new activity </w:t>
      </w:r>
      <w:r w:rsidR="007645DD" w:rsidRPr="007D44B5">
        <w:t xml:space="preserve">will need </w:t>
      </w:r>
      <w:r w:rsidR="00420B72" w:rsidRPr="007D44B5">
        <w:t>a PY</w:t>
      </w:r>
      <w:r w:rsidR="00557120">
        <w:t>20</w:t>
      </w:r>
      <w:r w:rsidR="00A50C11">
        <w:t>21</w:t>
      </w:r>
      <w:r w:rsidR="00420B72" w:rsidRPr="007D44B5">
        <w:t xml:space="preserve"> or PY</w:t>
      </w:r>
      <w:r w:rsidR="00557120">
        <w:t>20</w:t>
      </w:r>
      <w:r w:rsidR="00420B72" w:rsidRPr="007D44B5">
        <w:t>2</w:t>
      </w:r>
      <w:r w:rsidR="00A50C11">
        <w:t>2</w:t>
      </w:r>
      <w:r w:rsidRPr="007D44B5">
        <w:t xml:space="preserve"> formula grant selected within them depending on your agencies budget.</w:t>
      </w:r>
      <w:r w:rsidR="00DB4F0A" w:rsidRPr="007D44B5">
        <w:t xml:space="preserve"> </w:t>
      </w:r>
    </w:p>
    <w:p w14:paraId="0D148B78" w14:textId="77777777" w:rsidR="00DB4F0A" w:rsidRPr="00EE5B9A" w:rsidRDefault="00DB4F0A" w:rsidP="00E9049C">
      <w:pPr>
        <w:jc w:val="both"/>
        <w:rPr>
          <w:color w:val="70AD47" w:themeColor="accent6"/>
        </w:rPr>
      </w:pPr>
    </w:p>
    <w:p w14:paraId="68373FD3" w14:textId="77777777" w:rsidR="00DB4F0A" w:rsidRPr="007D44B5" w:rsidRDefault="001A380D" w:rsidP="00E9049C">
      <w:pPr>
        <w:jc w:val="both"/>
        <w:rPr>
          <w:b/>
          <w:i/>
        </w:rPr>
      </w:pPr>
      <w:r w:rsidRPr="007D44B5">
        <w:rPr>
          <w:b/>
          <w:i/>
        </w:rPr>
        <w:t>IM</w:t>
      </w:r>
      <w:r w:rsidR="00DB4F0A" w:rsidRPr="007D44B5">
        <w:rPr>
          <w:b/>
          <w:i/>
        </w:rPr>
        <w:t>PORTANT INFORMATION</w:t>
      </w:r>
      <w:r w:rsidR="00823692" w:rsidRPr="007D44B5">
        <w:rPr>
          <w:b/>
          <w:i/>
        </w:rPr>
        <w:t xml:space="preserve"> TO KNOW</w:t>
      </w:r>
    </w:p>
    <w:p w14:paraId="2A987B90" w14:textId="7A4FF09E" w:rsidR="00DB4F0A" w:rsidRPr="007D44B5" w:rsidRDefault="00DB4F0A" w:rsidP="001C25BF">
      <w:pPr>
        <w:pStyle w:val="ListParagraph"/>
        <w:numPr>
          <w:ilvl w:val="0"/>
          <w:numId w:val="3"/>
        </w:numPr>
        <w:jc w:val="both"/>
      </w:pPr>
      <w:r w:rsidRPr="007D44B5">
        <w:t xml:space="preserve">All activities with a </w:t>
      </w:r>
      <w:r w:rsidR="007E31D5" w:rsidRPr="007D44B5">
        <w:t>PY</w:t>
      </w:r>
      <w:r w:rsidR="00557120">
        <w:t>20</w:t>
      </w:r>
      <w:r w:rsidR="00A50C11">
        <w:t>20</w:t>
      </w:r>
      <w:r w:rsidRPr="007D44B5">
        <w:t xml:space="preserve"> allocation selected within them cannot have a</w:t>
      </w:r>
      <w:r w:rsidR="00EE5B9A" w:rsidRPr="007D44B5">
        <w:t xml:space="preserve"> start date after June 30, </w:t>
      </w:r>
      <w:proofErr w:type="gramStart"/>
      <w:r w:rsidR="00EE5B9A" w:rsidRPr="007D44B5">
        <w:t>202</w:t>
      </w:r>
      <w:r w:rsidR="00A50C11">
        <w:t>2</w:t>
      </w:r>
      <w:proofErr w:type="gramEnd"/>
      <w:r w:rsidR="00F80144" w:rsidRPr="007D44B5">
        <w:t xml:space="preserve"> and must have an end </w:t>
      </w:r>
      <w:r w:rsidR="00EE5B9A" w:rsidRPr="007D44B5">
        <w:t>date no later than June 30, 202</w:t>
      </w:r>
      <w:r w:rsidR="00A50C11">
        <w:t>2</w:t>
      </w:r>
      <w:r w:rsidRPr="007D44B5">
        <w:t>.</w:t>
      </w:r>
    </w:p>
    <w:p w14:paraId="36C90B18" w14:textId="68F31401" w:rsidR="001A380D" w:rsidRPr="007D44B5" w:rsidRDefault="00157D46" w:rsidP="001C25BF">
      <w:pPr>
        <w:pStyle w:val="ListParagraph"/>
        <w:numPr>
          <w:ilvl w:val="0"/>
          <w:numId w:val="3"/>
        </w:numPr>
        <w:jc w:val="both"/>
      </w:pPr>
      <w:r w:rsidRPr="007D44B5">
        <w:t xml:space="preserve">If any participant will continue </w:t>
      </w:r>
      <w:r w:rsidR="001A380D" w:rsidRPr="007D44B5">
        <w:t>participating in an</w:t>
      </w:r>
      <w:r w:rsidRPr="007D44B5">
        <w:t xml:space="preserve"> activity that is currently showing a </w:t>
      </w:r>
      <w:r w:rsidR="007E31D5" w:rsidRPr="007D44B5">
        <w:t>PY</w:t>
      </w:r>
      <w:r w:rsidR="0022379B">
        <w:t>20</w:t>
      </w:r>
      <w:r w:rsidR="00A50C11">
        <w:t>20</w:t>
      </w:r>
      <w:r w:rsidRPr="007D44B5">
        <w:t xml:space="preserve"> allocation supporting that service, that activity needs to be copied within their activity detail screen</w:t>
      </w:r>
      <w:r w:rsidR="001A380D" w:rsidRPr="007D44B5">
        <w:t>.</w:t>
      </w:r>
    </w:p>
    <w:p w14:paraId="59BB7202" w14:textId="279157DD" w:rsidR="001A380D" w:rsidRPr="007D44B5" w:rsidRDefault="00157D46" w:rsidP="001C25BF">
      <w:pPr>
        <w:pStyle w:val="ListParagraph"/>
        <w:numPr>
          <w:ilvl w:val="1"/>
          <w:numId w:val="3"/>
        </w:numPr>
        <w:jc w:val="both"/>
      </w:pPr>
      <w:r w:rsidRPr="007D44B5">
        <w:t>The new activity will need a</w:t>
      </w:r>
      <w:r w:rsidR="00EE5B9A" w:rsidRPr="007D44B5">
        <w:t xml:space="preserve"> start date of July 1, 202</w:t>
      </w:r>
      <w:r w:rsidR="00A50C11">
        <w:t>2</w:t>
      </w:r>
    </w:p>
    <w:p w14:paraId="07118BD9" w14:textId="02C7B678" w:rsidR="00DB4F0A" w:rsidRPr="007D44B5" w:rsidRDefault="001A380D" w:rsidP="001C25BF">
      <w:pPr>
        <w:pStyle w:val="ListParagraph"/>
        <w:numPr>
          <w:ilvl w:val="1"/>
          <w:numId w:val="3"/>
        </w:numPr>
        <w:jc w:val="both"/>
      </w:pPr>
      <w:r w:rsidRPr="007D44B5">
        <w:t>A</w:t>
      </w:r>
      <w:r w:rsidR="00157D46" w:rsidRPr="007D44B5">
        <w:t xml:space="preserve">n active funding source </w:t>
      </w:r>
      <w:r w:rsidR="00EE5B9A" w:rsidRPr="007D44B5">
        <w:t>(PY</w:t>
      </w:r>
      <w:r w:rsidR="0022379B">
        <w:t>20</w:t>
      </w:r>
      <w:r w:rsidR="00A50C11">
        <w:t>21</w:t>
      </w:r>
      <w:r w:rsidR="00EE5B9A" w:rsidRPr="007D44B5">
        <w:t xml:space="preserve"> or PY</w:t>
      </w:r>
      <w:r w:rsidR="0022379B">
        <w:t>20</w:t>
      </w:r>
      <w:r w:rsidR="00EE5B9A" w:rsidRPr="007D44B5">
        <w:t>2</w:t>
      </w:r>
      <w:r w:rsidR="00A50C11">
        <w:t>2</w:t>
      </w:r>
      <w:r w:rsidRPr="007D44B5">
        <w:t>) will need to be selected within them.</w:t>
      </w:r>
    </w:p>
    <w:p w14:paraId="472EC47F" w14:textId="77777777" w:rsidR="005576CD" w:rsidRPr="007D44B5" w:rsidRDefault="00157D46" w:rsidP="001C25BF">
      <w:pPr>
        <w:pStyle w:val="ListParagraph"/>
        <w:numPr>
          <w:ilvl w:val="0"/>
          <w:numId w:val="3"/>
        </w:numPr>
        <w:jc w:val="both"/>
      </w:pPr>
      <w:r w:rsidRPr="007D44B5">
        <w:t xml:space="preserve">To help in this </w:t>
      </w:r>
      <w:r w:rsidR="00F80144" w:rsidRPr="007D44B5">
        <w:t>funding source</w:t>
      </w:r>
      <w:r w:rsidRPr="007D44B5">
        <w:t xml:space="preserve"> transition</w:t>
      </w:r>
    </w:p>
    <w:p w14:paraId="68350C9C" w14:textId="0F51E22B" w:rsidR="005576CD" w:rsidRPr="007D44B5" w:rsidRDefault="00157D46" w:rsidP="001C25BF">
      <w:pPr>
        <w:pStyle w:val="ListParagraph"/>
        <w:numPr>
          <w:ilvl w:val="1"/>
          <w:numId w:val="3"/>
        </w:numPr>
        <w:jc w:val="both"/>
      </w:pPr>
      <w:r w:rsidRPr="007D44B5">
        <w:t>Amy Carlson will mass</w:t>
      </w:r>
      <w:r w:rsidR="007E31D5" w:rsidRPr="007D44B5">
        <w:t xml:space="preserve"> close all currently open PY</w:t>
      </w:r>
      <w:r w:rsidR="0022379B">
        <w:t>20</w:t>
      </w:r>
      <w:r w:rsidR="00A50C11">
        <w:t>20</w:t>
      </w:r>
      <w:r w:rsidRPr="007D44B5">
        <w:t xml:space="preserve"> funded activities w</w:t>
      </w:r>
      <w:r w:rsidR="00EE5B9A" w:rsidRPr="007D44B5">
        <w:t>ith an end date of June 30, 202</w:t>
      </w:r>
      <w:r w:rsidR="00A50C11">
        <w:t>2</w:t>
      </w:r>
      <w:r w:rsidR="00F80144" w:rsidRPr="007D44B5">
        <w:t>, which means you will only need to open/copy the old activities</w:t>
      </w:r>
      <w:r w:rsidR="00351796" w:rsidRPr="007D44B5">
        <w:t>. If you want to close the old activities yourself</w:t>
      </w:r>
      <w:r w:rsidR="00A50C11">
        <w:t xml:space="preserve"> with a date no later than 06/30/2022</w:t>
      </w:r>
      <w:r w:rsidR="00351796" w:rsidRPr="007D44B5">
        <w:t>, that is fine. If you choose not to close them yourself, it will be taken care of for you.</w:t>
      </w:r>
    </w:p>
    <w:p w14:paraId="563199A8" w14:textId="607101B8" w:rsidR="005576CD" w:rsidRPr="007D44B5" w:rsidRDefault="00157D46" w:rsidP="001C25BF">
      <w:pPr>
        <w:pStyle w:val="ListParagraph"/>
        <w:numPr>
          <w:ilvl w:val="1"/>
          <w:numId w:val="3"/>
        </w:numPr>
        <w:jc w:val="both"/>
      </w:pPr>
      <w:r w:rsidRPr="007D44B5">
        <w:t>This mas</w:t>
      </w:r>
      <w:r w:rsidR="00EE5B9A" w:rsidRPr="007D44B5">
        <w:t xml:space="preserve">s activity closure will begin </w:t>
      </w:r>
      <w:r w:rsidR="005576CD" w:rsidRPr="007D44B5">
        <w:t>August 1</w:t>
      </w:r>
      <w:r w:rsidR="00EE5B9A" w:rsidRPr="007D44B5">
        <w:t>, 202</w:t>
      </w:r>
      <w:r w:rsidR="00A50C11">
        <w:t>2</w:t>
      </w:r>
      <w:r w:rsidR="005576CD" w:rsidRPr="007D44B5">
        <w:t>.</w:t>
      </w:r>
    </w:p>
    <w:p w14:paraId="47E0ABD4" w14:textId="10DEA8FE" w:rsidR="00E16471" w:rsidRPr="007D44B5" w:rsidRDefault="00157D46" w:rsidP="001C25BF">
      <w:pPr>
        <w:pStyle w:val="ListParagraph"/>
        <w:numPr>
          <w:ilvl w:val="1"/>
          <w:numId w:val="3"/>
        </w:numPr>
        <w:jc w:val="both"/>
      </w:pPr>
      <w:r w:rsidRPr="007D44B5">
        <w:t>If there are cases with</w:t>
      </w:r>
      <w:r w:rsidR="005576CD" w:rsidRPr="007D44B5">
        <w:t>out</w:t>
      </w:r>
      <w:r w:rsidRPr="007D44B5">
        <w:t xml:space="preserve"> other </w:t>
      </w:r>
      <w:r w:rsidR="005576CD" w:rsidRPr="007D44B5">
        <w:t xml:space="preserve">open </w:t>
      </w:r>
      <w:r w:rsidRPr="007D44B5">
        <w:t>activities on record showing a different funding source, this mass closure will not work for those case</w:t>
      </w:r>
      <w:r w:rsidR="00EE5B9A" w:rsidRPr="007D44B5">
        <w:t>s</w:t>
      </w:r>
      <w:r w:rsidRPr="007D44B5">
        <w:t xml:space="preserve">. Any cases that show they cannot be included in the </w:t>
      </w:r>
      <w:r w:rsidR="00EE5B9A" w:rsidRPr="007D44B5">
        <w:t>PY</w:t>
      </w:r>
      <w:r w:rsidR="0022379B">
        <w:t>20</w:t>
      </w:r>
      <w:r w:rsidR="00A50C11">
        <w:t>20</w:t>
      </w:r>
      <w:r w:rsidR="005576CD" w:rsidRPr="007D44B5">
        <w:t xml:space="preserve"> funded</w:t>
      </w:r>
      <w:r w:rsidRPr="007D44B5">
        <w:t xml:space="preserve"> </w:t>
      </w:r>
      <w:r w:rsidRPr="007D44B5">
        <w:lastRenderedPageBreak/>
        <w:t xml:space="preserve">activity closure will be emailed to the management team </w:t>
      </w:r>
      <w:r w:rsidR="007E31D5" w:rsidRPr="007D44B5">
        <w:t>for the COFFR funding the case</w:t>
      </w:r>
      <w:r w:rsidR="00A50C11">
        <w:t xml:space="preserve"> with direction on how the case manager needs to correct the data</w:t>
      </w:r>
      <w:r w:rsidR="007E31D5" w:rsidRPr="007D44B5">
        <w:t xml:space="preserve">. </w:t>
      </w:r>
    </w:p>
    <w:p w14:paraId="112CD024" w14:textId="34502F39" w:rsidR="00E16471" w:rsidRPr="007D44B5" w:rsidRDefault="00EE5B9A" w:rsidP="001C25BF">
      <w:pPr>
        <w:pStyle w:val="ListParagraph"/>
        <w:numPr>
          <w:ilvl w:val="0"/>
          <w:numId w:val="6"/>
        </w:numPr>
        <w:jc w:val="both"/>
      </w:pPr>
      <w:r w:rsidRPr="007D44B5">
        <w:t>Shortly after July 1, 202</w:t>
      </w:r>
      <w:r w:rsidR="00A50C11">
        <w:t>2</w:t>
      </w:r>
      <w:r w:rsidR="00E16471" w:rsidRPr="007D44B5">
        <w:t xml:space="preserve">, additional funding streams will be added to your dropdown lists </w:t>
      </w:r>
      <w:r w:rsidR="007065E7" w:rsidRPr="007D44B5">
        <w:t>for</w:t>
      </w:r>
      <w:r w:rsidR="00E16471" w:rsidRPr="007D44B5">
        <w:t xml:space="preserve"> </w:t>
      </w:r>
      <w:r w:rsidRPr="007D44B5">
        <w:t>PY</w:t>
      </w:r>
      <w:r w:rsidR="0022379B">
        <w:t>20</w:t>
      </w:r>
      <w:r w:rsidRPr="007D44B5">
        <w:t>2</w:t>
      </w:r>
      <w:r w:rsidR="00A50C11">
        <w:t>2</w:t>
      </w:r>
      <w:r w:rsidR="00E16471" w:rsidRPr="007D44B5">
        <w:t xml:space="preserve"> allocations.</w:t>
      </w:r>
      <w:r w:rsidR="007065E7" w:rsidRPr="007D44B5">
        <w:t xml:space="preserve"> </w:t>
      </w:r>
      <w:r w:rsidR="00066075" w:rsidRPr="007D44B5">
        <w:t xml:space="preserve">The date these new funding streams </w:t>
      </w:r>
      <w:r w:rsidR="007E31D5" w:rsidRPr="007D44B5">
        <w:t>will be</w:t>
      </w:r>
      <w:r w:rsidR="00066075" w:rsidRPr="007D44B5">
        <w:t xml:space="preserve"> ava</w:t>
      </w:r>
      <w:r w:rsidRPr="007D44B5">
        <w:t>ilable is dependent on when PY</w:t>
      </w:r>
      <w:r w:rsidR="0022379B">
        <w:t>20</w:t>
      </w:r>
      <w:r w:rsidRPr="007D44B5">
        <w:t>2</w:t>
      </w:r>
      <w:r w:rsidR="00A50C11">
        <w:t>2</w:t>
      </w:r>
      <w:r w:rsidR="00066075" w:rsidRPr="007D44B5">
        <w:t xml:space="preserve"> contracts are in place. Y</w:t>
      </w:r>
      <w:r w:rsidR="007065E7" w:rsidRPr="007D44B5">
        <w:t>our management teams will be alerted</w:t>
      </w:r>
      <w:r w:rsidR="00351796" w:rsidRPr="007D44B5">
        <w:t xml:space="preserve"> as soon as your agency’s</w:t>
      </w:r>
      <w:r w:rsidRPr="007D44B5">
        <w:t xml:space="preserve"> PY</w:t>
      </w:r>
      <w:r w:rsidR="0022379B">
        <w:t>20</w:t>
      </w:r>
      <w:r w:rsidRPr="007D44B5">
        <w:t>2</w:t>
      </w:r>
      <w:r w:rsidR="00A50C11">
        <w:t>2</w:t>
      </w:r>
      <w:r w:rsidR="00066075" w:rsidRPr="007D44B5">
        <w:t xml:space="preserve"> funding streams are available in WF1</w:t>
      </w:r>
      <w:r w:rsidR="007065E7" w:rsidRPr="007D44B5">
        <w:t>.</w:t>
      </w:r>
    </w:p>
    <w:p w14:paraId="39653DDD" w14:textId="77777777" w:rsidR="006C44A3" w:rsidRDefault="006C44A3" w:rsidP="00E9049C">
      <w:pPr>
        <w:jc w:val="both"/>
        <w:rPr>
          <w:rFonts w:asciiTheme="minorHAnsi" w:hAnsiTheme="minorHAnsi"/>
          <w:bCs/>
        </w:rPr>
      </w:pPr>
    </w:p>
    <w:p w14:paraId="071670D5" w14:textId="2B5D7082" w:rsidR="001345B2" w:rsidRPr="001345B2" w:rsidRDefault="007C612A" w:rsidP="00E9049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Should you have performance or data entry questions, please contact the </w:t>
      </w:r>
      <w:r w:rsidR="00C407CA">
        <w:rPr>
          <w:rFonts w:asciiTheme="minorHAnsi" w:hAnsiTheme="minorHAnsi"/>
          <w:bCs/>
        </w:rPr>
        <w:t xml:space="preserve">State Program Administrator </w:t>
      </w:r>
      <w:r>
        <w:rPr>
          <w:rFonts w:asciiTheme="minorHAnsi" w:hAnsiTheme="minorHAnsi"/>
          <w:bCs/>
        </w:rPr>
        <w:t>Coordinator</w:t>
      </w:r>
      <w:r w:rsidR="00C407CA">
        <w:rPr>
          <w:rFonts w:asciiTheme="minorHAnsi" w:hAnsiTheme="minorHAnsi"/>
          <w:bCs/>
        </w:rPr>
        <w:t xml:space="preserve"> for ETP Adult programs</w:t>
      </w:r>
      <w:r>
        <w:rPr>
          <w:rFonts w:asciiTheme="minorHAnsi" w:hAnsiTheme="minorHAnsi"/>
          <w:bCs/>
        </w:rPr>
        <w:t xml:space="preserve">, Amy Carlson, at </w:t>
      </w:r>
      <w:hyperlink r:id="rId12" w:history="1">
        <w:r w:rsidRPr="001F402F">
          <w:rPr>
            <w:rStyle w:val="Hyperlink"/>
            <w:rFonts w:asciiTheme="minorHAnsi" w:hAnsiTheme="minorHAnsi"/>
            <w:bCs/>
          </w:rPr>
          <w:t>amy.carlson@state.mn.us</w:t>
        </w:r>
      </w:hyperlink>
      <w:r>
        <w:rPr>
          <w:rFonts w:asciiTheme="minorHAnsi" w:hAnsiTheme="minorHAnsi"/>
          <w:bCs/>
        </w:rPr>
        <w:t>.</w:t>
      </w:r>
    </w:p>
    <w:sectPr w:rsidR="001345B2" w:rsidRPr="001345B2" w:rsidSect="007C3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FC9"/>
    <w:multiLevelType w:val="hybridMultilevel"/>
    <w:tmpl w:val="BE9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1501"/>
    <w:multiLevelType w:val="hybridMultilevel"/>
    <w:tmpl w:val="07D4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C4A"/>
    <w:multiLevelType w:val="hybridMultilevel"/>
    <w:tmpl w:val="58E8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C17"/>
    <w:multiLevelType w:val="multilevel"/>
    <w:tmpl w:val="9760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F72106"/>
    <w:multiLevelType w:val="hybridMultilevel"/>
    <w:tmpl w:val="46AE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2043"/>
    <w:multiLevelType w:val="hybridMultilevel"/>
    <w:tmpl w:val="E53A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56D63"/>
    <w:multiLevelType w:val="hybridMultilevel"/>
    <w:tmpl w:val="6D2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0AA7"/>
    <w:multiLevelType w:val="hybridMultilevel"/>
    <w:tmpl w:val="B09A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06CD7"/>
    <w:multiLevelType w:val="hybridMultilevel"/>
    <w:tmpl w:val="88D4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C1"/>
    <w:rsid w:val="00035903"/>
    <w:rsid w:val="00054E2A"/>
    <w:rsid w:val="00066075"/>
    <w:rsid w:val="00066A28"/>
    <w:rsid w:val="00075941"/>
    <w:rsid w:val="00086C12"/>
    <w:rsid w:val="00090AD0"/>
    <w:rsid w:val="000A3256"/>
    <w:rsid w:val="000B4DD2"/>
    <w:rsid w:val="000B4FBC"/>
    <w:rsid w:val="000C1B0F"/>
    <w:rsid w:val="000C4202"/>
    <w:rsid w:val="000C430C"/>
    <w:rsid w:val="000D4B1D"/>
    <w:rsid w:val="000E6A30"/>
    <w:rsid w:val="00102428"/>
    <w:rsid w:val="00113698"/>
    <w:rsid w:val="00120E77"/>
    <w:rsid w:val="001213C2"/>
    <w:rsid w:val="001345B2"/>
    <w:rsid w:val="00136EB3"/>
    <w:rsid w:val="00141592"/>
    <w:rsid w:val="00142625"/>
    <w:rsid w:val="0015315A"/>
    <w:rsid w:val="00156F03"/>
    <w:rsid w:val="00157D46"/>
    <w:rsid w:val="00171ADD"/>
    <w:rsid w:val="00191ECA"/>
    <w:rsid w:val="001942D3"/>
    <w:rsid w:val="001A20D8"/>
    <w:rsid w:val="001A380D"/>
    <w:rsid w:val="001B4A80"/>
    <w:rsid w:val="001B4C8D"/>
    <w:rsid w:val="001B4D4E"/>
    <w:rsid w:val="001C25BF"/>
    <w:rsid w:val="001D4A22"/>
    <w:rsid w:val="001D70F1"/>
    <w:rsid w:val="001E0434"/>
    <w:rsid w:val="001E1177"/>
    <w:rsid w:val="001E4B26"/>
    <w:rsid w:val="001F280A"/>
    <w:rsid w:val="001F3087"/>
    <w:rsid w:val="002009EB"/>
    <w:rsid w:val="00203F8B"/>
    <w:rsid w:val="00207C9E"/>
    <w:rsid w:val="002101E5"/>
    <w:rsid w:val="0022379B"/>
    <w:rsid w:val="002311A2"/>
    <w:rsid w:val="0023592A"/>
    <w:rsid w:val="00241B3E"/>
    <w:rsid w:val="0025223C"/>
    <w:rsid w:val="002532F6"/>
    <w:rsid w:val="002708FF"/>
    <w:rsid w:val="002717C5"/>
    <w:rsid w:val="00273F58"/>
    <w:rsid w:val="00274C56"/>
    <w:rsid w:val="00274E71"/>
    <w:rsid w:val="00276281"/>
    <w:rsid w:val="00286378"/>
    <w:rsid w:val="00286B0C"/>
    <w:rsid w:val="002911F4"/>
    <w:rsid w:val="002B107F"/>
    <w:rsid w:val="002B1385"/>
    <w:rsid w:val="002B3E2D"/>
    <w:rsid w:val="002C7D49"/>
    <w:rsid w:val="002E0EAD"/>
    <w:rsid w:val="002F3574"/>
    <w:rsid w:val="002F7161"/>
    <w:rsid w:val="003019F4"/>
    <w:rsid w:val="00306D08"/>
    <w:rsid w:val="00310D5A"/>
    <w:rsid w:val="00345CF7"/>
    <w:rsid w:val="00346DF8"/>
    <w:rsid w:val="00351796"/>
    <w:rsid w:val="00351E2F"/>
    <w:rsid w:val="0036111B"/>
    <w:rsid w:val="0036419E"/>
    <w:rsid w:val="0037124F"/>
    <w:rsid w:val="003943A4"/>
    <w:rsid w:val="003B274C"/>
    <w:rsid w:val="003B7481"/>
    <w:rsid w:val="003C1BB8"/>
    <w:rsid w:val="003D0E78"/>
    <w:rsid w:val="003E4B4B"/>
    <w:rsid w:val="003E7E85"/>
    <w:rsid w:val="003F0DA0"/>
    <w:rsid w:val="00402039"/>
    <w:rsid w:val="00403DCE"/>
    <w:rsid w:val="00416899"/>
    <w:rsid w:val="00420B72"/>
    <w:rsid w:val="00431F07"/>
    <w:rsid w:val="004320C9"/>
    <w:rsid w:val="00451157"/>
    <w:rsid w:val="00455E9B"/>
    <w:rsid w:val="00480935"/>
    <w:rsid w:val="00483788"/>
    <w:rsid w:val="00484DC9"/>
    <w:rsid w:val="00491849"/>
    <w:rsid w:val="00496B66"/>
    <w:rsid w:val="004C301A"/>
    <w:rsid w:val="004C644F"/>
    <w:rsid w:val="004C7B4D"/>
    <w:rsid w:val="004D47D0"/>
    <w:rsid w:val="004D655C"/>
    <w:rsid w:val="004E3DAD"/>
    <w:rsid w:val="004F245F"/>
    <w:rsid w:val="00501676"/>
    <w:rsid w:val="00517BCF"/>
    <w:rsid w:val="00520B5D"/>
    <w:rsid w:val="00521E18"/>
    <w:rsid w:val="005331FB"/>
    <w:rsid w:val="0053476C"/>
    <w:rsid w:val="0054369A"/>
    <w:rsid w:val="005461AC"/>
    <w:rsid w:val="00547490"/>
    <w:rsid w:val="00554711"/>
    <w:rsid w:val="00557120"/>
    <w:rsid w:val="005576CD"/>
    <w:rsid w:val="00564D0A"/>
    <w:rsid w:val="0056643A"/>
    <w:rsid w:val="0058123A"/>
    <w:rsid w:val="00592121"/>
    <w:rsid w:val="005939B2"/>
    <w:rsid w:val="005A1FA5"/>
    <w:rsid w:val="005A2B90"/>
    <w:rsid w:val="005A5BBF"/>
    <w:rsid w:val="005B4EA8"/>
    <w:rsid w:val="005C099D"/>
    <w:rsid w:val="005D7E91"/>
    <w:rsid w:val="005E010E"/>
    <w:rsid w:val="005E05E1"/>
    <w:rsid w:val="005F0CA7"/>
    <w:rsid w:val="00605102"/>
    <w:rsid w:val="0060617E"/>
    <w:rsid w:val="00607677"/>
    <w:rsid w:val="00620942"/>
    <w:rsid w:val="00634E37"/>
    <w:rsid w:val="0064554E"/>
    <w:rsid w:val="00645E7B"/>
    <w:rsid w:val="0066019F"/>
    <w:rsid w:val="0067674A"/>
    <w:rsid w:val="00676D8C"/>
    <w:rsid w:val="00676E1A"/>
    <w:rsid w:val="00693DBE"/>
    <w:rsid w:val="00696764"/>
    <w:rsid w:val="006A4B61"/>
    <w:rsid w:val="006A74B5"/>
    <w:rsid w:val="006C44A3"/>
    <w:rsid w:val="006C6912"/>
    <w:rsid w:val="006D086E"/>
    <w:rsid w:val="006D44E2"/>
    <w:rsid w:val="006E14E7"/>
    <w:rsid w:val="006F2229"/>
    <w:rsid w:val="007065E7"/>
    <w:rsid w:val="007218C7"/>
    <w:rsid w:val="00726BA0"/>
    <w:rsid w:val="00726C83"/>
    <w:rsid w:val="00731682"/>
    <w:rsid w:val="00740B52"/>
    <w:rsid w:val="00745D01"/>
    <w:rsid w:val="007517A9"/>
    <w:rsid w:val="007645DD"/>
    <w:rsid w:val="00771D35"/>
    <w:rsid w:val="00774E70"/>
    <w:rsid w:val="0079099C"/>
    <w:rsid w:val="00796744"/>
    <w:rsid w:val="007A78AD"/>
    <w:rsid w:val="007B0DC1"/>
    <w:rsid w:val="007B1884"/>
    <w:rsid w:val="007C314C"/>
    <w:rsid w:val="007C612A"/>
    <w:rsid w:val="007C64DA"/>
    <w:rsid w:val="007C64E4"/>
    <w:rsid w:val="007C79FC"/>
    <w:rsid w:val="007D44B5"/>
    <w:rsid w:val="007E31D5"/>
    <w:rsid w:val="007E4357"/>
    <w:rsid w:val="008219D1"/>
    <w:rsid w:val="008227FF"/>
    <w:rsid w:val="00823692"/>
    <w:rsid w:val="00830269"/>
    <w:rsid w:val="00831164"/>
    <w:rsid w:val="00831DAF"/>
    <w:rsid w:val="00832324"/>
    <w:rsid w:val="00834561"/>
    <w:rsid w:val="0084077D"/>
    <w:rsid w:val="0084422B"/>
    <w:rsid w:val="00844AC3"/>
    <w:rsid w:val="008548EC"/>
    <w:rsid w:val="00867053"/>
    <w:rsid w:val="008742B7"/>
    <w:rsid w:val="008917A6"/>
    <w:rsid w:val="008A67A6"/>
    <w:rsid w:val="008A7C60"/>
    <w:rsid w:val="008C3961"/>
    <w:rsid w:val="008D24AE"/>
    <w:rsid w:val="008D42A0"/>
    <w:rsid w:val="0090625F"/>
    <w:rsid w:val="00915CDC"/>
    <w:rsid w:val="009161E7"/>
    <w:rsid w:val="00917362"/>
    <w:rsid w:val="00930728"/>
    <w:rsid w:val="009426A3"/>
    <w:rsid w:val="0094503B"/>
    <w:rsid w:val="0095167C"/>
    <w:rsid w:val="00964E69"/>
    <w:rsid w:val="009659C2"/>
    <w:rsid w:val="009831D6"/>
    <w:rsid w:val="009965C1"/>
    <w:rsid w:val="009B7CDB"/>
    <w:rsid w:val="009C01DB"/>
    <w:rsid w:val="009C114F"/>
    <w:rsid w:val="009C317C"/>
    <w:rsid w:val="009D568B"/>
    <w:rsid w:val="009F249E"/>
    <w:rsid w:val="009F388D"/>
    <w:rsid w:val="00A02C8C"/>
    <w:rsid w:val="00A05EAE"/>
    <w:rsid w:val="00A25B8C"/>
    <w:rsid w:val="00A3790E"/>
    <w:rsid w:val="00A50C11"/>
    <w:rsid w:val="00A55F7B"/>
    <w:rsid w:val="00A61231"/>
    <w:rsid w:val="00A64A36"/>
    <w:rsid w:val="00A651DD"/>
    <w:rsid w:val="00A83AB9"/>
    <w:rsid w:val="00A85119"/>
    <w:rsid w:val="00A85977"/>
    <w:rsid w:val="00A90550"/>
    <w:rsid w:val="00AA63E8"/>
    <w:rsid w:val="00AB4E3E"/>
    <w:rsid w:val="00AC0A66"/>
    <w:rsid w:val="00AC29D7"/>
    <w:rsid w:val="00AC6725"/>
    <w:rsid w:val="00AD3B6E"/>
    <w:rsid w:val="00AD5E38"/>
    <w:rsid w:val="00AD66BE"/>
    <w:rsid w:val="00AE0AAA"/>
    <w:rsid w:val="00AE2CF1"/>
    <w:rsid w:val="00AF03BB"/>
    <w:rsid w:val="00AF5259"/>
    <w:rsid w:val="00B018F8"/>
    <w:rsid w:val="00B06374"/>
    <w:rsid w:val="00B06881"/>
    <w:rsid w:val="00B23E25"/>
    <w:rsid w:val="00B31438"/>
    <w:rsid w:val="00B3437D"/>
    <w:rsid w:val="00B46AD0"/>
    <w:rsid w:val="00B54B41"/>
    <w:rsid w:val="00B66194"/>
    <w:rsid w:val="00B8153B"/>
    <w:rsid w:val="00B8313F"/>
    <w:rsid w:val="00B87A70"/>
    <w:rsid w:val="00B91E98"/>
    <w:rsid w:val="00BA6263"/>
    <w:rsid w:val="00BC71A3"/>
    <w:rsid w:val="00BD6157"/>
    <w:rsid w:val="00BE30DA"/>
    <w:rsid w:val="00BE7D4F"/>
    <w:rsid w:val="00BF00F7"/>
    <w:rsid w:val="00BF2378"/>
    <w:rsid w:val="00BF32BF"/>
    <w:rsid w:val="00C018EC"/>
    <w:rsid w:val="00C16C79"/>
    <w:rsid w:val="00C220E4"/>
    <w:rsid w:val="00C2265D"/>
    <w:rsid w:val="00C27EC2"/>
    <w:rsid w:val="00C407CA"/>
    <w:rsid w:val="00C41F6E"/>
    <w:rsid w:val="00C47457"/>
    <w:rsid w:val="00C60B4D"/>
    <w:rsid w:val="00C6116F"/>
    <w:rsid w:val="00C71AF3"/>
    <w:rsid w:val="00C837C3"/>
    <w:rsid w:val="00C90EE6"/>
    <w:rsid w:val="00C96A85"/>
    <w:rsid w:val="00CB7C0E"/>
    <w:rsid w:val="00CC2907"/>
    <w:rsid w:val="00CD0B21"/>
    <w:rsid w:val="00CF61C1"/>
    <w:rsid w:val="00D007C2"/>
    <w:rsid w:val="00D06136"/>
    <w:rsid w:val="00D07DCC"/>
    <w:rsid w:val="00D12673"/>
    <w:rsid w:val="00D13993"/>
    <w:rsid w:val="00D21753"/>
    <w:rsid w:val="00D242AC"/>
    <w:rsid w:val="00D46A30"/>
    <w:rsid w:val="00D63A4D"/>
    <w:rsid w:val="00D73168"/>
    <w:rsid w:val="00DB4F0A"/>
    <w:rsid w:val="00DC32BA"/>
    <w:rsid w:val="00DC439A"/>
    <w:rsid w:val="00DC6A65"/>
    <w:rsid w:val="00DD4ACC"/>
    <w:rsid w:val="00DE4628"/>
    <w:rsid w:val="00DE70F8"/>
    <w:rsid w:val="00DF446F"/>
    <w:rsid w:val="00DF6ED9"/>
    <w:rsid w:val="00E16471"/>
    <w:rsid w:val="00E16CE6"/>
    <w:rsid w:val="00E26401"/>
    <w:rsid w:val="00E26ED9"/>
    <w:rsid w:val="00E31889"/>
    <w:rsid w:val="00E43C18"/>
    <w:rsid w:val="00E43E21"/>
    <w:rsid w:val="00E47390"/>
    <w:rsid w:val="00E54DF3"/>
    <w:rsid w:val="00E559D0"/>
    <w:rsid w:val="00E658CB"/>
    <w:rsid w:val="00E65A33"/>
    <w:rsid w:val="00E743E4"/>
    <w:rsid w:val="00E7721D"/>
    <w:rsid w:val="00E85AF1"/>
    <w:rsid w:val="00E9049C"/>
    <w:rsid w:val="00EA1EB6"/>
    <w:rsid w:val="00EA461F"/>
    <w:rsid w:val="00EB026E"/>
    <w:rsid w:val="00EB4F6C"/>
    <w:rsid w:val="00EC025B"/>
    <w:rsid w:val="00EE0AD9"/>
    <w:rsid w:val="00EE5758"/>
    <w:rsid w:val="00EE5B9A"/>
    <w:rsid w:val="00F046FE"/>
    <w:rsid w:val="00F14919"/>
    <w:rsid w:val="00F16F30"/>
    <w:rsid w:val="00F2766F"/>
    <w:rsid w:val="00F30A8E"/>
    <w:rsid w:val="00F3280C"/>
    <w:rsid w:val="00F406D6"/>
    <w:rsid w:val="00F50DC4"/>
    <w:rsid w:val="00F57CA6"/>
    <w:rsid w:val="00F617AB"/>
    <w:rsid w:val="00F74E07"/>
    <w:rsid w:val="00F80144"/>
    <w:rsid w:val="00F84799"/>
    <w:rsid w:val="00F9210D"/>
    <w:rsid w:val="00FD026B"/>
    <w:rsid w:val="00FD6A60"/>
    <w:rsid w:val="00FE07BD"/>
    <w:rsid w:val="00FE0E9D"/>
    <w:rsid w:val="00FE6BF5"/>
    <w:rsid w:val="00FF208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5B72"/>
  <w15:chartTrackingRefBased/>
  <w15:docId w15:val="{34B5F001-4EE6-4019-9709-98D87B2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5C1"/>
    <w:pPr>
      <w:ind w:left="720"/>
    </w:pPr>
  </w:style>
  <w:style w:type="character" w:styleId="Hyperlink">
    <w:name w:val="Hyperlink"/>
    <w:basedOn w:val="DefaultParagraphFont"/>
    <w:uiPriority w:val="99"/>
    <w:unhideWhenUsed/>
    <w:rsid w:val="00E16C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0EE6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4067">
          <w:marLeft w:val="115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180">
          <w:marLeft w:val="115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160">
          <w:marLeft w:val="115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096">
          <w:marLeft w:val="115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183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0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amy.carlson@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Carlson</dc:creator>
  <cp:keywords/>
  <dc:description/>
  <cp:lastModifiedBy>Carlson, Amy (DEED)</cp:lastModifiedBy>
  <cp:revision>2</cp:revision>
  <cp:lastPrinted>2019-04-24T16:31:00Z</cp:lastPrinted>
  <dcterms:created xsi:type="dcterms:W3CDTF">2022-03-22T19:25:00Z</dcterms:created>
  <dcterms:modified xsi:type="dcterms:W3CDTF">2022-03-22T19:25:00Z</dcterms:modified>
</cp:coreProperties>
</file>