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1065" w14:textId="77777777" w:rsidR="00EE4890" w:rsidRPr="00EE4890" w:rsidRDefault="00EE4890" w:rsidP="00EE4890">
      <w:pPr>
        <w:pStyle w:val="Heading1"/>
        <w:pBdr>
          <w:bottom w:val="none" w:sz="0" w:space="0" w:color="auto"/>
        </w:pBdr>
        <w:spacing w:before="0" w:line="240" w:lineRule="auto"/>
        <w:jc w:val="center"/>
      </w:pPr>
      <w:r>
        <w:t>State D</w:t>
      </w:r>
      <w:r w:rsidR="009F33B3">
        <w:t xml:space="preserve">islocated </w:t>
      </w:r>
      <w:r>
        <w:t>W</w:t>
      </w:r>
      <w:r w:rsidR="009F33B3">
        <w:t>orker</w:t>
      </w:r>
      <w:r>
        <w:t>, WIOA D</w:t>
      </w:r>
      <w:r w:rsidR="009F33B3">
        <w:t xml:space="preserve">islocated </w:t>
      </w:r>
      <w:r>
        <w:t>W</w:t>
      </w:r>
      <w:r w:rsidR="009F33B3">
        <w:t>orker</w:t>
      </w:r>
      <w:r>
        <w:t>, and WIOA Adult</w:t>
      </w:r>
    </w:p>
    <w:p w14:paraId="78A76733" w14:textId="081B0F2B" w:rsidR="002D1FEC" w:rsidRPr="008353FA" w:rsidRDefault="0004196C" w:rsidP="008353FA">
      <w:pPr>
        <w:pStyle w:val="Heading1"/>
        <w:pBdr>
          <w:bottom w:val="single" w:sz="4" w:space="11" w:color="auto"/>
        </w:pBdr>
        <w:spacing w:before="0" w:line="240" w:lineRule="auto"/>
        <w:jc w:val="center"/>
      </w:pPr>
      <w:r>
        <w:t>PY</w:t>
      </w:r>
      <w:r w:rsidR="00264221">
        <w:t>2</w:t>
      </w:r>
      <w:r w:rsidR="00BC0837">
        <w:t>3</w:t>
      </w:r>
      <w:r w:rsidR="002D1FEC">
        <w:t>/FY</w:t>
      </w:r>
      <w:r w:rsidR="00264221">
        <w:t>2</w:t>
      </w:r>
      <w:r w:rsidR="00BC0837">
        <w:t>4</w:t>
      </w:r>
      <w:r w:rsidR="00EE4890">
        <w:t xml:space="preserve"> Carry Forward Waiver Request</w:t>
      </w:r>
    </w:p>
    <w:p w14:paraId="6966E431" w14:textId="53634772" w:rsidR="00C2677E" w:rsidRPr="00D43D2E" w:rsidRDefault="00EE4890" w:rsidP="005428C2">
      <w:r w:rsidRPr="00EE4890">
        <w:rPr>
          <w:b/>
        </w:rPr>
        <w:t>Background</w:t>
      </w:r>
    </w:p>
    <w:p w14:paraId="2E4A415F" w14:textId="26CB8981" w:rsidR="00EE4890" w:rsidRPr="00EE4890" w:rsidRDefault="00EE4890" w:rsidP="00EE4890">
      <w:r w:rsidRPr="005B3FE7">
        <w:t xml:space="preserve">WIOA regulation § 683.140 provides for the Governor to reallocate </w:t>
      </w:r>
      <w:r w:rsidRPr="005B3FE7">
        <w:rPr>
          <w:lang w:val="en"/>
        </w:rPr>
        <w:t xml:space="preserve">youth, adult, and dislocated worker funds among local areas within the State in accordance with the provisions of secs. 128(c) and 133(c) of </w:t>
      </w:r>
      <w:r w:rsidRPr="009F33B3">
        <w:rPr>
          <w:rFonts w:eastAsiaTheme="majorEastAsia" w:cs="Arial"/>
          <w:lang w:val="en"/>
        </w:rPr>
        <w:t>WIOA</w:t>
      </w:r>
      <w:r w:rsidRPr="005B3FE7">
        <w:rPr>
          <w:lang w:val="en"/>
        </w:rPr>
        <w:t xml:space="preserve">. If the Governor chooses to reallocate funds, the provisions in paragraphs (b) and (c) of this section apply. </w:t>
      </w:r>
    </w:p>
    <w:p w14:paraId="71BA9DB2" w14:textId="77777777" w:rsidR="00EE4890" w:rsidRPr="005B3FE7" w:rsidRDefault="00EE4890" w:rsidP="009F33B3">
      <w:pPr>
        <w:ind w:left="720"/>
        <w:rPr>
          <w:lang w:val="en"/>
        </w:rPr>
      </w:pPr>
      <w:r w:rsidRPr="009F33B3">
        <w:rPr>
          <w:rStyle w:val="enumxml1"/>
          <w:rFonts w:cs="Arial"/>
          <w:b w:val="0"/>
          <w:color w:val="333333"/>
          <w:lang w:val="en"/>
        </w:rPr>
        <w:t>(b)</w:t>
      </w:r>
      <w:r w:rsidRPr="005B3FE7">
        <w:rPr>
          <w:lang w:val="en"/>
        </w:rPr>
        <w:t xml:space="preserve"> For the youth, adult and dislocated worker programs, the amount to be recaptured from each local area for purposes of reallocation, if any, must be based on the amount by which the prior year's unobligated balanc</w:t>
      </w:r>
      <w:r w:rsidR="0004196C">
        <w:rPr>
          <w:lang w:val="en"/>
        </w:rPr>
        <w:t>e of allocated funds exceeds 20%</w:t>
      </w:r>
      <w:r w:rsidRPr="005B3FE7">
        <w:rPr>
          <w:lang w:val="en"/>
        </w:rPr>
        <w:t xml:space="preserve"> of that year's allocation for the program, less any amount reserved (up to 10 percent) for the costs of administration. Unobligated balances must be determined based on allocations adjusted for any allowable transfer between funding streams. The amount to be recaptured, if any, must be separately determined for each funding stream. </w:t>
      </w:r>
    </w:p>
    <w:p w14:paraId="1F409ABF" w14:textId="77777777" w:rsidR="00EE4890" w:rsidRPr="005B3FE7" w:rsidRDefault="00EE4890" w:rsidP="009F33B3">
      <w:pPr>
        <w:ind w:left="720"/>
        <w:rPr>
          <w:lang w:val="en"/>
        </w:rPr>
      </w:pPr>
      <w:r w:rsidRPr="009F33B3">
        <w:rPr>
          <w:rStyle w:val="enumxml1"/>
          <w:rFonts w:cs="Arial"/>
          <w:b w:val="0"/>
          <w:color w:val="333333"/>
          <w:lang w:val="en"/>
        </w:rPr>
        <w:t>(c)</w:t>
      </w:r>
      <w:r w:rsidRPr="009F33B3">
        <w:rPr>
          <w:b/>
          <w:lang w:val="en"/>
        </w:rPr>
        <w:t xml:space="preserve"> </w:t>
      </w:r>
      <w:r w:rsidRPr="005B3FE7">
        <w:rPr>
          <w:lang w:val="en"/>
        </w:rPr>
        <w:t xml:space="preserve">To be eligible to receive youth, adult or dislocated worker funds under the reallocation procedures, a local area </w:t>
      </w:r>
      <w:r w:rsidR="0004196C">
        <w:rPr>
          <w:lang w:val="en"/>
        </w:rPr>
        <w:t>must have obligated at least 80%</w:t>
      </w:r>
      <w:r w:rsidR="00B537D8">
        <w:rPr>
          <w:lang w:val="en"/>
        </w:rPr>
        <w:t xml:space="preserve"> </w:t>
      </w:r>
      <w:r w:rsidRPr="005B3FE7">
        <w:rPr>
          <w:lang w:val="en"/>
        </w:rPr>
        <w:t>of the prior program year's allocation, le</w:t>
      </w:r>
      <w:r w:rsidR="0004196C">
        <w:rPr>
          <w:lang w:val="en"/>
        </w:rPr>
        <w:t>ss any amount reserved (up to 10%</w:t>
      </w:r>
      <w:r w:rsidRPr="005B3FE7">
        <w:rPr>
          <w:lang w:val="en"/>
        </w:rPr>
        <w:t xml:space="preserve">) for the costs of administration, for youth, adult, or dislocated worker activities, as separately determined. A local area's eligibility to receive a reallocation must be separately determined for each funding stream. </w:t>
      </w:r>
    </w:p>
    <w:p w14:paraId="3CFB61A1" w14:textId="77777777" w:rsidR="002D1FEC" w:rsidRDefault="00EE4890" w:rsidP="005B3FE7">
      <w:r w:rsidRPr="00EE4890">
        <w:rPr>
          <w:b/>
        </w:rPr>
        <w:t>Purpose</w:t>
      </w:r>
    </w:p>
    <w:p w14:paraId="12DD396E" w14:textId="77777777" w:rsidR="00EE4890" w:rsidRDefault="008E6307" w:rsidP="005B3FE7">
      <w:r>
        <w:t>P</w:t>
      </w:r>
      <w:r w:rsidR="00EE4890">
        <w:t xml:space="preserve">roviders </w:t>
      </w:r>
      <w:r>
        <w:t>may</w:t>
      </w:r>
      <w:r w:rsidR="00EE4890">
        <w:t xml:space="preserve"> </w:t>
      </w:r>
      <w:r>
        <w:t>request</w:t>
      </w:r>
      <w:r w:rsidR="00EE4890">
        <w:t xml:space="preserve"> a waiver to carry forward more than 20% of their allocated funds into the next program year</w:t>
      </w:r>
      <w:r>
        <w:t xml:space="preserve"> using this template</w:t>
      </w:r>
      <w:r w:rsidR="00EE4890">
        <w:t>. Providers who expend or obligate at least 80% of their formula funds by the end of the 4</w:t>
      </w:r>
      <w:r w:rsidR="00EE4890" w:rsidRPr="006A1EC1">
        <w:rPr>
          <w:vertAlign w:val="superscript"/>
        </w:rPr>
        <w:t>th</w:t>
      </w:r>
      <w:r w:rsidR="00EE4890">
        <w:t xml:space="preserve"> quarter do not need a waiver.</w:t>
      </w:r>
      <w:r>
        <w:t xml:space="preserve"> Obligations are defined </w:t>
      </w:r>
      <w:r w:rsidR="00C17FD6">
        <w:t xml:space="preserve">in </w:t>
      </w:r>
      <w:hyperlink r:id="rId11" w:history="1">
        <w:r w:rsidR="00C17FD6" w:rsidRPr="003E3B83">
          <w:rPr>
            <w:rStyle w:val="Hyperlink"/>
            <w:color w:val="0033CC"/>
          </w:rPr>
          <w:t>2 CFR 200.71</w:t>
        </w:r>
      </w:hyperlink>
      <w:r w:rsidR="00C17FD6">
        <w:t xml:space="preserve"> </w:t>
      </w:r>
      <w:r>
        <w:t>as “</w:t>
      </w:r>
      <w:r w:rsidR="00C17FD6" w:rsidRPr="00C17FD6">
        <w:t>orders placed for property and services, contracts and subawards made, and similar transactions during a given period that require payment by the non-Federal entity dur</w:t>
      </w:r>
      <w:r w:rsidR="00C17FD6">
        <w:t>ing the same or a future period”. A</w:t>
      </w:r>
      <w:r w:rsidR="00C17FD6" w:rsidRPr="00C17FD6">
        <w:t xml:space="preserve">ny support service or training dollars </w:t>
      </w:r>
      <w:r w:rsidR="00C17FD6">
        <w:t>a provider has</w:t>
      </w:r>
      <w:r w:rsidR="00C17FD6" w:rsidRPr="00C17FD6">
        <w:t xml:space="preserve"> agreed to pay for a client </w:t>
      </w:r>
      <w:r w:rsidR="00C17FD6">
        <w:t xml:space="preserve">are considered an obligation. </w:t>
      </w:r>
      <w:r w:rsidR="00C17FD6" w:rsidRPr="00C17FD6">
        <w:t xml:space="preserve">The grantee should have documentation which authorizes the purchase and shows </w:t>
      </w:r>
      <w:r w:rsidR="00C17FD6">
        <w:t xml:space="preserve">the </w:t>
      </w:r>
      <w:r w:rsidR="00C17FD6" w:rsidRPr="00C17FD6">
        <w:t>dollar amount as</w:t>
      </w:r>
      <w:r w:rsidR="00C17FD6">
        <w:t xml:space="preserve">sociated with it. Future salary costs, even when known, may not be included as an obligation per statute. </w:t>
      </w:r>
      <w:r w:rsidR="00C17FD6" w:rsidRPr="00C17FD6">
        <w:t>If a lo</w:t>
      </w:r>
      <w:r w:rsidR="00C17FD6">
        <w:t xml:space="preserve">cal provider </w:t>
      </w:r>
      <w:r w:rsidR="00C17FD6" w:rsidRPr="00C17FD6">
        <w:t xml:space="preserve">chooses to </w:t>
      </w:r>
      <w:r w:rsidR="00C17FD6">
        <w:t>award a portion of their grant funds to</w:t>
      </w:r>
      <w:r w:rsidR="00C17FD6" w:rsidRPr="00C17FD6">
        <w:t xml:space="preserve"> </w:t>
      </w:r>
      <w:r w:rsidR="00C17FD6">
        <w:t xml:space="preserve">a separate entity </w:t>
      </w:r>
      <w:r w:rsidR="00C17FD6" w:rsidRPr="00C17FD6">
        <w:t xml:space="preserve">as a sub-contract or sub-grant to perform core services, those funds would be </w:t>
      </w:r>
      <w:r w:rsidR="00C17FD6">
        <w:t xml:space="preserve">considered a reportable obligation. </w:t>
      </w:r>
      <w:r w:rsidR="00C17FD6" w:rsidRPr="00C17FD6">
        <w:t xml:space="preserve">The grantee must have a fully executed sub-contract in place with the other entity as </w:t>
      </w:r>
      <w:r w:rsidR="00C17FD6">
        <w:t>supporting</w:t>
      </w:r>
      <w:r w:rsidR="00C17FD6" w:rsidRPr="00C17FD6">
        <w:t xml:space="preserve"> documentation.</w:t>
      </w:r>
    </w:p>
    <w:p w14:paraId="4BF0DF91" w14:textId="77777777" w:rsidR="002D1FEC" w:rsidRDefault="00EE4890" w:rsidP="00BA4C35">
      <w:pPr>
        <w:rPr>
          <w:lang w:val="en"/>
        </w:rPr>
      </w:pPr>
      <w:r w:rsidRPr="001F2808">
        <w:rPr>
          <w:b/>
        </w:rPr>
        <w:t>Specific Requirements</w:t>
      </w:r>
    </w:p>
    <w:p w14:paraId="72BD96C3" w14:textId="77777777" w:rsidR="00EF167C" w:rsidRDefault="00BA4C35" w:rsidP="00BA4C35">
      <w:pPr>
        <w:rPr>
          <w:lang w:val="en"/>
        </w:rPr>
      </w:pPr>
      <w:r>
        <w:rPr>
          <w:lang w:val="en"/>
        </w:rPr>
        <w:t xml:space="preserve">All Dislocated Worker and WIOA Adult </w:t>
      </w:r>
      <w:r w:rsidR="00C17FD6">
        <w:rPr>
          <w:lang w:val="en"/>
        </w:rPr>
        <w:t xml:space="preserve">program </w:t>
      </w:r>
      <w:r>
        <w:rPr>
          <w:lang w:val="en"/>
        </w:rPr>
        <w:t>providers m</w:t>
      </w:r>
      <w:r w:rsidR="005B3FE7">
        <w:rPr>
          <w:lang w:val="en"/>
        </w:rPr>
        <w:t>ust request a waiver to carry forward</w:t>
      </w:r>
      <w:r>
        <w:rPr>
          <w:lang w:val="en"/>
        </w:rPr>
        <w:t xml:space="preserve"> more than 20% of their current </w:t>
      </w:r>
      <w:r w:rsidR="005B3FE7">
        <w:rPr>
          <w:lang w:val="en"/>
        </w:rPr>
        <w:t>year’s</w:t>
      </w:r>
      <w:r>
        <w:rPr>
          <w:lang w:val="en"/>
        </w:rPr>
        <w:t xml:space="preserve"> formula allocation</w:t>
      </w:r>
      <w:r w:rsidR="00C17FD6">
        <w:rPr>
          <w:lang w:val="en"/>
        </w:rPr>
        <w:t xml:space="preserve"> into the next fiscal year</w:t>
      </w:r>
      <w:r>
        <w:rPr>
          <w:lang w:val="en"/>
        </w:rPr>
        <w:t>. All waiver submissions</w:t>
      </w:r>
      <w:r w:rsidR="00EF167C">
        <w:rPr>
          <w:lang w:val="en"/>
        </w:rPr>
        <w:t xml:space="preserve"> must </w:t>
      </w:r>
      <w:r w:rsidR="00D3366A">
        <w:rPr>
          <w:lang w:val="en"/>
        </w:rPr>
        <w:t xml:space="preserve">include a </w:t>
      </w:r>
      <w:r>
        <w:rPr>
          <w:lang w:val="en"/>
        </w:rPr>
        <w:t>separate re</w:t>
      </w:r>
      <w:r w:rsidR="00C17FD6">
        <w:rPr>
          <w:lang w:val="en"/>
        </w:rPr>
        <w:t>quest for each funding stream for</w:t>
      </w:r>
      <w:r>
        <w:rPr>
          <w:lang w:val="en"/>
        </w:rPr>
        <w:t xml:space="preserve"> which </w:t>
      </w:r>
      <w:r w:rsidR="00C17FD6">
        <w:rPr>
          <w:lang w:val="en"/>
        </w:rPr>
        <w:t>a waiver is required.</w:t>
      </w:r>
      <w:r>
        <w:rPr>
          <w:lang w:val="en"/>
        </w:rPr>
        <w:t xml:space="preserve"> </w:t>
      </w:r>
    </w:p>
    <w:p w14:paraId="6E4DB5EA" w14:textId="5116E5C7" w:rsidR="00C626C1" w:rsidRDefault="00D3366A" w:rsidP="00BA4C35">
      <w:pPr>
        <w:rPr>
          <w:lang w:val="en"/>
        </w:rPr>
      </w:pPr>
      <w:r>
        <w:rPr>
          <w:lang w:val="en"/>
        </w:rPr>
        <w:t xml:space="preserve">Waiver requests are due </w:t>
      </w:r>
      <w:r w:rsidR="00C17FD6">
        <w:rPr>
          <w:lang w:val="en"/>
        </w:rPr>
        <w:t xml:space="preserve">to DEED program staff </w:t>
      </w:r>
      <w:r w:rsidR="00BC6277">
        <w:rPr>
          <w:lang w:val="en"/>
        </w:rPr>
        <w:t>no later than</w:t>
      </w:r>
      <w:r>
        <w:rPr>
          <w:lang w:val="en"/>
        </w:rPr>
        <w:t xml:space="preserve"> </w:t>
      </w:r>
      <w:r w:rsidRPr="00BC0837">
        <w:rPr>
          <w:b/>
          <w:bCs/>
          <w:lang w:val="en"/>
        </w:rPr>
        <w:t>June</w:t>
      </w:r>
      <w:r w:rsidR="001C4251" w:rsidRPr="00BC0837">
        <w:rPr>
          <w:b/>
          <w:bCs/>
          <w:lang w:val="en"/>
        </w:rPr>
        <w:t xml:space="preserve"> </w:t>
      </w:r>
      <w:r w:rsidR="00BD4A89" w:rsidRPr="00BC0837">
        <w:rPr>
          <w:b/>
          <w:bCs/>
          <w:lang w:val="en"/>
        </w:rPr>
        <w:t>2</w:t>
      </w:r>
      <w:r w:rsidR="007E3905" w:rsidRPr="00BC0837">
        <w:rPr>
          <w:b/>
          <w:bCs/>
          <w:lang w:val="en"/>
        </w:rPr>
        <w:t>,</w:t>
      </w:r>
      <w:r w:rsidR="00C476FD" w:rsidRPr="00BC0837">
        <w:rPr>
          <w:b/>
          <w:bCs/>
          <w:lang w:val="en"/>
        </w:rPr>
        <w:t xml:space="preserve"> 202</w:t>
      </w:r>
      <w:r w:rsidR="00BC0837" w:rsidRPr="00BC0837">
        <w:rPr>
          <w:b/>
          <w:bCs/>
          <w:lang w:val="en"/>
        </w:rPr>
        <w:t>4</w:t>
      </w:r>
      <w:r w:rsidR="00C17FD6" w:rsidRPr="00BC0837">
        <w:rPr>
          <w:lang w:val="en"/>
        </w:rPr>
        <w:t>.</w:t>
      </w:r>
      <w:r w:rsidR="00C17FD6">
        <w:rPr>
          <w:lang w:val="en"/>
        </w:rPr>
        <w:t xml:space="preserve"> DEED will issue </w:t>
      </w:r>
      <w:r w:rsidR="003565D8">
        <w:rPr>
          <w:lang w:val="en"/>
        </w:rPr>
        <w:t xml:space="preserve">a written response </w:t>
      </w:r>
      <w:r>
        <w:rPr>
          <w:lang w:val="en"/>
        </w:rPr>
        <w:t xml:space="preserve">within 10 business days. </w:t>
      </w:r>
    </w:p>
    <w:p w14:paraId="3648D49C" w14:textId="548831B8" w:rsidR="00D71A6D" w:rsidRDefault="00D3366A" w:rsidP="00D71A6D">
      <w:pPr>
        <w:rPr>
          <w:lang w:val="en"/>
        </w:rPr>
      </w:pPr>
      <w:r w:rsidRPr="00D3366A">
        <w:rPr>
          <w:lang w:val="en"/>
        </w:rPr>
        <w:t>If you do not request a waiver</w:t>
      </w:r>
      <w:r w:rsidR="00C17FD6">
        <w:rPr>
          <w:lang w:val="en"/>
        </w:rPr>
        <w:t xml:space="preserve"> </w:t>
      </w:r>
      <w:r w:rsidRPr="00D3366A">
        <w:rPr>
          <w:lang w:val="en"/>
        </w:rPr>
        <w:t xml:space="preserve">or if your waiver is denied, DEED will begin the process of recapturing funds after </w:t>
      </w:r>
      <w:r w:rsidR="00C17FD6">
        <w:rPr>
          <w:lang w:val="en"/>
        </w:rPr>
        <w:t>the July RPR/FSR is received (typically mid-August) for the current-year grant</w:t>
      </w:r>
      <w:r w:rsidRPr="00D3366A">
        <w:rPr>
          <w:lang w:val="en"/>
        </w:rPr>
        <w:t xml:space="preserve">. If funds are recaptured from your existing grant, DEED will request that you submit a grant modification </w:t>
      </w:r>
      <w:r w:rsidR="00BD4A89" w:rsidRPr="00D3366A">
        <w:rPr>
          <w:lang w:val="en"/>
        </w:rPr>
        <w:t>to</w:t>
      </w:r>
      <w:r w:rsidRPr="00D3366A">
        <w:rPr>
          <w:lang w:val="en"/>
        </w:rPr>
        <w:t xml:space="preserve"> decrease the overall grant amo</w:t>
      </w:r>
      <w:r w:rsidR="00C17FD6">
        <w:rPr>
          <w:lang w:val="en"/>
        </w:rPr>
        <w:t>unt and realign cost categories.</w:t>
      </w:r>
    </w:p>
    <w:p w14:paraId="23112F3A" w14:textId="5F275C6C" w:rsidR="002D1FEC" w:rsidRPr="001D1DB9" w:rsidRDefault="002D1FEC" w:rsidP="00D71A6D">
      <w:pPr>
        <w:rPr>
          <w:sz w:val="16"/>
        </w:rPr>
      </w:pPr>
    </w:p>
    <w:p w14:paraId="654D93A4" w14:textId="77777777" w:rsidR="00FE7359" w:rsidRDefault="00580388" w:rsidP="00103E85">
      <w:pPr>
        <w:rPr>
          <w:b/>
        </w:rPr>
      </w:pPr>
      <w:r w:rsidRPr="009F33B3">
        <w:rPr>
          <w:b/>
        </w:rPr>
        <w:lastRenderedPageBreak/>
        <w:t>Section A: Grant Information</w:t>
      </w:r>
    </w:p>
    <w:p w14:paraId="6C25F708" w14:textId="0680FCB1" w:rsidR="00103E85" w:rsidRDefault="00F13656" w:rsidP="00103E85">
      <w:r w:rsidRPr="00D64F77">
        <w:t xml:space="preserve">Please complete the following </w:t>
      </w:r>
      <w:r w:rsidR="001D1DB9">
        <w:t>worksheet</w:t>
      </w:r>
      <w:r w:rsidRPr="00D64F77">
        <w:t xml:space="preserve"> detailing your request. </w:t>
      </w:r>
      <w:r w:rsidR="003A55F9">
        <w:t>Double click on the spreadsheet and it will open in Excel.</w:t>
      </w:r>
    </w:p>
    <w:p w14:paraId="4A0D16B0" w14:textId="77777777" w:rsidR="00C10767" w:rsidRDefault="00C10767" w:rsidP="000D4349"/>
    <w:bookmarkStart w:id="0" w:name="_MON_1677405213"/>
    <w:bookmarkEnd w:id="0"/>
    <w:p w14:paraId="02FFD7FC" w14:textId="38D8EFF7" w:rsidR="00C10767" w:rsidRDefault="007756BE" w:rsidP="00103E85">
      <w:r>
        <w:object w:dxaOrig="12170" w:dyaOrig="5242" w14:anchorId="697A1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72.4pt" o:ole="">
            <v:imagedata r:id="rId12" o:title=""/>
          </v:shape>
          <o:OLEObject Type="Embed" ProgID="Excel.Sheet.12" ShapeID="_x0000_i1025" DrawAspect="Content" ObjectID="_1775633470" r:id="rId13"/>
        </w:object>
      </w:r>
    </w:p>
    <w:p w14:paraId="45FD9A8A" w14:textId="29CF331B" w:rsidR="002D1FEC" w:rsidRPr="001D1DB9" w:rsidRDefault="002D1FEC" w:rsidP="009F33B3"/>
    <w:bookmarkStart w:id="1" w:name="_MON_1740827651"/>
    <w:bookmarkEnd w:id="1"/>
    <w:p w14:paraId="2DCAD58E" w14:textId="5859F359" w:rsidR="003F5B05" w:rsidRDefault="007756BE" w:rsidP="009F33B3">
      <w:r>
        <w:object w:dxaOrig="12170" w:dyaOrig="5242" w14:anchorId="2155FE4F">
          <v:shape id="_x0000_i1026" type="#_x0000_t75" style="width:540pt;height:272.4pt" o:ole="">
            <v:imagedata r:id="rId14" o:title=""/>
          </v:shape>
          <o:OLEObject Type="Embed" ProgID="Excel.Sheet.12" ShapeID="_x0000_i1026" DrawAspect="Content" ObjectID="_1775633471" r:id="rId15"/>
        </w:object>
      </w:r>
    </w:p>
    <w:p w14:paraId="204601DB" w14:textId="77777777" w:rsidR="00BD4A89" w:rsidRDefault="00BD4A89" w:rsidP="009F33B3">
      <w:pPr>
        <w:rPr>
          <w:rFonts w:asciiTheme="majorHAnsi" w:hAnsiTheme="majorHAnsi"/>
          <w:b/>
        </w:rPr>
      </w:pPr>
    </w:p>
    <w:bookmarkStart w:id="2" w:name="_MON_1740827372"/>
    <w:bookmarkEnd w:id="2"/>
    <w:p w14:paraId="5E39EA59" w14:textId="702E4478" w:rsidR="001B489F" w:rsidRDefault="007756BE" w:rsidP="009F33B3">
      <w:pPr>
        <w:rPr>
          <w:rFonts w:asciiTheme="majorHAnsi" w:hAnsiTheme="majorHAnsi"/>
          <w:b/>
        </w:rPr>
      </w:pPr>
      <w:r>
        <w:object w:dxaOrig="12170" w:dyaOrig="5242" w14:anchorId="47976590">
          <v:shape id="_x0000_i1027" type="#_x0000_t75" style="width:540pt;height:272.4pt" o:ole="">
            <v:imagedata r:id="rId16" o:title=""/>
          </v:shape>
          <o:OLEObject Type="Embed" ProgID="Excel.Sheet.12" ShapeID="_x0000_i1027" DrawAspect="Content" ObjectID="_1775633472" r:id="rId17"/>
        </w:object>
      </w:r>
    </w:p>
    <w:p w14:paraId="2D1E787A" w14:textId="1F2A1DED" w:rsidR="00F16664" w:rsidRPr="00ED6D6F" w:rsidRDefault="00F16664" w:rsidP="009F33B3">
      <w:pPr>
        <w:rPr>
          <w:rFonts w:asciiTheme="majorHAnsi" w:hAnsiTheme="majorHAnsi"/>
          <w:b/>
        </w:rPr>
      </w:pPr>
      <w:r w:rsidRPr="00ED6D6F">
        <w:rPr>
          <w:rFonts w:asciiTheme="majorHAnsi" w:hAnsiTheme="majorHAnsi"/>
          <w:b/>
        </w:rPr>
        <w:t xml:space="preserve">Section B: Narrative </w:t>
      </w:r>
    </w:p>
    <w:p w14:paraId="050099B8" w14:textId="77777777" w:rsidR="00656090" w:rsidRDefault="00F355EF" w:rsidP="00ED6D6F">
      <w:pPr>
        <w:pStyle w:val="ListParagraph"/>
        <w:numPr>
          <w:ilvl w:val="0"/>
          <w:numId w:val="6"/>
        </w:numPr>
        <w:spacing w:line="360" w:lineRule="auto"/>
      </w:pPr>
      <w:r>
        <w:t>What anticipated or unanticipated events contributed to the need to request a waiver?</w:t>
      </w:r>
    </w:p>
    <w:p w14:paraId="0315E092" w14:textId="77777777" w:rsidR="002D1FEC" w:rsidRDefault="002D1FEC" w:rsidP="00ED6D6F">
      <w:pPr>
        <w:pStyle w:val="ListParagraph"/>
        <w:spacing w:line="360" w:lineRule="auto"/>
      </w:pPr>
    </w:p>
    <w:p w14:paraId="7954E168" w14:textId="42EBA489" w:rsidR="002D1FEC" w:rsidRPr="002D1FEC" w:rsidRDefault="002D1FEC" w:rsidP="00ED6D6F">
      <w:pPr>
        <w:pStyle w:val="ListParagraph"/>
        <w:spacing w:line="360" w:lineRule="auto"/>
      </w:pPr>
    </w:p>
    <w:p w14:paraId="48583E9B" w14:textId="77777777" w:rsidR="00E83C3B" w:rsidRDefault="00E83C3B" w:rsidP="00ED6D6F">
      <w:pPr>
        <w:pStyle w:val="ListParagraph"/>
        <w:numPr>
          <w:ilvl w:val="0"/>
          <w:numId w:val="6"/>
        </w:numPr>
        <w:spacing w:line="360" w:lineRule="auto"/>
      </w:pPr>
      <w:r>
        <w:t>What other funding streams were used to serve your target populations?</w:t>
      </w:r>
    </w:p>
    <w:p w14:paraId="7C669965" w14:textId="77777777" w:rsidR="002D1FEC" w:rsidRDefault="002D1FEC" w:rsidP="00ED6D6F">
      <w:pPr>
        <w:pStyle w:val="ListParagraph"/>
        <w:spacing w:line="360" w:lineRule="auto"/>
      </w:pPr>
    </w:p>
    <w:p w14:paraId="0717B6C6" w14:textId="77777777" w:rsidR="002D1FEC" w:rsidRPr="002D1FEC" w:rsidRDefault="002D1FEC" w:rsidP="00ED6D6F">
      <w:pPr>
        <w:pStyle w:val="ListParagraph"/>
        <w:spacing w:line="360" w:lineRule="auto"/>
      </w:pPr>
    </w:p>
    <w:p w14:paraId="33CB7FCE" w14:textId="77777777" w:rsidR="002D1FEC" w:rsidRDefault="00F2444B" w:rsidP="00ED6D6F">
      <w:pPr>
        <w:pStyle w:val="ListParagraph"/>
        <w:numPr>
          <w:ilvl w:val="0"/>
          <w:numId w:val="6"/>
        </w:numPr>
        <w:spacing w:line="360" w:lineRule="auto"/>
      </w:pPr>
      <w:r>
        <w:t>Were under-</w:t>
      </w:r>
      <w:r w:rsidR="0073453A">
        <w:t>expenditures discussed with DEED staff during the grant term (either during a monitoring visit or otherwise)?</w:t>
      </w:r>
    </w:p>
    <w:p w14:paraId="20F2CC51" w14:textId="77777777" w:rsidR="002D1FEC" w:rsidRPr="002D1FEC" w:rsidRDefault="002D1FEC" w:rsidP="00ED6D6F">
      <w:pPr>
        <w:spacing w:line="360" w:lineRule="auto"/>
      </w:pPr>
    </w:p>
    <w:p w14:paraId="1D950809" w14:textId="77777777" w:rsidR="00E83C3B" w:rsidRDefault="00E83C3B" w:rsidP="00ED6D6F">
      <w:pPr>
        <w:pStyle w:val="ListParagraph"/>
        <w:numPr>
          <w:ilvl w:val="0"/>
          <w:numId w:val="6"/>
        </w:numPr>
        <w:spacing w:line="360" w:lineRule="auto"/>
      </w:pPr>
      <w:r>
        <w:t xml:space="preserve">Did you receive an additional </w:t>
      </w:r>
      <w:r w:rsidR="00F2444B">
        <w:t>allotment</w:t>
      </w:r>
      <w:r>
        <w:t xml:space="preserve"> or transfer funds in</w:t>
      </w:r>
      <w:r w:rsidR="002F0F6A">
        <w:t>to</w:t>
      </w:r>
      <w:r>
        <w:t xml:space="preserve"> this funding stream?</w:t>
      </w:r>
    </w:p>
    <w:p w14:paraId="7961F51E" w14:textId="77777777" w:rsidR="002D1FEC" w:rsidRPr="00ED6D6F" w:rsidRDefault="002D1FEC" w:rsidP="00ED6D6F">
      <w:pPr>
        <w:spacing w:line="360" w:lineRule="auto"/>
        <w:rPr>
          <w:b/>
        </w:rPr>
      </w:pPr>
    </w:p>
    <w:p w14:paraId="3E05746A" w14:textId="77777777" w:rsidR="00ED6D6F" w:rsidRDefault="00E83C3B" w:rsidP="00ED6D6F">
      <w:pPr>
        <w:pStyle w:val="ListParagraph"/>
        <w:numPr>
          <w:ilvl w:val="0"/>
          <w:numId w:val="6"/>
        </w:numPr>
        <w:spacing w:line="360" w:lineRule="auto"/>
      </w:pPr>
      <w:r>
        <w:t>What is the impact on participants if this request is not approved?</w:t>
      </w:r>
    </w:p>
    <w:p w14:paraId="724FCB5D" w14:textId="77777777" w:rsidR="00ED6D6F" w:rsidRDefault="00ED6D6F" w:rsidP="00ED6D6F">
      <w:pPr>
        <w:pStyle w:val="ListParagraph"/>
      </w:pPr>
    </w:p>
    <w:p w14:paraId="7A39AC36" w14:textId="77777777" w:rsidR="00ED6D6F" w:rsidRDefault="00ED6D6F" w:rsidP="00ED6D6F">
      <w:pPr>
        <w:pStyle w:val="ListParagraph"/>
        <w:spacing w:line="360" w:lineRule="auto"/>
      </w:pPr>
    </w:p>
    <w:p w14:paraId="11909685" w14:textId="77777777" w:rsidR="00E83C3B" w:rsidRDefault="00F2444B" w:rsidP="00ED6D6F">
      <w:pPr>
        <w:pStyle w:val="ListParagraph"/>
        <w:numPr>
          <w:ilvl w:val="0"/>
          <w:numId w:val="6"/>
        </w:numPr>
        <w:spacing w:line="360" w:lineRule="auto"/>
      </w:pPr>
      <w:r>
        <w:t>Are there any o</w:t>
      </w:r>
      <w:r w:rsidR="00E83C3B">
        <w:t>ther comments or contributing factors</w:t>
      </w:r>
      <w:r>
        <w:t xml:space="preserve"> </w:t>
      </w:r>
      <w:r w:rsidR="002F0F6A">
        <w:t>of which DEED should be aware</w:t>
      </w:r>
      <w:r w:rsidR="00E83C3B">
        <w:t>?</w:t>
      </w:r>
    </w:p>
    <w:p w14:paraId="72EB2C61" w14:textId="77777777" w:rsidR="002D1FEC" w:rsidRPr="002D1FEC" w:rsidRDefault="002D1FEC" w:rsidP="00ED6D6F">
      <w:pPr>
        <w:spacing w:line="360" w:lineRule="auto"/>
      </w:pPr>
    </w:p>
    <w:p w14:paraId="3FFB3EB7" w14:textId="3E52363A" w:rsidR="00B76A73" w:rsidRPr="00B76A73" w:rsidRDefault="00F2444B" w:rsidP="00BD4A89">
      <w:pPr>
        <w:pStyle w:val="ListParagraph"/>
        <w:numPr>
          <w:ilvl w:val="0"/>
          <w:numId w:val="6"/>
        </w:numPr>
        <w:spacing w:line="360" w:lineRule="auto"/>
      </w:pPr>
      <w:r>
        <w:t>What action will you take in the future to reduce the a</w:t>
      </w:r>
      <w:r w:rsidR="0073453A">
        <w:t>mount of carry forward requested</w:t>
      </w:r>
      <w:r>
        <w:t>? Please be specific.</w:t>
      </w:r>
    </w:p>
    <w:sectPr w:rsidR="00B76A73" w:rsidRPr="00B76A73" w:rsidSect="00FF0BF0">
      <w:footerReference w:type="default" r:id="rId18"/>
      <w:headerReference w:type="first" r:id="rId19"/>
      <w:pgSz w:w="12240" w:h="15840"/>
      <w:pgMar w:top="720" w:right="720" w:bottom="720" w:left="72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5665" w14:textId="77777777" w:rsidR="008B38F3" w:rsidRDefault="008B38F3" w:rsidP="00D3366A">
      <w:pPr>
        <w:spacing w:after="0" w:line="240" w:lineRule="auto"/>
      </w:pPr>
      <w:r>
        <w:separator/>
      </w:r>
    </w:p>
  </w:endnote>
  <w:endnote w:type="continuationSeparator" w:id="0">
    <w:p w14:paraId="7A468EB4" w14:textId="77777777" w:rsidR="008B38F3" w:rsidRDefault="008B38F3" w:rsidP="00D3366A">
      <w:pPr>
        <w:spacing w:after="0" w:line="240" w:lineRule="auto"/>
      </w:pPr>
      <w:r>
        <w:continuationSeparator/>
      </w:r>
    </w:p>
  </w:endnote>
  <w:endnote w:type="continuationNotice" w:id="1">
    <w:p w14:paraId="6E70B347" w14:textId="77777777" w:rsidR="008B38F3" w:rsidRDefault="008B3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C305" w14:textId="5F63F3D2" w:rsidR="007E3905" w:rsidRDefault="008E5B30">
    <w:pPr>
      <w:pStyle w:val="Footer"/>
    </w:pPr>
    <w:r>
      <w:fldChar w:fldCharType="begin"/>
    </w:r>
    <w:r>
      <w:instrText xml:space="preserve"> PAGE   \* MERGEFORMAT </w:instrText>
    </w:r>
    <w:r>
      <w:fldChar w:fldCharType="separate"/>
    </w:r>
    <w:r>
      <w:rPr>
        <w:noProof/>
      </w:rPr>
      <w:t>1</w:t>
    </w:r>
    <w:r>
      <w:rPr>
        <w:noProof/>
      </w:rPr>
      <w:fldChar w:fldCharType="end"/>
    </w:r>
    <w:r w:rsidR="002D6164">
      <w:rPr>
        <w:noProof/>
      </w:rPr>
      <w:t xml:space="preserve"> </w:t>
    </w:r>
    <w:r w:rsidR="00FC5263">
      <w:rPr>
        <w:noProof/>
      </w:rPr>
      <w:t xml:space="preserve">| </w:t>
    </w:r>
    <w:r w:rsidR="002D6164">
      <w:rPr>
        <w:noProof/>
      </w:rPr>
      <w:t>Carry-Forward</w:t>
    </w:r>
    <w:r w:rsidR="00FC5263">
      <w:rPr>
        <w:noProof/>
      </w:rPr>
      <w:t xml:space="preserve"> Request</w:t>
    </w:r>
    <w:r w:rsidR="002D6164">
      <w:rPr>
        <w:noProof/>
      </w:rPr>
      <w:t xml:space="preserve"> PY</w:t>
    </w:r>
    <w:r w:rsidR="00BC0837">
      <w:rPr>
        <w:noProof/>
      </w:rPr>
      <w:t>23</w:t>
    </w:r>
    <w:r w:rsidR="00FC5263">
      <w:rPr>
        <w:noProof/>
      </w:rPr>
      <w:t>/</w:t>
    </w:r>
    <w:r w:rsidR="00BD4A89">
      <w:rPr>
        <w:noProof/>
      </w:rPr>
      <w:t>S</w:t>
    </w:r>
    <w:r w:rsidR="00FC5263">
      <w:rPr>
        <w:noProof/>
      </w:rPr>
      <w:t>FY2</w:t>
    </w:r>
    <w:r w:rsidR="00BC0837">
      <w:rPr>
        <w:noProof/>
      </w:rPr>
      <w:t>4</w:t>
    </w:r>
    <w:r w:rsidR="00BD4A89">
      <w:rPr>
        <w:noProof/>
      </w:rPr>
      <w:t>, MN DEED</w:t>
    </w:r>
  </w:p>
  <w:p w14:paraId="04B85B4E" w14:textId="1FA456E4" w:rsidR="007E3905" w:rsidRPr="002D1FEC" w:rsidRDefault="007E3905" w:rsidP="002D6164">
    <w:pPr>
      <w:pStyle w:val="Head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45F1" w14:textId="77777777" w:rsidR="008B38F3" w:rsidRDefault="008B38F3" w:rsidP="00D3366A">
      <w:pPr>
        <w:spacing w:after="0" w:line="240" w:lineRule="auto"/>
      </w:pPr>
      <w:r>
        <w:separator/>
      </w:r>
    </w:p>
  </w:footnote>
  <w:footnote w:type="continuationSeparator" w:id="0">
    <w:p w14:paraId="29081CD7" w14:textId="77777777" w:rsidR="008B38F3" w:rsidRDefault="008B38F3" w:rsidP="00D3366A">
      <w:pPr>
        <w:spacing w:after="0" w:line="240" w:lineRule="auto"/>
      </w:pPr>
      <w:r>
        <w:continuationSeparator/>
      </w:r>
    </w:p>
  </w:footnote>
  <w:footnote w:type="continuationNotice" w:id="1">
    <w:p w14:paraId="43681B5A" w14:textId="77777777" w:rsidR="008B38F3" w:rsidRDefault="008B3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25F1" w14:textId="77777777" w:rsidR="00A638A9" w:rsidRDefault="0047066A">
    <w:pPr>
      <w:pStyle w:val="Header"/>
    </w:pPr>
    <w:r>
      <w:rPr>
        <w:noProof/>
      </w:rPr>
      <w:drawing>
        <wp:anchor distT="0" distB="0" distL="0" distR="0" simplePos="0" relativeHeight="251658240" behindDoc="0" locked="0" layoutInCell="1" allowOverlap="0" wp14:anchorId="4F2F2433" wp14:editId="5E8C9CB4">
          <wp:simplePos x="0" y="0"/>
          <wp:positionH relativeFrom="page">
            <wp:posOffset>6350</wp:posOffset>
          </wp:positionH>
          <wp:positionV relativeFrom="page">
            <wp:posOffset>12700</wp:posOffset>
          </wp:positionV>
          <wp:extent cx="7772400" cy="1249680"/>
          <wp:effectExtent l="0" t="0" r="0" b="7620"/>
          <wp:wrapSquare wrapText="bothSides"/>
          <wp:docPr id="1" name="Picture 1"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Department of Employment and Economic Develop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F52"/>
    <w:multiLevelType w:val="hybridMultilevel"/>
    <w:tmpl w:val="BB8A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95D07"/>
    <w:multiLevelType w:val="hybridMultilevel"/>
    <w:tmpl w:val="5372C7D6"/>
    <w:lvl w:ilvl="0" w:tplc="8AA45BA6">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1F00741E"/>
    <w:multiLevelType w:val="hybridMultilevel"/>
    <w:tmpl w:val="05A61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42EF0"/>
    <w:multiLevelType w:val="hybridMultilevel"/>
    <w:tmpl w:val="D50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4419B"/>
    <w:multiLevelType w:val="hybridMultilevel"/>
    <w:tmpl w:val="C7B4F228"/>
    <w:lvl w:ilvl="0" w:tplc="25B26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84D9E"/>
    <w:multiLevelType w:val="hybridMultilevel"/>
    <w:tmpl w:val="3FA88A74"/>
    <w:lvl w:ilvl="0" w:tplc="022E1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1711C"/>
    <w:multiLevelType w:val="hybridMultilevel"/>
    <w:tmpl w:val="3BC4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AA6900"/>
    <w:multiLevelType w:val="hybridMultilevel"/>
    <w:tmpl w:val="F20C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70489"/>
    <w:multiLevelType w:val="hybridMultilevel"/>
    <w:tmpl w:val="067C2A12"/>
    <w:lvl w:ilvl="0" w:tplc="36E44A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461143">
    <w:abstractNumId w:val="6"/>
  </w:num>
  <w:num w:numId="2" w16cid:durableId="989207900">
    <w:abstractNumId w:val="0"/>
  </w:num>
  <w:num w:numId="3" w16cid:durableId="676075041">
    <w:abstractNumId w:val="7"/>
  </w:num>
  <w:num w:numId="4" w16cid:durableId="770668353">
    <w:abstractNumId w:val="2"/>
  </w:num>
  <w:num w:numId="5" w16cid:durableId="1334261077">
    <w:abstractNumId w:val="4"/>
  </w:num>
  <w:num w:numId="6" w16cid:durableId="510996910">
    <w:abstractNumId w:val="3"/>
  </w:num>
  <w:num w:numId="7" w16cid:durableId="1514758132">
    <w:abstractNumId w:val="8"/>
  </w:num>
  <w:num w:numId="8" w16cid:durableId="1707218546">
    <w:abstractNumId w:val="5"/>
  </w:num>
  <w:num w:numId="9" w16cid:durableId="96072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CF"/>
    <w:rsid w:val="000071A2"/>
    <w:rsid w:val="000317ED"/>
    <w:rsid w:val="0004196C"/>
    <w:rsid w:val="00056CCF"/>
    <w:rsid w:val="00070C10"/>
    <w:rsid w:val="000819C5"/>
    <w:rsid w:val="00085C4C"/>
    <w:rsid w:val="000D3401"/>
    <w:rsid w:val="000D4349"/>
    <w:rsid w:val="000F6943"/>
    <w:rsid w:val="00103E85"/>
    <w:rsid w:val="00116093"/>
    <w:rsid w:val="00183436"/>
    <w:rsid w:val="001B489F"/>
    <w:rsid w:val="001C4251"/>
    <w:rsid w:val="001D1DB9"/>
    <w:rsid w:val="001E4581"/>
    <w:rsid w:val="001F32FD"/>
    <w:rsid w:val="00242D0E"/>
    <w:rsid w:val="0024464C"/>
    <w:rsid w:val="00264221"/>
    <w:rsid w:val="00271121"/>
    <w:rsid w:val="00274929"/>
    <w:rsid w:val="00276AFB"/>
    <w:rsid w:val="002A031A"/>
    <w:rsid w:val="002A154A"/>
    <w:rsid w:val="002B3550"/>
    <w:rsid w:val="002C48C7"/>
    <w:rsid w:val="002D1FEC"/>
    <w:rsid w:val="002D6164"/>
    <w:rsid w:val="002F0F6A"/>
    <w:rsid w:val="00307EB8"/>
    <w:rsid w:val="003565D8"/>
    <w:rsid w:val="00362238"/>
    <w:rsid w:val="003946A0"/>
    <w:rsid w:val="00394BC2"/>
    <w:rsid w:val="00395630"/>
    <w:rsid w:val="003A55F9"/>
    <w:rsid w:val="003B71B5"/>
    <w:rsid w:val="003C2D28"/>
    <w:rsid w:val="003E3111"/>
    <w:rsid w:val="003E3B83"/>
    <w:rsid w:val="003E450E"/>
    <w:rsid w:val="003F03F9"/>
    <w:rsid w:val="003F5B05"/>
    <w:rsid w:val="00421BA6"/>
    <w:rsid w:val="0047066A"/>
    <w:rsid w:val="004B36A4"/>
    <w:rsid w:val="004C5DF2"/>
    <w:rsid w:val="00533D2B"/>
    <w:rsid w:val="005344F5"/>
    <w:rsid w:val="005428C2"/>
    <w:rsid w:val="00542C7D"/>
    <w:rsid w:val="00580388"/>
    <w:rsid w:val="005B3FE7"/>
    <w:rsid w:val="005E48C1"/>
    <w:rsid w:val="0062416E"/>
    <w:rsid w:val="0065315C"/>
    <w:rsid w:val="00656090"/>
    <w:rsid w:val="00692ED8"/>
    <w:rsid w:val="006A1EC1"/>
    <w:rsid w:val="006D1392"/>
    <w:rsid w:val="006E2CED"/>
    <w:rsid w:val="006F1793"/>
    <w:rsid w:val="006F1DBD"/>
    <w:rsid w:val="006F2ED8"/>
    <w:rsid w:val="00716338"/>
    <w:rsid w:val="00725115"/>
    <w:rsid w:val="0073453A"/>
    <w:rsid w:val="00761A1B"/>
    <w:rsid w:val="00762970"/>
    <w:rsid w:val="007756BE"/>
    <w:rsid w:val="00793E58"/>
    <w:rsid w:val="00797C25"/>
    <w:rsid w:val="00797C49"/>
    <w:rsid w:val="007A0BAD"/>
    <w:rsid w:val="007B77C0"/>
    <w:rsid w:val="007D4CE6"/>
    <w:rsid w:val="007E3905"/>
    <w:rsid w:val="00817458"/>
    <w:rsid w:val="0082669F"/>
    <w:rsid w:val="008353FA"/>
    <w:rsid w:val="00845EA9"/>
    <w:rsid w:val="0086490C"/>
    <w:rsid w:val="00877673"/>
    <w:rsid w:val="008B38F3"/>
    <w:rsid w:val="008C57E5"/>
    <w:rsid w:val="008D2103"/>
    <w:rsid w:val="008D5370"/>
    <w:rsid w:val="008E5B30"/>
    <w:rsid w:val="008E6307"/>
    <w:rsid w:val="008F2510"/>
    <w:rsid w:val="009048C5"/>
    <w:rsid w:val="00970D54"/>
    <w:rsid w:val="009C3D40"/>
    <w:rsid w:val="009F33B3"/>
    <w:rsid w:val="00A23EA5"/>
    <w:rsid w:val="00A26EEC"/>
    <w:rsid w:val="00A571CB"/>
    <w:rsid w:val="00A638A9"/>
    <w:rsid w:val="00A824E1"/>
    <w:rsid w:val="00A9010E"/>
    <w:rsid w:val="00AA1325"/>
    <w:rsid w:val="00AA7E18"/>
    <w:rsid w:val="00AB0ED8"/>
    <w:rsid w:val="00AB5C52"/>
    <w:rsid w:val="00AF0EC1"/>
    <w:rsid w:val="00B41E04"/>
    <w:rsid w:val="00B537D8"/>
    <w:rsid w:val="00B76A73"/>
    <w:rsid w:val="00B76B03"/>
    <w:rsid w:val="00B852EE"/>
    <w:rsid w:val="00B92B38"/>
    <w:rsid w:val="00B95BBD"/>
    <w:rsid w:val="00BA4C35"/>
    <w:rsid w:val="00BC0837"/>
    <w:rsid w:val="00BC6277"/>
    <w:rsid w:val="00BD13FC"/>
    <w:rsid w:val="00BD4A89"/>
    <w:rsid w:val="00BD73C3"/>
    <w:rsid w:val="00BE227D"/>
    <w:rsid w:val="00C10767"/>
    <w:rsid w:val="00C10AF3"/>
    <w:rsid w:val="00C12ADC"/>
    <w:rsid w:val="00C17FD6"/>
    <w:rsid w:val="00C2677E"/>
    <w:rsid w:val="00C476FD"/>
    <w:rsid w:val="00C50C49"/>
    <w:rsid w:val="00C626C1"/>
    <w:rsid w:val="00C62A08"/>
    <w:rsid w:val="00CF1ED2"/>
    <w:rsid w:val="00D23D76"/>
    <w:rsid w:val="00D3366A"/>
    <w:rsid w:val="00D43D2E"/>
    <w:rsid w:val="00D601C8"/>
    <w:rsid w:val="00D64F77"/>
    <w:rsid w:val="00D70A25"/>
    <w:rsid w:val="00D718E1"/>
    <w:rsid w:val="00D71A6D"/>
    <w:rsid w:val="00D74A0D"/>
    <w:rsid w:val="00E031F7"/>
    <w:rsid w:val="00E26475"/>
    <w:rsid w:val="00E44682"/>
    <w:rsid w:val="00E83C3B"/>
    <w:rsid w:val="00E8666E"/>
    <w:rsid w:val="00E944D9"/>
    <w:rsid w:val="00ED6D6F"/>
    <w:rsid w:val="00EE4890"/>
    <w:rsid w:val="00EF167C"/>
    <w:rsid w:val="00F13656"/>
    <w:rsid w:val="00F16664"/>
    <w:rsid w:val="00F16FDD"/>
    <w:rsid w:val="00F17AA5"/>
    <w:rsid w:val="00F2444B"/>
    <w:rsid w:val="00F355EF"/>
    <w:rsid w:val="00F4308B"/>
    <w:rsid w:val="00F701C3"/>
    <w:rsid w:val="00F70CF9"/>
    <w:rsid w:val="00F7756B"/>
    <w:rsid w:val="00FB7005"/>
    <w:rsid w:val="00FC5263"/>
    <w:rsid w:val="00FD7BC4"/>
    <w:rsid w:val="00FE7359"/>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9F397"/>
  <w15:chartTrackingRefBased/>
  <w15:docId w15:val="{6F9C36DB-5B24-4A64-B90A-B1EF38B6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90"/>
    <w:pPr>
      <w:keepNext/>
      <w:keepLines/>
      <w:pBdr>
        <w:bottom w:val="single" w:sz="4" w:space="1" w:color="auto"/>
      </w:pBd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388"/>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9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601C8"/>
    <w:rPr>
      <w:strike w:val="0"/>
      <w:dstrike w:val="0"/>
      <w:color w:val="428BCA"/>
      <w:u w:val="none"/>
      <w:effect w:val="none"/>
    </w:rPr>
  </w:style>
  <w:style w:type="paragraph" w:customStyle="1" w:styleId="psection-1">
    <w:name w:val="psection-1"/>
    <w:basedOn w:val="Normal"/>
    <w:rsid w:val="00D601C8"/>
    <w:pPr>
      <w:spacing w:before="150"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D601C8"/>
    <w:rPr>
      <w:b/>
      <w:bCs/>
    </w:rPr>
  </w:style>
  <w:style w:type="paragraph" w:styleId="Header">
    <w:name w:val="header"/>
    <w:basedOn w:val="Normal"/>
    <w:link w:val="HeaderChar"/>
    <w:uiPriority w:val="99"/>
    <w:unhideWhenUsed/>
    <w:rsid w:val="00D33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6A"/>
  </w:style>
  <w:style w:type="paragraph" w:styleId="Footer">
    <w:name w:val="footer"/>
    <w:basedOn w:val="Normal"/>
    <w:link w:val="FooterChar"/>
    <w:uiPriority w:val="99"/>
    <w:unhideWhenUsed/>
    <w:rsid w:val="00D3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6A"/>
  </w:style>
  <w:style w:type="character" w:customStyle="1" w:styleId="Heading2Char">
    <w:name w:val="Heading 2 Char"/>
    <w:basedOn w:val="DefaultParagraphFont"/>
    <w:link w:val="Heading2"/>
    <w:uiPriority w:val="9"/>
    <w:rsid w:val="00580388"/>
    <w:rPr>
      <w:rFonts w:eastAsiaTheme="majorEastAsia" w:cstheme="majorBidi"/>
      <w:color w:val="000000" w:themeColor="text1"/>
      <w:szCs w:val="26"/>
    </w:rPr>
  </w:style>
  <w:style w:type="paragraph" w:styleId="ListParagraph">
    <w:name w:val="List Paragraph"/>
    <w:basedOn w:val="Normal"/>
    <w:uiPriority w:val="34"/>
    <w:qFormat/>
    <w:rsid w:val="00580388"/>
    <w:pPr>
      <w:ind w:left="720"/>
      <w:contextualSpacing/>
    </w:pPr>
  </w:style>
  <w:style w:type="table" w:styleId="TableGrid">
    <w:name w:val="Table Grid"/>
    <w:basedOn w:val="TableNormal"/>
    <w:uiPriority w:val="39"/>
    <w:rsid w:val="0065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7C"/>
    <w:rPr>
      <w:rFonts w:ascii="Segoe UI" w:hAnsi="Segoe UI" w:cs="Segoe UI"/>
      <w:sz w:val="18"/>
      <w:szCs w:val="18"/>
    </w:rPr>
  </w:style>
  <w:style w:type="character" w:styleId="FollowedHyperlink">
    <w:name w:val="FollowedHyperlink"/>
    <w:basedOn w:val="DefaultParagraphFont"/>
    <w:uiPriority w:val="99"/>
    <w:semiHidden/>
    <w:unhideWhenUsed/>
    <w:rsid w:val="005B3FE7"/>
    <w:rPr>
      <w:color w:val="954F72" w:themeColor="followedHyperlink"/>
      <w:u w:val="single"/>
    </w:rPr>
  </w:style>
  <w:style w:type="character" w:styleId="CommentReference">
    <w:name w:val="annotation reference"/>
    <w:basedOn w:val="DefaultParagraphFont"/>
    <w:uiPriority w:val="99"/>
    <w:semiHidden/>
    <w:unhideWhenUsed/>
    <w:rsid w:val="00C626C1"/>
    <w:rPr>
      <w:sz w:val="16"/>
      <w:szCs w:val="16"/>
    </w:rPr>
  </w:style>
  <w:style w:type="paragraph" w:styleId="CommentText">
    <w:name w:val="annotation text"/>
    <w:basedOn w:val="Normal"/>
    <w:link w:val="CommentTextChar"/>
    <w:uiPriority w:val="99"/>
    <w:semiHidden/>
    <w:unhideWhenUsed/>
    <w:rsid w:val="00C626C1"/>
    <w:pPr>
      <w:spacing w:line="240" w:lineRule="auto"/>
    </w:pPr>
    <w:rPr>
      <w:sz w:val="20"/>
      <w:szCs w:val="20"/>
    </w:rPr>
  </w:style>
  <w:style w:type="character" w:customStyle="1" w:styleId="CommentTextChar">
    <w:name w:val="Comment Text Char"/>
    <w:basedOn w:val="DefaultParagraphFont"/>
    <w:link w:val="CommentText"/>
    <w:uiPriority w:val="99"/>
    <w:semiHidden/>
    <w:rsid w:val="00C626C1"/>
    <w:rPr>
      <w:sz w:val="20"/>
      <w:szCs w:val="20"/>
    </w:rPr>
  </w:style>
  <w:style w:type="paragraph" w:styleId="CommentSubject">
    <w:name w:val="annotation subject"/>
    <w:basedOn w:val="CommentText"/>
    <w:next w:val="CommentText"/>
    <w:link w:val="CommentSubjectChar"/>
    <w:uiPriority w:val="99"/>
    <w:semiHidden/>
    <w:unhideWhenUsed/>
    <w:rsid w:val="00C626C1"/>
    <w:rPr>
      <w:b/>
      <w:bCs/>
    </w:rPr>
  </w:style>
  <w:style w:type="character" w:customStyle="1" w:styleId="CommentSubjectChar">
    <w:name w:val="Comment Subject Char"/>
    <w:basedOn w:val="CommentTextChar"/>
    <w:link w:val="CommentSubject"/>
    <w:uiPriority w:val="99"/>
    <w:semiHidden/>
    <w:rsid w:val="00C626C1"/>
    <w:rPr>
      <w:b/>
      <w:bCs/>
      <w:sz w:val="20"/>
      <w:szCs w:val="20"/>
    </w:rPr>
  </w:style>
  <w:style w:type="paragraph" w:styleId="NoSpacing">
    <w:name w:val="No Spacing"/>
    <w:uiPriority w:val="1"/>
    <w:qFormat/>
    <w:rsid w:val="009F33B3"/>
    <w:pPr>
      <w:spacing w:after="0" w:line="240" w:lineRule="auto"/>
    </w:pPr>
  </w:style>
  <w:style w:type="table" w:styleId="PlainTable1">
    <w:name w:val="Plain Table 1"/>
    <w:basedOn w:val="TableNormal"/>
    <w:uiPriority w:val="41"/>
    <w:rsid w:val="002D1F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53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5782">
      <w:bodyDiv w:val="1"/>
      <w:marLeft w:val="0"/>
      <w:marRight w:val="0"/>
      <w:marTop w:val="0"/>
      <w:marBottom w:val="0"/>
      <w:divBdr>
        <w:top w:val="none" w:sz="0" w:space="0" w:color="auto"/>
        <w:left w:val="none" w:sz="0" w:space="0" w:color="auto"/>
        <w:bottom w:val="none" w:sz="0" w:space="0" w:color="auto"/>
        <w:right w:val="none" w:sz="0" w:space="0" w:color="auto"/>
      </w:divBdr>
    </w:div>
    <w:div w:id="486478541">
      <w:bodyDiv w:val="1"/>
      <w:marLeft w:val="0"/>
      <w:marRight w:val="0"/>
      <w:marTop w:val="0"/>
      <w:marBottom w:val="0"/>
      <w:divBdr>
        <w:top w:val="none" w:sz="0" w:space="0" w:color="auto"/>
        <w:left w:val="none" w:sz="0" w:space="0" w:color="auto"/>
        <w:bottom w:val="none" w:sz="0" w:space="0" w:color="auto"/>
        <w:right w:val="none" w:sz="0" w:space="0" w:color="auto"/>
      </w:divBdr>
    </w:div>
    <w:div w:id="517039340">
      <w:bodyDiv w:val="1"/>
      <w:marLeft w:val="0"/>
      <w:marRight w:val="0"/>
      <w:marTop w:val="0"/>
      <w:marBottom w:val="0"/>
      <w:divBdr>
        <w:top w:val="none" w:sz="0" w:space="0" w:color="auto"/>
        <w:left w:val="none" w:sz="0" w:space="0" w:color="auto"/>
        <w:bottom w:val="none" w:sz="0" w:space="0" w:color="auto"/>
        <w:right w:val="none" w:sz="0" w:space="0" w:color="auto"/>
      </w:divBdr>
    </w:div>
    <w:div w:id="535431246">
      <w:bodyDiv w:val="1"/>
      <w:marLeft w:val="0"/>
      <w:marRight w:val="0"/>
      <w:marTop w:val="0"/>
      <w:marBottom w:val="0"/>
      <w:divBdr>
        <w:top w:val="none" w:sz="0" w:space="0" w:color="auto"/>
        <w:left w:val="none" w:sz="0" w:space="0" w:color="auto"/>
        <w:bottom w:val="none" w:sz="0" w:space="0" w:color="auto"/>
        <w:right w:val="none" w:sz="0" w:space="0" w:color="auto"/>
      </w:divBdr>
      <w:divsChild>
        <w:div w:id="1524203476">
          <w:marLeft w:val="0"/>
          <w:marRight w:val="0"/>
          <w:marTop w:val="0"/>
          <w:marBottom w:val="0"/>
          <w:divBdr>
            <w:top w:val="none" w:sz="0" w:space="0" w:color="auto"/>
            <w:left w:val="none" w:sz="0" w:space="0" w:color="auto"/>
            <w:bottom w:val="none" w:sz="0" w:space="0" w:color="auto"/>
            <w:right w:val="none" w:sz="0" w:space="0" w:color="auto"/>
          </w:divBdr>
          <w:divsChild>
            <w:div w:id="1331519320">
              <w:marLeft w:val="0"/>
              <w:marRight w:val="0"/>
              <w:marTop w:val="0"/>
              <w:marBottom w:val="0"/>
              <w:divBdr>
                <w:top w:val="none" w:sz="0" w:space="0" w:color="auto"/>
                <w:left w:val="none" w:sz="0" w:space="0" w:color="auto"/>
                <w:bottom w:val="none" w:sz="0" w:space="0" w:color="auto"/>
                <w:right w:val="none" w:sz="0" w:space="0" w:color="auto"/>
              </w:divBdr>
              <w:divsChild>
                <w:div w:id="113453127">
                  <w:marLeft w:val="0"/>
                  <w:marRight w:val="0"/>
                  <w:marTop w:val="0"/>
                  <w:marBottom w:val="0"/>
                  <w:divBdr>
                    <w:top w:val="none" w:sz="0" w:space="0" w:color="auto"/>
                    <w:left w:val="none" w:sz="0" w:space="0" w:color="auto"/>
                    <w:bottom w:val="none" w:sz="0" w:space="0" w:color="auto"/>
                    <w:right w:val="none" w:sz="0" w:space="0" w:color="auto"/>
                  </w:divBdr>
                  <w:divsChild>
                    <w:div w:id="99223149">
                      <w:marLeft w:val="0"/>
                      <w:marRight w:val="0"/>
                      <w:marTop w:val="0"/>
                      <w:marBottom w:val="0"/>
                      <w:divBdr>
                        <w:top w:val="none" w:sz="0" w:space="0" w:color="auto"/>
                        <w:left w:val="none" w:sz="0" w:space="0" w:color="auto"/>
                        <w:bottom w:val="none" w:sz="0" w:space="0" w:color="auto"/>
                        <w:right w:val="none" w:sz="0" w:space="0" w:color="auto"/>
                      </w:divBdr>
                      <w:divsChild>
                        <w:div w:id="1263491132">
                          <w:marLeft w:val="0"/>
                          <w:marRight w:val="0"/>
                          <w:marTop w:val="0"/>
                          <w:marBottom w:val="0"/>
                          <w:divBdr>
                            <w:top w:val="none" w:sz="0" w:space="0" w:color="auto"/>
                            <w:left w:val="none" w:sz="0" w:space="0" w:color="auto"/>
                            <w:bottom w:val="none" w:sz="0" w:space="0" w:color="auto"/>
                            <w:right w:val="none" w:sz="0" w:space="0" w:color="auto"/>
                          </w:divBdr>
                          <w:divsChild>
                            <w:div w:id="752580635">
                              <w:marLeft w:val="0"/>
                              <w:marRight w:val="0"/>
                              <w:marTop w:val="0"/>
                              <w:marBottom w:val="0"/>
                              <w:divBdr>
                                <w:top w:val="none" w:sz="0" w:space="0" w:color="auto"/>
                                <w:left w:val="none" w:sz="0" w:space="0" w:color="auto"/>
                                <w:bottom w:val="none" w:sz="0" w:space="0" w:color="auto"/>
                                <w:right w:val="none" w:sz="0" w:space="0" w:color="auto"/>
                              </w:divBdr>
                              <w:divsChild>
                                <w:div w:id="1394156194">
                                  <w:marLeft w:val="0"/>
                                  <w:marRight w:val="0"/>
                                  <w:marTop w:val="0"/>
                                  <w:marBottom w:val="0"/>
                                  <w:divBdr>
                                    <w:top w:val="none" w:sz="0" w:space="0" w:color="auto"/>
                                    <w:left w:val="none" w:sz="0" w:space="0" w:color="auto"/>
                                    <w:bottom w:val="none" w:sz="0" w:space="0" w:color="auto"/>
                                    <w:right w:val="none" w:sz="0" w:space="0" w:color="auto"/>
                                  </w:divBdr>
                                  <w:divsChild>
                                    <w:div w:id="332883183">
                                      <w:marLeft w:val="0"/>
                                      <w:marRight w:val="0"/>
                                      <w:marTop w:val="0"/>
                                      <w:marBottom w:val="0"/>
                                      <w:divBdr>
                                        <w:top w:val="none" w:sz="0" w:space="0" w:color="auto"/>
                                        <w:left w:val="none" w:sz="0" w:space="0" w:color="auto"/>
                                        <w:bottom w:val="none" w:sz="0" w:space="0" w:color="auto"/>
                                        <w:right w:val="none" w:sz="0" w:space="0" w:color="auto"/>
                                      </w:divBdr>
                                      <w:divsChild>
                                        <w:div w:id="330334207">
                                          <w:marLeft w:val="0"/>
                                          <w:marRight w:val="0"/>
                                          <w:marTop w:val="0"/>
                                          <w:marBottom w:val="0"/>
                                          <w:divBdr>
                                            <w:top w:val="none" w:sz="0" w:space="0" w:color="auto"/>
                                            <w:left w:val="none" w:sz="0" w:space="0" w:color="auto"/>
                                            <w:bottom w:val="none" w:sz="0" w:space="0" w:color="auto"/>
                                            <w:right w:val="none" w:sz="0" w:space="0" w:color="auto"/>
                                          </w:divBdr>
                                          <w:divsChild>
                                            <w:div w:id="615985049">
                                              <w:marLeft w:val="0"/>
                                              <w:marRight w:val="0"/>
                                              <w:marTop w:val="0"/>
                                              <w:marBottom w:val="0"/>
                                              <w:divBdr>
                                                <w:top w:val="none" w:sz="0" w:space="0" w:color="auto"/>
                                                <w:left w:val="none" w:sz="0" w:space="0" w:color="auto"/>
                                                <w:bottom w:val="none" w:sz="0" w:space="0" w:color="auto"/>
                                                <w:right w:val="none" w:sz="0" w:space="0" w:color="auto"/>
                                              </w:divBdr>
                                              <w:divsChild>
                                                <w:div w:id="12434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207886">
      <w:bodyDiv w:val="1"/>
      <w:marLeft w:val="0"/>
      <w:marRight w:val="0"/>
      <w:marTop w:val="0"/>
      <w:marBottom w:val="0"/>
      <w:divBdr>
        <w:top w:val="none" w:sz="0" w:space="0" w:color="auto"/>
        <w:left w:val="none" w:sz="0" w:space="0" w:color="auto"/>
        <w:bottom w:val="none" w:sz="0" w:space="0" w:color="auto"/>
        <w:right w:val="none" w:sz="0" w:space="0" w:color="auto"/>
      </w:divBdr>
    </w:div>
    <w:div w:id="1144542155">
      <w:bodyDiv w:val="1"/>
      <w:marLeft w:val="0"/>
      <w:marRight w:val="0"/>
      <w:marTop w:val="0"/>
      <w:marBottom w:val="0"/>
      <w:divBdr>
        <w:top w:val="none" w:sz="0" w:space="0" w:color="auto"/>
        <w:left w:val="none" w:sz="0" w:space="0" w:color="auto"/>
        <w:bottom w:val="none" w:sz="0" w:space="0" w:color="auto"/>
        <w:right w:val="none" w:sz="0" w:space="0" w:color="auto"/>
      </w:divBdr>
    </w:div>
    <w:div w:id="1519080300">
      <w:bodyDiv w:val="1"/>
      <w:marLeft w:val="0"/>
      <w:marRight w:val="0"/>
      <w:marTop w:val="0"/>
      <w:marBottom w:val="0"/>
      <w:divBdr>
        <w:top w:val="none" w:sz="0" w:space="0" w:color="auto"/>
        <w:left w:val="none" w:sz="0" w:space="0" w:color="auto"/>
        <w:bottom w:val="none" w:sz="0" w:space="0" w:color="auto"/>
        <w:right w:val="none" w:sz="0" w:space="0" w:color="auto"/>
      </w:divBdr>
    </w:div>
    <w:div w:id="1745567693">
      <w:bodyDiv w:val="1"/>
      <w:marLeft w:val="0"/>
      <w:marRight w:val="0"/>
      <w:marTop w:val="0"/>
      <w:marBottom w:val="0"/>
      <w:divBdr>
        <w:top w:val="none" w:sz="0" w:space="0" w:color="auto"/>
        <w:left w:val="none" w:sz="0" w:space="0" w:color="auto"/>
        <w:bottom w:val="none" w:sz="0" w:space="0" w:color="auto"/>
        <w:right w:val="none" w:sz="0" w:space="0" w:color="auto"/>
      </w:divBdr>
    </w:div>
    <w:div w:id="18024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2/200.71"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0CE124106F6D4BB22C64A9D26E5F82" ma:contentTypeVersion="9" ma:contentTypeDescription="Create a new document." ma:contentTypeScope="" ma:versionID="614fb284c5b0ea3f9fc6f051ea9d683d">
  <xsd:schema xmlns:xsd="http://www.w3.org/2001/XMLSchema" xmlns:xs="http://www.w3.org/2001/XMLSchema" xmlns:p="http://schemas.microsoft.com/office/2006/metadata/properties" xmlns:ns3="d7425bb2-f828-4276-999a-e2611fd3fa2f" xmlns:ns4="652e3138-a3b5-4763-8f18-84e041114180" targetNamespace="http://schemas.microsoft.com/office/2006/metadata/properties" ma:root="true" ma:fieldsID="65d3b365cb927b88c23c0fb7bb1f20ea" ns3:_="" ns4:_="">
    <xsd:import namespace="d7425bb2-f828-4276-999a-e2611fd3fa2f"/>
    <xsd:import namespace="652e3138-a3b5-4763-8f18-84e0411141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5bb2-f828-4276-999a-e2611fd3f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3138-a3b5-4763-8f18-84e0411141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31C90-D5AC-4182-8FE1-9032999DFF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39265-7DFB-405D-A2AA-52633BFFDF18}">
  <ds:schemaRefs>
    <ds:schemaRef ds:uri="http://schemas.openxmlformats.org/officeDocument/2006/bibliography"/>
  </ds:schemaRefs>
</ds:datastoreItem>
</file>

<file path=customXml/itemProps3.xml><?xml version="1.0" encoding="utf-8"?>
<ds:datastoreItem xmlns:ds="http://schemas.openxmlformats.org/officeDocument/2006/customXml" ds:itemID="{150B45FC-F62B-4B48-BDB2-2CE35ADC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5bb2-f828-4276-999a-e2611fd3fa2f"/>
    <ds:schemaRef ds:uri="652e3138-a3b5-4763-8f18-84e041114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65863-21AD-4884-8F10-6EA31D754B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Bisbee, Carol (DEED)</cp:lastModifiedBy>
  <cp:revision>4</cp:revision>
  <cp:lastPrinted>2019-04-26T14:54:00Z</cp:lastPrinted>
  <dcterms:created xsi:type="dcterms:W3CDTF">2023-03-20T19:38:00Z</dcterms:created>
  <dcterms:modified xsi:type="dcterms:W3CDTF">2024-04-26T15:45:00Z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0x010100F50CE124106F6D4BB22C64A9D26E5F82</vt:lpwstr>
  </property>
</Properties>
</file>