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00EC6" w14:textId="77777777" w:rsidR="00AE636D" w:rsidRDefault="00AE636D" w:rsidP="00AE636D">
      <w:pPr>
        <w:pStyle w:val="Heading1"/>
      </w:pPr>
      <w:r>
        <w:t xml:space="preserve">Spotlight on Services to Youth Experiencing Homelessness </w:t>
      </w:r>
    </w:p>
    <w:p w14:paraId="79170FC8" w14:textId="46A54458" w:rsidR="00CC7B0F" w:rsidRPr="006C665B" w:rsidRDefault="007C2FDF" w:rsidP="00CC7B0F">
      <w:r>
        <w:t>Across</w:t>
      </w:r>
      <w:r w:rsidR="003C070B">
        <w:t xml:space="preserve"> Minnesota, employment and training programs that serve youth and young adults (up to age 24) </w:t>
      </w:r>
      <w:r w:rsidR="0056285B">
        <w:t>provide</w:t>
      </w:r>
      <w:r w:rsidR="003C070B">
        <w:t xml:space="preserve"> services to an increasing </w:t>
      </w:r>
      <w:r w:rsidR="009B0BD9">
        <w:t>percentage</w:t>
      </w:r>
      <w:r w:rsidR="003C070B">
        <w:t xml:space="preserve"> of participants who are experiencing homelessness</w:t>
      </w:r>
      <w:r w:rsidR="006C665B">
        <w:t xml:space="preserve">. </w:t>
      </w:r>
      <w:r w:rsidR="00CC7B0F">
        <w:rPr>
          <w:noProof/>
        </w:rPr>
        <w:t>Young people who</w:t>
      </w:r>
      <w:r w:rsidR="00CC7B0F">
        <w:t xml:space="preserve"> lack a permanent home and basic necessities are likely to encounter barriers to participation in employment programs, such as not having required documentation and difficulties in obtaining transportation for meetings and employment. The Minnesota youth employment and training programs have developed service delivery strategies to address these barriers particular to youth experiencing homelessness. We spoke with three youth program providers across the state to learn more about how they’ve adapted their services to reach and better serve young adults who are experiencing homelessness. Across the Southeast region, an innovative approach to communication helps job counselors build relationships and connect with young adults. In Minneapolis, WIOA Youth programs set goals and measured progress in partnership with housing and service providers in a 100-day challenge. And in Anoka County, co-located services help job counselors provide a comprehensive approach to serving youth. </w:t>
      </w:r>
    </w:p>
    <w:p w14:paraId="7723AD52" w14:textId="66946FED" w:rsidR="00CC7B0F" w:rsidRDefault="00CC7B0F" w:rsidP="00CC7B0F">
      <w:pPr>
        <w:pStyle w:val="Heading2"/>
      </w:pPr>
      <w:r>
        <w:t>Background</w:t>
      </w:r>
    </w:p>
    <w:p w14:paraId="459C66B6" w14:textId="6796C89D" w:rsidR="007C2FDF" w:rsidRDefault="00CC7B0F" w:rsidP="00770957">
      <w:r w:rsidRPr="00EA0485">
        <w:rPr>
          <w:noProof/>
        </w:rPr>
        <w:drawing>
          <wp:anchor distT="0" distB="0" distL="114300" distR="114300" simplePos="0" relativeHeight="251659264" behindDoc="1" locked="0" layoutInCell="1" allowOverlap="1" wp14:anchorId="717274BC" wp14:editId="4731CFE8">
            <wp:simplePos x="0" y="0"/>
            <wp:positionH relativeFrom="column">
              <wp:posOffset>2346960</wp:posOffset>
            </wp:positionH>
            <wp:positionV relativeFrom="paragraph">
              <wp:posOffset>657860</wp:posOffset>
            </wp:positionV>
            <wp:extent cx="3718560" cy="2552700"/>
            <wp:effectExtent l="0" t="0" r="0" b="0"/>
            <wp:wrapTight wrapText="bothSides">
              <wp:wrapPolygon edited="0">
                <wp:start x="0" y="0"/>
                <wp:lineTo x="0" y="21439"/>
                <wp:lineTo x="21467" y="21439"/>
                <wp:lineTo x="21467"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7C2FDF">
        <w:t>Over the last two year</w:t>
      </w:r>
      <w:r w:rsidR="006C665B">
        <w:t>s</w:t>
      </w:r>
      <w:r w:rsidR="007C2FDF">
        <w:t xml:space="preserve">, many local workforce development areas </w:t>
      </w:r>
      <w:r>
        <w:t xml:space="preserve">increased their services to youth experiencing </w:t>
      </w:r>
      <w:r w:rsidRPr="0056285B">
        <w:t xml:space="preserve">homelessness. </w:t>
      </w:r>
      <w:r w:rsidR="006C665B" w:rsidRPr="0056285B">
        <w:t>It is important to note that t</w:t>
      </w:r>
      <w:r w:rsidR="007C2FDF" w:rsidRPr="0056285B">
        <w:t xml:space="preserve">he Workforce Innovation and Opportunity Act of 2014 (WIOA) </w:t>
      </w:r>
      <w:r w:rsidR="006C665B" w:rsidRPr="0056285B">
        <w:t>expanded the definition of homeless</w:t>
      </w:r>
      <w:r w:rsidR="00626042" w:rsidRPr="0056285B">
        <w:t xml:space="preserve"> to include </w:t>
      </w:r>
      <w:r w:rsidRPr="0056285B">
        <w:t xml:space="preserve">people </w:t>
      </w:r>
      <w:r w:rsidR="00626042" w:rsidRPr="0056285B">
        <w:t>living doubled-up or in a hotel, children of migrant workers, or youth</w:t>
      </w:r>
      <w:r w:rsidR="00626042">
        <w:t xml:space="preserve"> awaiting foster care, </w:t>
      </w:r>
      <w:r>
        <w:t>in addition to the previous definition</w:t>
      </w:r>
      <w:r w:rsidR="00626042">
        <w:t xml:space="preserve"> of homelessness.</w:t>
      </w:r>
      <w:r w:rsidR="00626042">
        <w:rPr>
          <w:rStyle w:val="FootnoteReference"/>
        </w:rPr>
        <w:footnoteReference w:id="1"/>
      </w:r>
      <w:r w:rsidR="00626042">
        <w:t xml:space="preserve"> </w:t>
      </w:r>
    </w:p>
    <w:p w14:paraId="7A1EFE61" w14:textId="2A2CD109" w:rsidR="0087786B" w:rsidRDefault="00626042" w:rsidP="00770957">
      <w:r>
        <w:t xml:space="preserve">This </w:t>
      </w:r>
      <w:r w:rsidR="0056285B">
        <w:t xml:space="preserve">definition </w:t>
      </w:r>
      <w:r>
        <w:t xml:space="preserve">change allows for more youth in Minnesota to be counted as experiencing homelessness in the federal reporting data. However, even with the expanded definition, this count is believed to </w:t>
      </w:r>
      <w:r w:rsidRPr="00626042">
        <w:t xml:space="preserve">underestimate </w:t>
      </w:r>
      <w:r w:rsidR="0056285B">
        <w:t xml:space="preserve">the true number of youth </w:t>
      </w:r>
      <w:r w:rsidRPr="00626042">
        <w:t>due to self-reporting omission and the frequent occurrence of intermittent housing instability</w:t>
      </w:r>
      <w:r w:rsidR="0056285B">
        <w:t xml:space="preserve"> which is not recorded.</w:t>
      </w:r>
    </w:p>
    <w:p w14:paraId="313C080C" w14:textId="145C2116" w:rsidR="00CC7B0F" w:rsidRDefault="004B3645" w:rsidP="00770957">
      <w:r w:rsidRPr="0056285B">
        <w:t xml:space="preserve">WIOA limits the amount of services provided to in-school youth, in order to serve highest needs. However, in Minnesota, this limits </w:t>
      </w:r>
      <w:r w:rsidRPr="0056285B">
        <w:lastRenderedPageBreak/>
        <w:t xml:space="preserve">providers from serving the many youth who are in school and experiencing homelessness. On </w:t>
      </w:r>
      <w:r w:rsidR="000E7413" w:rsidRPr="0056285B">
        <w:t>June 12, 2018</w:t>
      </w:r>
      <w:r w:rsidRPr="0056285B">
        <w:t xml:space="preserve">, Minnesota </w:t>
      </w:r>
      <w:r w:rsidR="00CC7B0F" w:rsidRPr="0056285B">
        <w:t xml:space="preserve">received </w:t>
      </w:r>
      <w:r w:rsidRPr="0056285B">
        <w:t>approval of their</w:t>
      </w:r>
      <w:r w:rsidR="00CC7B0F" w:rsidRPr="0056285B">
        <w:t xml:space="preserve"> waiver request </w:t>
      </w:r>
      <w:r w:rsidRPr="0056285B">
        <w:t>to i</w:t>
      </w:r>
      <w:r w:rsidR="00CC7B0F" w:rsidRPr="0056285B">
        <w:t>ncrease individualized services to Homeless In-School Youth</w:t>
      </w:r>
      <w:r w:rsidRPr="0056285B">
        <w:t>. This allows providers to assist</w:t>
      </w:r>
      <w:r w:rsidR="00CC7B0F" w:rsidRPr="0056285B">
        <w:t xml:space="preserve"> while </w:t>
      </w:r>
      <w:r w:rsidRPr="0056285B">
        <w:t>youth</w:t>
      </w:r>
      <w:r w:rsidR="00CC7B0F" w:rsidRPr="0056285B">
        <w:t xml:space="preserve"> are still attached to an education</w:t>
      </w:r>
      <w:r w:rsidR="0056285B">
        <w:t>al</w:t>
      </w:r>
      <w:r w:rsidR="00CC7B0F" w:rsidRPr="0056285B">
        <w:t xml:space="preserve"> in</w:t>
      </w:r>
      <w:r w:rsidRPr="0056285B">
        <w:t xml:space="preserve">stitution and provides opportunity to prevent </w:t>
      </w:r>
      <w:r w:rsidR="00C5625C" w:rsidRPr="0056285B">
        <w:t>drop-outs</w:t>
      </w:r>
      <w:r w:rsidRPr="0056285B">
        <w:t xml:space="preserve"> as well as reduce racial disparities. </w:t>
      </w:r>
      <w:r w:rsidR="00566BA3" w:rsidRPr="0056285B">
        <w:t>Additional</w:t>
      </w:r>
      <w:r w:rsidR="00566BA3">
        <w:t xml:space="preserve"> details regarding this policy change are available at </w:t>
      </w:r>
      <w:hyperlink r:id="rId9" w:history="1">
        <w:r w:rsidR="00566BA3" w:rsidRPr="00DB5DCF">
          <w:rPr>
            <w:rStyle w:val="Hyperlink"/>
          </w:rPr>
          <w:t>https://mn.gov/deed/assets/wioa-chapter17_tcm1045-343259.docx</w:t>
        </w:r>
      </w:hyperlink>
      <w:r w:rsidR="00566BA3">
        <w:t xml:space="preserve">. </w:t>
      </w:r>
    </w:p>
    <w:p w14:paraId="395723AC" w14:textId="77777777" w:rsidR="00A832BB" w:rsidRDefault="00A832BB" w:rsidP="00A832BB">
      <w:pPr>
        <w:pStyle w:val="Heading2"/>
      </w:pPr>
      <w:r>
        <w:t>Southeast Region</w:t>
      </w:r>
    </w:p>
    <w:p w14:paraId="5F005752" w14:textId="41B56046" w:rsidR="00A832BB" w:rsidRDefault="00AD6AA8" w:rsidP="00AD6AA8">
      <w:r>
        <w:t xml:space="preserve">Delivering employment services to youth across multiple counties requires </w:t>
      </w:r>
      <w:r w:rsidR="00B92C01">
        <w:t xml:space="preserve">extensive </w:t>
      </w:r>
      <w:r>
        <w:t>coordination. In the Southeast region, a Youth Programs Coordinator manages t</w:t>
      </w:r>
      <w:r w:rsidRPr="000F2D98">
        <w:t xml:space="preserve">welve different </w:t>
      </w:r>
      <w:r>
        <w:t>sources of funding and</w:t>
      </w:r>
      <w:r w:rsidR="00A832BB">
        <w:t xml:space="preserve"> </w:t>
      </w:r>
      <w:r w:rsidR="00934436">
        <w:t xml:space="preserve">coordinates activities for the </w:t>
      </w:r>
      <w:r>
        <w:t xml:space="preserve">ten </w:t>
      </w:r>
      <w:r w:rsidR="00953927">
        <w:t>Youth Career P</w:t>
      </w:r>
      <w:r w:rsidR="00A832BB" w:rsidRPr="000F2D98">
        <w:t>lanner</w:t>
      </w:r>
      <w:r>
        <w:t>s, one</w:t>
      </w:r>
      <w:r w:rsidR="00A832BB" w:rsidRPr="000F2D98">
        <w:t xml:space="preserve"> </w:t>
      </w:r>
      <w:r>
        <w:t>for</w:t>
      </w:r>
      <w:r w:rsidR="00A832BB" w:rsidRPr="000F2D98">
        <w:t xml:space="preserve"> each county</w:t>
      </w:r>
      <w:r>
        <w:t xml:space="preserve"> in the </w:t>
      </w:r>
      <w:r w:rsidRPr="000F2D98">
        <w:t>region</w:t>
      </w:r>
      <w:r w:rsidR="00A832BB">
        <w:t xml:space="preserve">. </w:t>
      </w:r>
    </w:p>
    <w:p w14:paraId="09268027" w14:textId="4829F8A5" w:rsidR="00C5625C" w:rsidRDefault="00B92C01" w:rsidP="00A832BB">
      <w:pPr>
        <w:rPr>
          <w:rFonts w:ascii="Calibri" w:hAnsi="Calibri"/>
          <w:color w:val="1F497D"/>
        </w:rPr>
      </w:pPr>
      <w:r>
        <w:t>The Youth Program Coordinator prioritizes communication between direct service</w:t>
      </w:r>
      <w:r w:rsidRPr="00F31BFD">
        <w:t xml:space="preserve"> staff</w:t>
      </w:r>
      <w:r>
        <w:t xml:space="preserve">. </w:t>
      </w:r>
      <w:r w:rsidR="00A832BB">
        <w:t xml:space="preserve">Staff use </w:t>
      </w:r>
      <w:r>
        <w:t xml:space="preserve">tools such as </w:t>
      </w:r>
      <w:r w:rsidR="00A832BB">
        <w:t xml:space="preserve">Skype and Slack to communicate with each other </w:t>
      </w:r>
      <w:r>
        <w:t xml:space="preserve">and reduce the geographic divide </w:t>
      </w:r>
      <w:r w:rsidR="00A832BB">
        <w:t>a</w:t>
      </w:r>
      <w:r>
        <w:t>s</w:t>
      </w:r>
      <w:r w:rsidR="00A832BB">
        <w:t xml:space="preserve"> </w:t>
      </w:r>
      <w:r>
        <w:t xml:space="preserve">well as foster relationships </w:t>
      </w:r>
      <w:r w:rsidR="00A832BB">
        <w:t xml:space="preserve">between programs, e.g. </w:t>
      </w:r>
      <w:r w:rsidR="006F57F7">
        <w:t xml:space="preserve">WIOA </w:t>
      </w:r>
      <w:r w:rsidR="00A832BB">
        <w:t xml:space="preserve">Adult and </w:t>
      </w:r>
      <w:r w:rsidR="005458E7">
        <w:t xml:space="preserve">WIOA </w:t>
      </w:r>
      <w:r>
        <w:t xml:space="preserve">Youth. </w:t>
      </w:r>
      <w:r w:rsidR="00C86E71">
        <w:t xml:space="preserve">The </w:t>
      </w:r>
      <w:r>
        <w:t>Youth Career Planners</w:t>
      </w:r>
      <w:r w:rsidRPr="00F31BFD">
        <w:t xml:space="preserve"> </w:t>
      </w:r>
      <w:r>
        <w:t>are also required to develop relationships with other</w:t>
      </w:r>
      <w:r w:rsidRPr="00F31BFD">
        <w:t xml:space="preserve"> agencies</w:t>
      </w:r>
      <w:r>
        <w:t xml:space="preserve"> such as </w:t>
      </w:r>
      <w:r w:rsidRPr="00F31BFD">
        <w:t>housing and service providers.</w:t>
      </w:r>
      <w:r>
        <w:t xml:space="preserve"> The Youth Career Planners</w:t>
      </w:r>
      <w:r w:rsidRPr="000F2D98">
        <w:t xml:space="preserve"> participate in the Continuum of Care</w:t>
      </w:r>
      <w:r>
        <w:rPr>
          <w:rStyle w:val="FootnoteReference"/>
        </w:rPr>
        <w:footnoteReference w:id="2"/>
      </w:r>
      <w:r w:rsidRPr="000F2D98">
        <w:t xml:space="preserve"> meetings which include housing providers, </w:t>
      </w:r>
      <w:r>
        <w:t xml:space="preserve">mental health </w:t>
      </w:r>
      <w:r w:rsidRPr="000F2D98">
        <w:t>service providers</w:t>
      </w:r>
      <w:r>
        <w:t xml:space="preserve">, schools and other organizations working to prevent and end homelessness. In these meetings, </w:t>
      </w:r>
      <w:r w:rsidR="005458E7">
        <w:t>attendees</w:t>
      </w:r>
      <w:r>
        <w:t xml:space="preserve"> share information about available resources and program eligibility requirements</w:t>
      </w:r>
      <w:r w:rsidR="005458E7">
        <w:t xml:space="preserve"> relevant to youth experiencing homelessness</w:t>
      </w:r>
      <w:r>
        <w:t>.</w:t>
      </w:r>
      <w:r w:rsidR="00C5625C">
        <w:t xml:space="preserve"> When possible, staff make referrals in person, accompanying the youth and introducing them to the appropriate person at another agency. When not possible </w:t>
      </w:r>
      <w:r w:rsidR="00035820">
        <w:t>to accompany the youth</w:t>
      </w:r>
      <w:r w:rsidR="00C5625C">
        <w:t>, staff make efforts to ensure the youth feels comfortable approaching the referral service.</w:t>
      </w:r>
    </w:p>
    <w:p w14:paraId="737E640A" w14:textId="3D331621" w:rsidR="00A832BB" w:rsidRDefault="00A832BB" w:rsidP="00A832BB">
      <w:r>
        <w:t>Transportation is a frequent barrier for youth across this large geographic area, so staff work to meet youth where they are, such as alternative learning centers or out in the community. They’ve found that flexibility in time and location for meetings fosters a deeper connection with youth participants and increases both the access to employment services as well as the comfort level for participants.</w:t>
      </w:r>
      <w:r w:rsidRPr="00F31BFD">
        <w:t xml:space="preserve"> </w:t>
      </w:r>
      <w:r>
        <w:t xml:space="preserve">When staff aren’t meeting face-to-face, which is time-intensive, they utilize various methods of youth-friendly </w:t>
      </w:r>
      <w:r w:rsidRPr="00F31BFD">
        <w:t xml:space="preserve">communication </w:t>
      </w:r>
      <w:r>
        <w:t xml:space="preserve">to keep in touch. One of the primary means is through Facebook and other social media sites. Text messages and email are also used, while phone calls are rare. Staff communicate frequently, on a daily or weekly basis initially. The Southeast region also utilizes a cohort model for youth programming, where a group of young adults share their experiences and learn from each other. This strategy has helped to improve consistent attendance and build value for participants. </w:t>
      </w:r>
    </w:p>
    <w:p w14:paraId="4F26F0B0" w14:textId="77777777" w:rsidR="00297555" w:rsidRDefault="00297555" w:rsidP="00297555">
      <w:pPr>
        <w:pStyle w:val="Heading2"/>
      </w:pPr>
      <w:r>
        <w:t>City of Minneapolis</w:t>
      </w:r>
    </w:p>
    <w:p w14:paraId="62E361D5" w14:textId="4F544129" w:rsidR="003A43F2" w:rsidRDefault="00297555" w:rsidP="003A43F2">
      <w:r>
        <w:t xml:space="preserve">The City of Minneapolis </w:t>
      </w:r>
      <w:r w:rsidR="003A43F2">
        <w:t xml:space="preserve">operates and </w:t>
      </w:r>
      <w:r>
        <w:t>funds a</w:t>
      </w:r>
      <w:r w:rsidR="009E38BC">
        <w:t xml:space="preserve"> variety of youth employment programs</w:t>
      </w:r>
      <w:r w:rsidR="00630D73">
        <w:t xml:space="preserve">: </w:t>
      </w:r>
      <w:r w:rsidR="003A43F2">
        <w:t>STEP-UP,</w:t>
      </w:r>
      <w:r w:rsidR="00630D73">
        <w:t xml:space="preserve"> </w:t>
      </w:r>
      <w:r w:rsidR="003A43F2">
        <w:t xml:space="preserve">Minneapolis Youth Works, </w:t>
      </w:r>
      <w:r w:rsidR="00630D73">
        <w:t>BUILD Leaders</w:t>
      </w:r>
      <w:r w:rsidR="003A43F2">
        <w:t>, and PEACE (Pathways to Emergency and Academy Career Experiences).</w:t>
      </w:r>
      <w:r w:rsidR="00AE50F6">
        <w:t xml:space="preserve"> </w:t>
      </w:r>
      <w:r w:rsidR="003A43F2">
        <w:t xml:space="preserve">Minneapolis Youth Works (funded via the </w:t>
      </w:r>
      <w:r w:rsidR="006F57F7">
        <w:t>WIOA)</w:t>
      </w:r>
      <w:r w:rsidR="003A43F2">
        <w:t xml:space="preserve">, sub-contracts with six non-profit service providers. During the past two years, providers have developed 91 paid internship placement sites in the community which are supported by one-on-one case management and an employment coach. </w:t>
      </w:r>
    </w:p>
    <w:p w14:paraId="48F64367" w14:textId="2A84AAE6" w:rsidR="00AE50F6" w:rsidRPr="003A43F2" w:rsidRDefault="005E5C8E" w:rsidP="00AE50F6">
      <w:pPr>
        <w:rPr>
          <w:i/>
        </w:rPr>
      </w:pPr>
      <w:r>
        <w:t xml:space="preserve">In addition to the variety of </w:t>
      </w:r>
      <w:r w:rsidR="003A43F2">
        <w:t>WIOA services available to Minneapolis Youth Works participants</w:t>
      </w:r>
      <w:r>
        <w:t xml:space="preserve">, </w:t>
      </w:r>
      <w:r w:rsidR="003A43F2">
        <w:t xml:space="preserve">service partners implement </w:t>
      </w:r>
      <w:r w:rsidR="00584C64">
        <w:t xml:space="preserve">a variety of </w:t>
      </w:r>
      <w:r w:rsidR="003A43F2">
        <w:t>strategies to remove barriers for youth who experience employment challenges</w:t>
      </w:r>
      <w:r w:rsidR="00630D73">
        <w:t>.</w:t>
      </w:r>
      <w:r w:rsidR="00297555">
        <w:t xml:space="preserve"> </w:t>
      </w:r>
      <w:r w:rsidR="00584C64">
        <w:t>One</w:t>
      </w:r>
      <w:r w:rsidR="003A43F2">
        <w:t xml:space="preserve"> example is issuing pay cards</w:t>
      </w:r>
      <w:r w:rsidR="00584C64">
        <w:t xml:space="preserve"> to WIOA interns</w:t>
      </w:r>
      <w:r w:rsidR="003A43F2">
        <w:t xml:space="preserve">, where youth get paid every week </w:t>
      </w:r>
      <w:r w:rsidR="00584C64">
        <w:t>and build</w:t>
      </w:r>
      <w:r w:rsidR="003A43F2">
        <w:t xml:space="preserve"> financial literacy</w:t>
      </w:r>
      <w:r w:rsidR="00584C64">
        <w:t xml:space="preserve"> skills</w:t>
      </w:r>
      <w:r w:rsidR="003A43F2">
        <w:t xml:space="preserve">. </w:t>
      </w:r>
    </w:p>
    <w:p w14:paraId="221B4A52" w14:textId="6C74EEF4" w:rsidR="003A43F2" w:rsidRDefault="00B200DA" w:rsidP="003A43F2">
      <w:r>
        <w:rPr>
          <w:noProof/>
        </w:rPr>
        <w:drawing>
          <wp:anchor distT="0" distB="0" distL="114300" distR="114300" simplePos="0" relativeHeight="251658240" behindDoc="1" locked="0" layoutInCell="1" allowOverlap="1" wp14:anchorId="4D10C614" wp14:editId="5BF24631">
            <wp:simplePos x="0" y="0"/>
            <wp:positionH relativeFrom="column">
              <wp:posOffset>1691640</wp:posOffset>
            </wp:positionH>
            <wp:positionV relativeFrom="paragraph">
              <wp:posOffset>277495</wp:posOffset>
            </wp:positionV>
            <wp:extent cx="4290060" cy="3276600"/>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0060" cy="3276600"/>
                    </a:xfrm>
                    <a:prstGeom prst="rect">
                      <a:avLst/>
                    </a:prstGeom>
                  </pic:spPr>
                </pic:pic>
              </a:graphicData>
            </a:graphic>
            <wp14:sizeRelH relativeFrom="page">
              <wp14:pctWidth>0</wp14:pctWidth>
            </wp14:sizeRelH>
            <wp14:sizeRelV relativeFrom="page">
              <wp14:pctHeight>0</wp14:pctHeight>
            </wp14:sizeRelV>
          </wp:anchor>
        </w:drawing>
      </w:r>
      <w:r w:rsidR="00297555">
        <w:t>In one especially unique endeavor,</w:t>
      </w:r>
      <w:r w:rsidR="004F49CD">
        <w:t xml:space="preserve"> </w:t>
      </w:r>
      <w:r w:rsidR="003A43F2">
        <w:t xml:space="preserve">the Minneapolis Youth Program Manager was selected </w:t>
      </w:r>
      <w:r w:rsidR="00584C64">
        <w:t xml:space="preserve">to lead the </w:t>
      </w:r>
      <w:r w:rsidR="003A43F2">
        <w:t xml:space="preserve">employment </w:t>
      </w:r>
      <w:r w:rsidR="00584C64">
        <w:t>goal</w:t>
      </w:r>
      <w:r w:rsidR="003A43F2">
        <w:t xml:space="preserve"> for the “Hennepin County 100-Day Challenge on Youth Homelessness”. Hennepin County is one of thirteen communities across the country to participate in 100-Day Challenges. Hennepin County and its local partners set a goal</w:t>
      </w:r>
      <w:r w:rsidR="003A43F2" w:rsidRPr="00B1083A">
        <w:t xml:space="preserve"> to safely and stably house 150 youth </w:t>
      </w:r>
      <w:r w:rsidR="003A43F2">
        <w:t>ages 16-24 and connect</w:t>
      </w:r>
      <w:r w:rsidR="003A43F2" w:rsidRPr="00B1083A">
        <w:t xml:space="preserve"> </w:t>
      </w:r>
      <w:r w:rsidR="003A43F2">
        <w:t>113 (75%) to</w:t>
      </w:r>
      <w:r w:rsidR="003A43F2" w:rsidRPr="00B1083A">
        <w:t xml:space="preserve"> </w:t>
      </w:r>
      <w:r w:rsidR="003A43F2">
        <w:t xml:space="preserve">employment; the first community in the nation to include an employment goal in their challenge. The </w:t>
      </w:r>
      <w:r w:rsidR="003A43F2" w:rsidRPr="006F57F7">
        <w:t>City of Minneapolis</w:t>
      </w:r>
      <w:r w:rsidR="003A43F2">
        <w:t xml:space="preserve"> Employment and Training prioritized Minneapolis Youth Works enrollments for youth experiencing homelessness.</w:t>
      </w:r>
    </w:p>
    <w:p w14:paraId="161B5B1D" w14:textId="2473A9EA" w:rsidR="0034613B" w:rsidRDefault="00584C64" w:rsidP="00B1083A">
      <w:r>
        <w:t>The Hennepin County 100-Day Challenge team consisted of young adults with experience</w:t>
      </w:r>
      <w:r w:rsidR="00356612">
        <w:t>s of homelessness</w:t>
      </w:r>
      <w:r>
        <w:t>, housing providers, ho</w:t>
      </w:r>
      <w:r w:rsidR="00B200DA">
        <w:t xml:space="preserve">meless service providers, city and </w:t>
      </w:r>
      <w:r>
        <w:t>county</w:t>
      </w:r>
      <w:r w:rsidR="00B200DA">
        <w:t xml:space="preserve"> staff</w:t>
      </w:r>
      <w:r>
        <w:t xml:space="preserve">, and employment and training providers. </w:t>
      </w:r>
      <w:r w:rsidR="00791687">
        <w:t xml:space="preserve">Together, </w:t>
      </w:r>
      <w:r w:rsidR="00791687" w:rsidRPr="003B6128">
        <w:t>they s</w:t>
      </w:r>
      <w:r w:rsidR="00F8024E" w:rsidRPr="003B6128">
        <w:t xml:space="preserve">et </w:t>
      </w:r>
      <w:r w:rsidR="001C20C8" w:rsidRPr="003B6128">
        <w:t xml:space="preserve">ambitious </w:t>
      </w:r>
      <w:r w:rsidR="00F8024E" w:rsidRPr="003B6128">
        <w:t>goals</w:t>
      </w:r>
      <w:r w:rsidR="00EB78C1" w:rsidRPr="003B6128">
        <w:t xml:space="preserve"> and </w:t>
      </w:r>
      <w:r w:rsidR="001C20C8" w:rsidRPr="003B6128">
        <w:t xml:space="preserve">developed a way to </w:t>
      </w:r>
      <w:r w:rsidR="00EB78C1" w:rsidRPr="003B6128">
        <w:t>track progress</w:t>
      </w:r>
      <w:r w:rsidR="001C20C8" w:rsidRPr="003B6128">
        <w:t xml:space="preserve"> between various housing and</w:t>
      </w:r>
      <w:r w:rsidR="001C20C8">
        <w:t xml:space="preserve"> employment programs</w:t>
      </w:r>
      <w:r w:rsidR="00F8024E">
        <w:t xml:space="preserve">. </w:t>
      </w:r>
      <w:r w:rsidR="001C20C8">
        <w:t xml:space="preserve">Through </w:t>
      </w:r>
      <w:r>
        <w:t>weekly</w:t>
      </w:r>
      <w:r w:rsidR="001C20C8">
        <w:t xml:space="preserve"> conversations, the group began to align the various systems and identified challenges or barriers within them. </w:t>
      </w:r>
      <w:r w:rsidR="00356612">
        <w:t>They engage</w:t>
      </w:r>
      <w:r w:rsidR="00791687">
        <w:t xml:space="preserve"> y</w:t>
      </w:r>
      <w:r w:rsidR="00B1083A" w:rsidRPr="00B1083A">
        <w:t xml:space="preserve">outh </w:t>
      </w:r>
      <w:r w:rsidR="00791687">
        <w:t xml:space="preserve">and young adults to ensure their </w:t>
      </w:r>
      <w:r w:rsidR="00B1083A" w:rsidRPr="00B1083A">
        <w:t>voice</w:t>
      </w:r>
      <w:r w:rsidR="00356612">
        <w:t>s</w:t>
      </w:r>
      <w:r w:rsidR="00B1083A" w:rsidRPr="00B1083A">
        <w:t xml:space="preserve"> </w:t>
      </w:r>
      <w:r w:rsidR="00356612">
        <w:t>are</w:t>
      </w:r>
      <w:r w:rsidR="00791687">
        <w:t xml:space="preserve"> included in the process</w:t>
      </w:r>
      <w:r w:rsidR="00356612">
        <w:t xml:space="preserve"> and also work</w:t>
      </w:r>
      <w:r w:rsidR="001C20C8">
        <w:t xml:space="preserve"> to reunite youth with their families, when appropriate</w:t>
      </w:r>
      <w:r w:rsidR="00791687">
        <w:t>.</w:t>
      </w:r>
      <w:r w:rsidR="00B1083A" w:rsidRPr="00B1083A">
        <w:t xml:space="preserve"> </w:t>
      </w:r>
    </w:p>
    <w:p w14:paraId="4F511D98" w14:textId="75B90994" w:rsidR="00297555" w:rsidRDefault="0034613B" w:rsidP="00297555">
      <w:pPr>
        <w:pStyle w:val="Heading2"/>
      </w:pPr>
      <w:r>
        <w:t>Anoka</w:t>
      </w:r>
      <w:r w:rsidR="00297555">
        <w:t xml:space="preserve"> County</w:t>
      </w:r>
    </w:p>
    <w:p w14:paraId="42893182" w14:textId="50237BB0" w:rsidR="00356612" w:rsidRDefault="00356612" w:rsidP="00356612">
      <w:r>
        <w:t xml:space="preserve">Several years ago, there were few resources in Anoka County for young people experiencing homelessness, despite a growing need. In response to this, Brian Swanson founded an organization called HOPE 4 Youth and gathered diverse stakeholders to hold collaborative conversations about how to address the needs of homeless youth in the community. The Anoka County </w:t>
      </w:r>
      <w:proofErr w:type="spellStart"/>
      <w:r>
        <w:t>WorkForce</w:t>
      </w:r>
      <w:proofErr w:type="spellEnd"/>
      <w:r>
        <w:t xml:space="preserve"> Center participated in these early conversations and now provides an on-site part-time staff to offer employment and education services for the youth at the Drop-In Center located in Anoka and at their transitional housing located in Coon Rapids, HOPE Place. This partnership has helped more youth finish their educational goals, find internships and jobs, and move forward on their career, all of which are vital for the youth to secure housing and move forward with </w:t>
      </w:r>
      <w:r w:rsidR="00517BF7">
        <w:t xml:space="preserve">stability in </w:t>
      </w:r>
      <w:r>
        <w:t>their lives.</w:t>
      </w:r>
    </w:p>
    <w:p w14:paraId="23628ECD" w14:textId="2ACEB50F" w:rsidR="00EB23B2" w:rsidRDefault="00716905" w:rsidP="004B72CA">
      <w:r>
        <w:t>A</w:t>
      </w:r>
      <w:r w:rsidR="004B72CA">
        <w:t xml:space="preserve">nother unique opportunity for </w:t>
      </w:r>
      <w:r w:rsidR="00693A72">
        <w:t xml:space="preserve">co-locating </w:t>
      </w:r>
      <w:r w:rsidR="00EB23B2">
        <w:t>y</w:t>
      </w:r>
      <w:r w:rsidR="004B72CA">
        <w:t xml:space="preserve">outh employment services </w:t>
      </w:r>
      <w:r w:rsidR="00084767">
        <w:t xml:space="preserve">occurred </w:t>
      </w:r>
      <w:r w:rsidR="004B72CA">
        <w:t xml:space="preserve">when </w:t>
      </w:r>
      <w:r>
        <w:t xml:space="preserve">Anoka County designed a service hub </w:t>
      </w:r>
      <w:r w:rsidR="00693A72">
        <w:t xml:space="preserve">in the 1990’s </w:t>
      </w:r>
      <w:r>
        <w:t xml:space="preserve">– a “one-stop shop” for all county services that someone might need, such as daycare assistance, Adult Basic Education, Vocational Rehab Services, services for seniors, legal assistance, financial assistance, food assistance, </w:t>
      </w:r>
      <w:r w:rsidR="00693A72">
        <w:t xml:space="preserve">and </w:t>
      </w:r>
      <w:r>
        <w:t xml:space="preserve">health care. </w:t>
      </w:r>
      <w:r w:rsidR="007334B6">
        <w:t xml:space="preserve">Now, federal policy requires collaboration </w:t>
      </w:r>
      <w:r w:rsidR="00356612">
        <w:t>among</w:t>
      </w:r>
      <w:r w:rsidR="007334B6">
        <w:t xml:space="preserve"> </w:t>
      </w:r>
      <w:r w:rsidR="00693A72">
        <w:t xml:space="preserve">WIOA </w:t>
      </w:r>
      <w:r w:rsidR="007334B6">
        <w:t xml:space="preserve">programs and Anoka County </w:t>
      </w:r>
      <w:r w:rsidR="00693A72">
        <w:t>Youth staff take</w:t>
      </w:r>
      <w:r w:rsidR="007334B6">
        <w:t xml:space="preserve"> advantage of co-located services by scheduling regular meetings </w:t>
      </w:r>
      <w:r w:rsidR="00356612">
        <w:t>with</w:t>
      </w:r>
      <w:r w:rsidR="007334B6">
        <w:t xml:space="preserve"> </w:t>
      </w:r>
      <w:r w:rsidR="00356612">
        <w:t>other departments</w:t>
      </w:r>
      <w:r w:rsidR="007334B6">
        <w:t xml:space="preserve">. A shared front desk reduces expenses and provides a streamlined point of access. </w:t>
      </w:r>
      <w:r w:rsidR="00EB23B2">
        <w:t>County employees</w:t>
      </w:r>
      <w:r w:rsidR="007334B6">
        <w:t xml:space="preserve"> recognize that the</w:t>
      </w:r>
      <w:r w:rsidR="00EB23B2">
        <w:t xml:space="preserve"> services they provide </w:t>
      </w:r>
      <w:r w:rsidR="007334B6">
        <w:t xml:space="preserve">serve </w:t>
      </w:r>
      <w:r w:rsidR="00084767">
        <w:t>many of the same client</w:t>
      </w:r>
      <w:r w:rsidR="001C3831">
        <w:t xml:space="preserve">s. In order to best serve their clients, </w:t>
      </w:r>
      <w:r w:rsidR="009C5000">
        <w:t xml:space="preserve">staff </w:t>
      </w:r>
      <w:r w:rsidR="001C3831">
        <w:t>work together</w:t>
      </w:r>
      <w:r w:rsidR="007334B6">
        <w:t xml:space="preserve"> to provide effective person-centered services. </w:t>
      </w:r>
    </w:p>
    <w:p w14:paraId="26597193" w14:textId="37E4636C" w:rsidR="007E2C5A" w:rsidRDefault="00EB23B2" w:rsidP="00EB23B2">
      <w:r>
        <w:t>In youth programming, a</w:t>
      </w:r>
      <w:r w:rsidR="007334B6">
        <w:t xml:space="preserve"> </w:t>
      </w:r>
      <w:r w:rsidR="0062387C">
        <w:t>job counselor</w:t>
      </w:r>
      <w:r w:rsidR="007334B6">
        <w:t xml:space="preserve"> helps the </w:t>
      </w:r>
      <w:r>
        <w:t>participant</w:t>
      </w:r>
      <w:r w:rsidR="007334B6">
        <w:t xml:space="preserve"> to </w:t>
      </w:r>
      <w:r w:rsidR="0062387C">
        <w:t xml:space="preserve">develop and </w:t>
      </w:r>
      <w:r w:rsidR="007334B6">
        <w:t xml:space="preserve">implement the individual employment plan and </w:t>
      </w:r>
      <w:r w:rsidR="0062387C">
        <w:t>coordinates</w:t>
      </w:r>
      <w:r w:rsidR="007334B6">
        <w:t xml:space="preserve"> access</w:t>
      </w:r>
      <w:r w:rsidR="0062387C">
        <w:t xml:space="preserve"> to</w:t>
      </w:r>
      <w:r w:rsidR="007334B6">
        <w:t xml:space="preserve"> other services. </w:t>
      </w:r>
      <w:r w:rsidR="004D568E">
        <w:t xml:space="preserve">Youth counselors </w:t>
      </w:r>
      <w:r>
        <w:t xml:space="preserve">may </w:t>
      </w:r>
      <w:r w:rsidR="004D568E">
        <w:t xml:space="preserve">use support services to pay for clothing for job interviews and help with transportation to the store and </w:t>
      </w:r>
      <w:r w:rsidR="00356612">
        <w:t>to the interview. Staff act as</w:t>
      </w:r>
      <w:r w:rsidR="004D568E">
        <w:t xml:space="preserve"> mentor</w:t>
      </w:r>
      <w:r w:rsidR="00356612">
        <w:t>s</w:t>
      </w:r>
      <w:r w:rsidR="004D568E">
        <w:t xml:space="preserve"> and work to develop meaningful relationships with young adults. </w:t>
      </w:r>
      <w:r w:rsidR="0062387C">
        <w:t xml:space="preserve">Industry-specific specialized career pathway options in high-wage high-demand occupations are </w:t>
      </w:r>
      <w:r w:rsidR="00631C6C">
        <w:t>offered</w:t>
      </w:r>
      <w:r w:rsidR="0062387C">
        <w:t xml:space="preserve"> to young people. </w:t>
      </w:r>
      <w:r w:rsidR="00631C6C">
        <w:t>If a young adult</w:t>
      </w:r>
      <w:r w:rsidR="00C65E82">
        <w:t xml:space="preserve"> decides to pursue a specialized career pathway option, they are assigned a</w:t>
      </w:r>
      <w:r w:rsidR="0062387C">
        <w:t xml:space="preserve"> navigator to assist </w:t>
      </w:r>
      <w:r w:rsidR="00C65E82">
        <w:t xml:space="preserve">them and </w:t>
      </w:r>
      <w:r w:rsidR="0062387C">
        <w:t>provid</w:t>
      </w:r>
      <w:r w:rsidR="00C65E82">
        <w:t>e</w:t>
      </w:r>
      <w:r w:rsidR="0062387C">
        <w:t xml:space="preserve"> even more individualized assistance. </w:t>
      </w:r>
    </w:p>
    <w:p w14:paraId="50EA7412" w14:textId="22EAD8C0" w:rsidR="00297555" w:rsidRDefault="00063D83" w:rsidP="00297555">
      <w:pPr>
        <w:pStyle w:val="Heading2"/>
      </w:pPr>
      <w:r>
        <w:t>Key Strategies and Common Themes</w:t>
      </w:r>
    </w:p>
    <w:p w14:paraId="05440A39" w14:textId="452359AA" w:rsidR="008D0AE4" w:rsidRDefault="000F2D98" w:rsidP="007E2C5A">
      <w:r>
        <w:t>Across all three areas,</w:t>
      </w:r>
      <w:r w:rsidR="008D0AE4">
        <w:t xml:space="preserve"> several common themes emerged. Key strategies </w:t>
      </w:r>
      <w:r w:rsidR="00A077EF">
        <w:t>include</w:t>
      </w:r>
      <w:r w:rsidR="008D0AE4">
        <w:t xml:space="preserve">: </w:t>
      </w:r>
    </w:p>
    <w:p w14:paraId="505F833F" w14:textId="40FB1213" w:rsidR="000C3953" w:rsidRDefault="001D5120" w:rsidP="00063D83">
      <w:r w:rsidRPr="00063D83">
        <w:rPr>
          <w:b/>
        </w:rPr>
        <w:t xml:space="preserve">Collaboration with </w:t>
      </w:r>
      <w:r w:rsidR="00F31BFD" w:rsidRPr="00063D83">
        <w:rPr>
          <w:b/>
        </w:rPr>
        <w:t xml:space="preserve">other programs and </w:t>
      </w:r>
      <w:r w:rsidRPr="00063D83">
        <w:rPr>
          <w:b/>
        </w:rPr>
        <w:t>agencies</w:t>
      </w:r>
      <w:r w:rsidR="00C40DD4" w:rsidRPr="00063D83">
        <w:rPr>
          <w:b/>
        </w:rPr>
        <w:t>:</w:t>
      </w:r>
      <w:r w:rsidR="00C40DD4">
        <w:t xml:space="preserve"> </w:t>
      </w:r>
      <w:r w:rsidR="000C3953">
        <w:t xml:space="preserve">Connections with other organizations allow youth employment programs to make referrals and </w:t>
      </w:r>
      <w:r w:rsidR="00C40DD4">
        <w:t xml:space="preserve">gain referrals. </w:t>
      </w:r>
      <w:r w:rsidR="003164FD">
        <w:t xml:space="preserve">Collaboration opens up doors, improves outreach, </w:t>
      </w:r>
      <w:r w:rsidR="000C3953">
        <w:t>reduces systemic barriers, and creates</w:t>
      </w:r>
      <w:r w:rsidR="003164FD">
        <w:t xml:space="preserve"> </w:t>
      </w:r>
      <w:r w:rsidR="00670842">
        <w:t xml:space="preserve">access to </w:t>
      </w:r>
      <w:r w:rsidR="002E23BA">
        <w:t xml:space="preserve">new </w:t>
      </w:r>
      <w:r w:rsidR="00670842">
        <w:t>services.</w:t>
      </w:r>
      <w:r>
        <w:t xml:space="preserve"> </w:t>
      </w:r>
      <w:r w:rsidR="000C3953">
        <w:t>All three areas w</w:t>
      </w:r>
      <w:r w:rsidR="00E75A96">
        <w:t xml:space="preserve">ork with </w:t>
      </w:r>
      <w:r w:rsidR="003F649F">
        <w:t>young adults who are aging out of</w:t>
      </w:r>
      <w:r w:rsidR="00E75A96">
        <w:t xml:space="preserve"> foster care</w:t>
      </w:r>
      <w:r w:rsidR="000C3953">
        <w:t xml:space="preserve"> or involved with</w:t>
      </w:r>
      <w:r w:rsidR="003F649F">
        <w:t xml:space="preserve"> </w:t>
      </w:r>
      <w:r w:rsidR="00E75A96">
        <w:t xml:space="preserve">juvenile </w:t>
      </w:r>
      <w:r w:rsidR="000C3953">
        <w:t>justice</w:t>
      </w:r>
      <w:r w:rsidR="00E75A96">
        <w:t xml:space="preserve">. </w:t>
      </w:r>
      <w:r w:rsidR="00670842">
        <w:t xml:space="preserve">In Anoka, counselors coordinate with juvenile justice </w:t>
      </w:r>
      <w:r w:rsidR="000C3953">
        <w:t xml:space="preserve">officers </w:t>
      </w:r>
      <w:r w:rsidR="00670842">
        <w:t xml:space="preserve">in order to not duplicate efforts </w:t>
      </w:r>
      <w:r w:rsidR="000C3953">
        <w:t>or</w:t>
      </w:r>
      <w:r w:rsidR="00670842">
        <w:t xml:space="preserve"> requirements</w:t>
      </w:r>
      <w:r w:rsidR="000C3953">
        <w:t>.</w:t>
      </w:r>
      <w:r w:rsidR="00670842">
        <w:t xml:space="preserve"> </w:t>
      </w:r>
      <w:r w:rsidR="000C3953">
        <w:t>Staff co-locate on-</w:t>
      </w:r>
      <w:r w:rsidR="00670842">
        <w:t xml:space="preserve">site at the Lino Lakes juvenile facility to assist with release planning. </w:t>
      </w:r>
      <w:r w:rsidR="002E23BA">
        <w:t>In all three areas</w:t>
      </w:r>
      <w:r w:rsidR="000C3953">
        <w:t xml:space="preserve">, </w:t>
      </w:r>
      <w:r w:rsidR="002E23BA">
        <w:t xml:space="preserve">job counselors are regularly providing services </w:t>
      </w:r>
      <w:r w:rsidR="000C3953">
        <w:t xml:space="preserve">on-site at </w:t>
      </w:r>
      <w:r w:rsidR="002E23BA">
        <w:t xml:space="preserve">various locations like </w:t>
      </w:r>
      <w:r w:rsidR="000C3953">
        <w:t xml:space="preserve">youth drop-in centers, supportive housing, community colleges and alternative high schools. </w:t>
      </w:r>
    </w:p>
    <w:p w14:paraId="5F04B1D9" w14:textId="59F90C24" w:rsidR="00E75A96" w:rsidRDefault="000C3953" w:rsidP="00063D83">
      <w:r>
        <w:t>In order to facilitate collaboration, all three areas request</w:t>
      </w:r>
      <w:r w:rsidR="00E75A96">
        <w:t xml:space="preserve"> that participants sign a release of information so that job counselors can share appropriate information with other agencies and vice versa. </w:t>
      </w:r>
      <w:r w:rsidR="001C20C8">
        <w:t xml:space="preserve">Team case conferencing across areas and programs results in more effective services and better outcomes. </w:t>
      </w:r>
      <w:r>
        <w:t>It is also important to k</w:t>
      </w:r>
      <w:r w:rsidR="00566E5D">
        <w:t xml:space="preserve">eep staff well-informed and connected with each other. </w:t>
      </w:r>
      <w:r w:rsidR="00E14DA7">
        <w:t>Local areas spoke about the v</w:t>
      </w:r>
      <w:r w:rsidR="00566E5D">
        <w:t xml:space="preserve">alue </w:t>
      </w:r>
      <w:r w:rsidR="00E14DA7">
        <w:t xml:space="preserve">of providing training to direct service </w:t>
      </w:r>
      <w:r w:rsidR="00566E5D">
        <w:t xml:space="preserve">staff, </w:t>
      </w:r>
      <w:r w:rsidR="00E14DA7">
        <w:t xml:space="preserve">encouraging </w:t>
      </w:r>
      <w:r w:rsidR="00566E5D">
        <w:t>innovative practices and staff r</w:t>
      </w:r>
      <w:r w:rsidR="00E14DA7">
        <w:t>etention.</w:t>
      </w:r>
      <w:r w:rsidR="002A35DD">
        <w:t xml:space="preserve"> </w:t>
      </w:r>
      <w:r w:rsidR="00E14DA7">
        <w:t>They c</w:t>
      </w:r>
      <w:r w:rsidR="00063D83">
        <w:t xml:space="preserve">reate opportunities to develop and strengthen relationships between job counselors and other service providers </w:t>
      </w:r>
      <w:r w:rsidR="00E14DA7">
        <w:t xml:space="preserve">in order </w:t>
      </w:r>
      <w:r w:rsidR="00063D83">
        <w:t xml:space="preserve">to share </w:t>
      </w:r>
      <w:r w:rsidR="00E14DA7">
        <w:t xml:space="preserve">knowledge and </w:t>
      </w:r>
      <w:r w:rsidR="00063D83">
        <w:t xml:space="preserve">resources and build community. </w:t>
      </w:r>
      <w:r w:rsidR="00E14DA7">
        <w:t>Many r</w:t>
      </w:r>
      <w:r w:rsidR="00063D83">
        <w:t xml:space="preserve">ely on front-line staff to inform policy decisions around goals and </w:t>
      </w:r>
      <w:r w:rsidR="00E14DA7">
        <w:t xml:space="preserve">the </w:t>
      </w:r>
      <w:r w:rsidR="00063D83">
        <w:t xml:space="preserve">actions needed to achieve them. </w:t>
      </w:r>
    </w:p>
    <w:p w14:paraId="5227BE8D" w14:textId="178DD0BE" w:rsidR="009C0CC8" w:rsidRDefault="00C40DD4" w:rsidP="00063D83">
      <w:r w:rsidRPr="00063D83">
        <w:rPr>
          <w:b/>
        </w:rPr>
        <w:t>B</w:t>
      </w:r>
      <w:r w:rsidR="001D5120" w:rsidRPr="00063D83">
        <w:rPr>
          <w:b/>
        </w:rPr>
        <w:t xml:space="preserve">uilding </w:t>
      </w:r>
      <w:r w:rsidR="00063D83" w:rsidRPr="00063D83">
        <w:rPr>
          <w:b/>
        </w:rPr>
        <w:t>relationships with young adults</w:t>
      </w:r>
      <w:r w:rsidR="00063D83">
        <w:t xml:space="preserve">: </w:t>
      </w:r>
      <w:r w:rsidR="00C11DFF">
        <w:t xml:space="preserve">Engagement with </w:t>
      </w:r>
      <w:r w:rsidR="005355B8">
        <w:t xml:space="preserve">all </w:t>
      </w:r>
      <w:r w:rsidR="00C11DFF">
        <w:t xml:space="preserve">young adults starts with an employment and training assessment, which identifies a variety of needs. Youth </w:t>
      </w:r>
      <w:r w:rsidR="005355B8">
        <w:t xml:space="preserve">experiencing homelessness </w:t>
      </w:r>
      <w:r w:rsidR="00C11DFF">
        <w:t>often p</w:t>
      </w:r>
      <w:r w:rsidR="00517BF7">
        <w:t>rioritize a focus on stability, in particular housing and transportation,</w:t>
      </w:r>
      <w:r w:rsidR="00C11DFF">
        <w:t xml:space="preserve"> while starting to plan their employment and training goals. Job counselors guide holistic conversations with participants, and work to be a </w:t>
      </w:r>
      <w:r w:rsidR="00EA4F68">
        <w:t>mentor or</w:t>
      </w:r>
      <w:r w:rsidR="00C11DFF">
        <w:t xml:space="preserve"> build a “family-like” relationship. </w:t>
      </w:r>
      <w:r w:rsidR="00EA4F68">
        <w:t>Staff have flexible scheduling for appointments outside of typical business hours or offer services at various sites where young adults already are</w:t>
      </w:r>
      <w:r w:rsidR="00931BB2">
        <w:t>, so that travel is less of a barrier</w:t>
      </w:r>
      <w:r w:rsidR="00EA4F68">
        <w:t>. Job counselors recognize and appreciate the skills young adults bring while working to help them develop other job-readiness skills. Building</w:t>
      </w:r>
      <w:r w:rsidR="00670842">
        <w:t xml:space="preserve"> strong connection</w:t>
      </w:r>
      <w:r w:rsidR="00EA4F68">
        <w:t>s</w:t>
      </w:r>
      <w:r w:rsidR="00670842">
        <w:t xml:space="preserve"> with youth increases their participation and likelihood of returning for employment and training services as well as referrals to other services. </w:t>
      </w:r>
    </w:p>
    <w:p w14:paraId="1A9DAB1C" w14:textId="685FAB67" w:rsidR="00B61B98" w:rsidRDefault="009259A5" w:rsidP="00063D83">
      <w:r w:rsidRPr="00063D83">
        <w:rPr>
          <w:b/>
        </w:rPr>
        <w:t>Assist with the process of gathering required verifications or documentation.</w:t>
      </w:r>
      <w:r w:rsidR="00434B18">
        <w:t xml:space="preserve"> </w:t>
      </w:r>
      <w:r w:rsidR="00931BB2">
        <w:t xml:space="preserve">Different youth employment programs have different requirements, with the WIOA Youth program </w:t>
      </w:r>
      <w:r w:rsidR="00631C6C">
        <w:t xml:space="preserve">requiring </w:t>
      </w:r>
      <w:r w:rsidR="00931BB2">
        <w:t>documentation</w:t>
      </w:r>
      <w:r w:rsidR="00631C6C">
        <w:t xml:space="preserve"> such as a birth certificate or social security card</w:t>
      </w:r>
      <w:r w:rsidR="00931BB2">
        <w:t xml:space="preserve">. </w:t>
      </w:r>
      <w:r w:rsidR="00434B18">
        <w:t>This wa</w:t>
      </w:r>
      <w:r>
        <w:t xml:space="preserve">s cited as a barrier </w:t>
      </w:r>
      <w:r w:rsidR="00931BB2">
        <w:t xml:space="preserve">for young adults experiencing homelessness </w:t>
      </w:r>
      <w:r>
        <w:t xml:space="preserve">to gain access to the WIOA program. </w:t>
      </w:r>
      <w:r w:rsidR="00931BB2">
        <w:t>Across the state, y</w:t>
      </w:r>
      <w:r>
        <w:t xml:space="preserve">outh program </w:t>
      </w:r>
      <w:r w:rsidR="00931BB2">
        <w:t>managers</w:t>
      </w:r>
      <w:r>
        <w:t xml:space="preserve"> braid various funding sources, some with less restrictive documentation requirements in order to assist young adults on </w:t>
      </w:r>
      <w:r w:rsidR="00E71D80">
        <w:t>the</w:t>
      </w:r>
      <w:r w:rsidR="007005CF">
        <w:t>ir</w:t>
      </w:r>
      <w:r w:rsidR="00E71D80">
        <w:t xml:space="preserve"> first day</w:t>
      </w:r>
      <w:r>
        <w:t xml:space="preserve">. </w:t>
      </w:r>
      <w:r w:rsidR="00931BB2">
        <w:t xml:space="preserve">For example, the </w:t>
      </w:r>
      <w:r w:rsidR="005F01D2">
        <w:t xml:space="preserve">Minnesota Youth Program has a set-aside of funding for outreach to schools. </w:t>
      </w:r>
      <w:r>
        <w:t>Job counselors</w:t>
      </w:r>
      <w:r w:rsidR="00931BB2">
        <w:t xml:space="preserve"> also</w:t>
      </w:r>
      <w:r>
        <w:t xml:space="preserve"> assist youth with paperwork to apply for other services and gathering required verifications and documents. </w:t>
      </w:r>
    </w:p>
    <w:p w14:paraId="2DBA0FAA" w14:textId="6A7E4E74" w:rsidR="00530D14" w:rsidRDefault="006B145C" w:rsidP="00063D83">
      <w:r w:rsidRPr="00063D83">
        <w:rPr>
          <w:b/>
        </w:rPr>
        <w:t>Multiple methods of communication:</w:t>
      </w:r>
      <w:r>
        <w:t xml:space="preserve"> </w:t>
      </w:r>
      <w:r w:rsidR="00CA0902">
        <w:t>Across the state, youth employment programs work to engage and serve youth where they are, both in physical location and methods of communication.</w:t>
      </w:r>
      <w:r>
        <w:t xml:space="preserve"> Cohort model</w:t>
      </w:r>
      <w:r w:rsidR="00CA0902">
        <w:t>s of service delivery build</w:t>
      </w:r>
      <w:r>
        <w:t xml:space="preserve"> a team </w:t>
      </w:r>
      <w:r w:rsidR="00CA0902">
        <w:t>of young adults who share</w:t>
      </w:r>
      <w:r>
        <w:t xml:space="preserve"> experiences and learn from each other. </w:t>
      </w:r>
    </w:p>
    <w:p w14:paraId="5901B51A" w14:textId="77777777" w:rsidR="00F31BFD" w:rsidRDefault="00F31BFD" w:rsidP="00F31BFD">
      <w:pPr>
        <w:pStyle w:val="Heading2"/>
      </w:pPr>
      <w:r>
        <w:t>Conclusion</w:t>
      </w:r>
    </w:p>
    <w:p w14:paraId="0CAA046B" w14:textId="393F86FA" w:rsidR="00A077EF" w:rsidRDefault="00EB23B2" w:rsidP="00AC5EEF">
      <w:r>
        <w:t xml:space="preserve">For youth employment programs, </w:t>
      </w:r>
      <w:r w:rsidR="000B2D45">
        <w:t xml:space="preserve">oftentimes </w:t>
      </w:r>
      <w:r>
        <w:t>s</w:t>
      </w:r>
      <w:r w:rsidR="00670842">
        <w:t xml:space="preserve">uccess is not </w:t>
      </w:r>
      <w:r w:rsidR="000B2D45">
        <w:t xml:space="preserve">the immediate </w:t>
      </w:r>
      <w:r w:rsidR="00A077EF">
        <w:t xml:space="preserve">connection to </w:t>
      </w:r>
      <w:r w:rsidR="00670842">
        <w:t xml:space="preserve">a job. </w:t>
      </w:r>
      <w:r w:rsidR="00B0604C">
        <w:t xml:space="preserve">A </w:t>
      </w:r>
      <w:r w:rsidR="00670842">
        <w:t xml:space="preserve">job may be </w:t>
      </w:r>
      <w:r w:rsidR="00B0604C">
        <w:t>well into</w:t>
      </w:r>
      <w:r w:rsidR="00670842">
        <w:t xml:space="preserve"> the future for </w:t>
      </w:r>
      <w:r w:rsidR="00A077EF">
        <w:t xml:space="preserve">most </w:t>
      </w:r>
      <w:r w:rsidR="00670842">
        <w:t>youth program participants</w:t>
      </w:r>
      <w:r w:rsidR="000B2D45">
        <w:t xml:space="preserve"> as they work to finish high school </w:t>
      </w:r>
      <w:r w:rsidR="007005CF">
        <w:t xml:space="preserve">or GED </w:t>
      </w:r>
      <w:r w:rsidR="000B2D45">
        <w:t>and develop other job-readiness skills</w:t>
      </w:r>
      <w:r w:rsidR="00670842">
        <w:t xml:space="preserve">. In the short term, stability, safety and working to get on a path toward a future career is the </w:t>
      </w:r>
      <w:r>
        <w:t>definition of success</w:t>
      </w:r>
      <w:r w:rsidR="000B2D45">
        <w:t xml:space="preserve"> for those youth who are experiencing homelessness</w:t>
      </w:r>
      <w:r w:rsidR="00670842">
        <w:t xml:space="preserve">. </w:t>
      </w:r>
      <w:r>
        <w:t>Staff join participants in celebrating small successes, critical steps and notable achievements. Another sign of success is that y</w:t>
      </w:r>
      <w:r w:rsidR="00566E5D">
        <w:t xml:space="preserve">oung adults and youth </w:t>
      </w:r>
      <w:r>
        <w:t xml:space="preserve">often </w:t>
      </w:r>
      <w:r w:rsidR="00566E5D">
        <w:t xml:space="preserve">refer </w:t>
      </w:r>
      <w:r>
        <w:t>their friends, or other youth, as well as r</w:t>
      </w:r>
      <w:r w:rsidR="00566E5D">
        <w:t>eturn for additional services</w:t>
      </w:r>
      <w:r>
        <w:t xml:space="preserve"> themselves</w:t>
      </w:r>
      <w:r w:rsidR="00566E5D">
        <w:t xml:space="preserve">. </w:t>
      </w:r>
      <w:r w:rsidR="00B0604C">
        <w:t>The longer that youth are enrolled</w:t>
      </w:r>
      <w:r w:rsidR="00CA0902">
        <w:t xml:space="preserve"> in employment services</w:t>
      </w:r>
      <w:r w:rsidR="00B0604C">
        <w:t xml:space="preserve">, the more success they are likely to see. </w:t>
      </w:r>
      <w:r w:rsidR="00CA0902">
        <w:t xml:space="preserve">Housing resources for young adults continue to be in demand and short supply. </w:t>
      </w:r>
    </w:p>
    <w:p w14:paraId="71783211" w14:textId="2B25B508" w:rsidR="00A077EF" w:rsidRDefault="00A077EF" w:rsidP="00A077EF">
      <w:pPr>
        <w:pStyle w:val="Heading2"/>
      </w:pPr>
      <w:r>
        <w:t>Additional Resources</w:t>
      </w:r>
    </w:p>
    <w:p w14:paraId="5ABE4E03" w14:textId="77777777" w:rsidR="00AF2673" w:rsidRDefault="00AF2673" w:rsidP="00AF2673">
      <w:r>
        <w:rPr>
          <w:rFonts w:ascii="Calibri" w:hAnsi="Calibri"/>
        </w:rPr>
        <w:t>Housing Benefits 101 (</w:t>
      </w:r>
      <w:hyperlink r:id="rId11" w:history="1">
        <w:r>
          <w:rPr>
            <w:rStyle w:val="Hyperlink"/>
            <w:rFonts w:ascii="Calibri" w:hAnsi="Calibri"/>
          </w:rPr>
          <w:t>www.hb101.org</w:t>
        </w:r>
      </w:hyperlink>
      <w:r>
        <w:rPr>
          <w:rFonts w:ascii="Calibri" w:hAnsi="Calibri"/>
        </w:rPr>
        <w:t>) is a free website created by the Department of Human Services where people with disabilities can learn more about housing services and programs to help make informed decisions. It can help people explore goals related to housing and create a plan to help work towards achieving these goals. Disability Benefits 101 (</w:t>
      </w:r>
      <w:hyperlink r:id="rId12" w:history="1">
        <w:r>
          <w:rPr>
            <w:rStyle w:val="Hyperlink"/>
            <w:rFonts w:ascii="Calibri" w:hAnsi="Calibri"/>
          </w:rPr>
          <w:t>www.db101.org</w:t>
        </w:r>
      </w:hyperlink>
      <w:r>
        <w:rPr>
          <w:rFonts w:ascii="Calibri" w:hAnsi="Calibri"/>
        </w:rPr>
        <w:t xml:space="preserve">) is a free website that helps people with disabilities understand how work impacts their disability benefits. These sites do this through robust content on disability and housing benefits and programs, interactive tools that show the impact of housing and work on benefits, short videos clearly explaining benefit programs, and the secure vault which allows a person to store information, share information with people helping them, and explore goals and plans through individualized paths and activities. </w:t>
      </w:r>
    </w:p>
    <w:p w14:paraId="318D939E" w14:textId="07932BDD" w:rsidR="00671AF8" w:rsidRDefault="00671AF8" w:rsidP="00AC5EEF">
      <w:r>
        <w:t xml:space="preserve">The Minnesota Interagency Council on Homelessness is comprised of eleven State agencies, the </w:t>
      </w:r>
      <w:r w:rsidRPr="00A077EF">
        <w:t xml:space="preserve">Metropolitan Council and the Governor’s Office and is accountable for leading </w:t>
      </w:r>
      <w:r w:rsidR="00A077EF" w:rsidRPr="00A077EF">
        <w:t>the State’s efforts to achieve housing s</w:t>
      </w:r>
      <w:r w:rsidRPr="00A077EF">
        <w:t xml:space="preserve">tability for all Minnesotans. </w:t>
      </w:r>
      <w:r w:rsidR="00AC5EEF" w:rsidRPr="00A077EF">
        <w:t xml:space="preserve">The Council has recently published a new plan, </w:t>
      </w:r>
      <w:hyperlink r:id="rId13" w:tgtFrame="_blank" w:tooltip="Heading Home Together: Minnesota’s 2018-2020 Action Plan to Prevent and End Homelessness" w:history="1">
        <w:r w:rsidR="00AC5EEF" w:rsidRPr="003B4248">
          <w:rPr>
            <w:rStyle w:val="Hyperlink"/>
            <w:rFonts w:cs="Helvetica"/>
            <w:color w:val="003865"/>
            <w:shd w:val="clear" w:color="auto" w:fill="FFFFFF"/>
          </w:rPr>
          <w:t xml:space="preserve">Heading Home Together: Minnesota’s 2018-2020 Action Plan to </w:t>
        </w:r>
        <w:proofErr w:type="gramStart"/>
        <w:r w:rsidR="00AC5EEF" w:rsidRPr="003B4248">
          <w:rPr>
            <w:rStyle w:val="Hyperlink"/>
            <w:rFonts w:cs="Helvetica"/>
            <w:color w:val="003865"/>
            <w:shd w:val="clear" w:color="auto" w:fill="FFFFFF"/>
          </w:rPr>
          <w:t>Prevent</w:t>
        </w:r>
        <w:proofErr w:type="gramEnd"/>
        <w:r w:rsidR="00AC5EEF" w:rsidRPr="003B4248">
          <w:rPr>
            <w:rStyle w:val="Hyperlink"/>
            <w:rFonts w:cs="Helvetica"/>
            <w:color w:val="003865"/>
            <w:shd w:val="clear" w:color="auto" w:fill="FFFFFF"/>
          </w:rPr>
          <w:t xml:space="preserve"> and End Homelessness</w:t>
        </w:r>
      </w:hyperlink>
      <w:r w:rsidR="00AC5EEF" w:rsidRPr="003B4248">
        <w:rPr>
          <w:rStyle w:val="Hyperlink"/>
          <w:rFonts w:cs="Helvetica"/>
          <w:color w:val="003865"/>
          <w:sz w:val="20"/>
          <w:szCs w:val="20"/>
          <w:shd w:val="clear" w:color="auto" w:fill="FFFFFF"/>
        </w:rPr>
        <w:t>.</w:t>
      </w:r>
      <w:r w:rsidR="00AC5EEF" w:rsidRPr="003B4248">
        <w:rPr>
          <w:rFonts w:cs="Helvetica"/>
          <w:color w:val="333333"/>
          <w:sz w:val="20"/>
          <w:szCs w:val="20"/>
          <w:shd w:val="clear" w:color="auto" w:fill="FFFFFF"/>
        </w:rPr>
        <w:t> </w:t>
      </w:r>
      <w:r w:rsidRPr="003B4248">
        <w:t>In 2014, the Minnesota Interagency Council on Homelessness established five foundational service practices to</w:t>
      </w:r>
      <w:r w:rsidRPr="00A077EF">
        <w:t xml:space="preserve"> improve how mainstream public programs serve individuals who are experiencing homelessness</w:t>
      </w:r>
      <w:r w:rsidR="00AC5EEF" w:rsidRPr="00A077EF">
        <w:t xml:space="preserve"> and continues to implement these practices across state services</w:t>
      </w:r>
      <w:r w:rsidRPr="00A077EF">
        <w:t>.</w:t>
      </w:r>
      <w:r>
        <w:t xml:space="preserve"> </w:t>
      </w:r>
    </w:p>
    <w:p w14:paraId="1F64E0D4" w14:textId="77777777" w:rsidR="00671AF8" w:rsidRDefault="00671AF8" w:rsidP="00671AF8">
      <w:pPr>
        <w:pStyle w:val="ListParagraph"/>
        <w:numPr>
          <w:ilvl w:val="0"/>
          <w:numId w:val="5"/>
        </w:numPr>
      </w:pPr>
      <w:r>
        <w:t xml:space="preserve">Know the housing status of the people </w:t>
      </w:r>
      <w:r w:rsidR="00F31BFD">
        <w:t xml:space="preserve">you are serving. </w:t>
      </w:r>
    </w:p>
    <w:p w14:paraId="7C11E2FA" w14:textId="77777777" w:rsidR="00F31BFD" w:rsidRDefault="00F31BFD" w:rsidP="00671AF8">
      <w:pPr>
        <w:pStyle w:val="ListParagraph"/>
        <w:numPr>
          <w:ilvl w:val="0"/>
          <w:numId w:val="5"/>
        </w:numPr>
      </w:pPr>
      <w:r>
        <w:t xml:space="preserve">Actively reach out to people experiencing homelessness. </w:t>
      </w:r>
    </w:p>
    <w:p w14:paraId="553D9957" w14:textId="77777777" w:rsidR="00F31BFD" w:rsidRDefault="00F31BFD" w:rsidP="00671AF8">
      <w:pPr>
        <w:pStyle w:val="ListParagraph"/>
        <w:numPr>
          <w:ilvl w:val="0"/>
          <w:numId w:val="5"/>
        </w:numPr>
      </w:pPr>
      <w:r>
        <w:t xml:space="preserve">Limit requirements for in-person appointments at a particular location or office. </w:t>
      </w:r>
    </w:p>
    <w:p w14:paraId="373076A6" w14:textId="77777777" w:rsidR="00F31BFD" w:rsidRDefault="00F31BFD" w:rsidP="00671AF8">
      <w:pPr>
        <w:pStyle w:val="ListParagraph"/>
        <w:numPr>
          <w:ilvl w:val="0"/>
          <w:numId w:val="5"/>
        </w:numPr>
      </w:pPr>
      <w:r>
        <w:t xml:space="preserve">Assist with the process of gathering required verifications or documentation. </w:t>
      </w:r>
    </w:p>
    <w:p w14:paraId="482A6BE5" w14:textId="4ED1D9CE" w:rsidR="00613449" w:rsidRDefault="00F31BFD" w:rsidP="00530D14">
      <w:pPr>
        <w:pStyle w:val="ListParagraph"/>
        <w:numPr>
          <w:ilvl w:val="0"/>
          <w:numId w:val="5"/>
        </w:numPr>
      </w:pPr>
      <w:r>
        <w:t xml:space="preserve">Allow for multiple methods to communicate about benefits and services. </w:t>
      </w:r>
      <w:bookmarkStart w:id="0" w:name="_GoBack"/>
      <w:bookmarkEnd w:id="0"/>
      <w:r w:rsidR="00644B18">
        <w:rPr>
          <w:rStyle w:val="Hyperlink"/>
        </w:rPr>
        <w:t xml:space="preserve"> </w:t>
      </w:r>
    </w:p>
    <w:sectPr w:rsidR="0061344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432E0" w14:textId="77777777" w:rsidR="008436FB" w:rsidRDefault="008436FB" w:rsidP="00330AE7">
      <w:pPr>
        <w:spacing w:after="0" w:line="240" w:lineRule="auto"/>
      </w:pPr>
      <w:r>
        <w:separator/>
      </w:r>
    </w:p>
  </w:endnote>
  <w:endnote w:type="continuationSeparator" w:id="0">
    <w:p w14:paraId="46D770CC" w14:textId="77777777" w:rsidR="008436FB" w:rsidRDefault="008436FB" w:rsidP="0033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355469"/>
      <w:docPartObj>
        <w:docPartGallery w:val="Page Numbers (Bottom of Page)"/>
        <w:docPartUnique/>
      </w:docPartObj>
    </w:sdtPr>
    <w:sdtEndPr>
      <w:rPr>
        <w:noProof/>
      </w:rPr>
    </w:sdtEndPr>
    <w:sdtContent>
      <w:p w14:paraId="77300E46" w14:textId="6CDA0739" w:rsidR="00D5294F" w:rsidRDefault="00D5294F">
        <w:pPr>
          <w:pStyle w:val="Footer"/>
          <w:jc w:val="right"/>
        </w:pPr>
        <w:r>
          <w:fldChar w:fldCharType="begin"/>
        </w:r>
        <w:r>
          <w:instrText xml:space="preserve"> PAGE   \* MERGEFORMAT </w:instrText>
        </w:r>
        <w:r>
          <w:fldChar w:fldCharType="separate"/>
        </w:r>
        <w:r w:rsidR="001D2390">
          <w:rPr>
            <w:noProof/>
          </w:rPr>
          <w:t>6</w:t>
        </w:r>
        <w:r>
          <w:rPr>
            <w:noProof/>
          </w:rPr>
          <w:fldChar w:fldCharType="end"/>
        </w:r>
      </w:p>
    </w:sdtContent>
  </w:sdt>
  <w:p w14:paraId="55C4ED7E" w14:textId="77777777" w:rsidR="00D5294F" w:rsidRDefault="00D52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65CC" w14:textId="77777777" w:rsidR="008436FB" w:rsidRDefault="008436FB" w:rsidP="00330AE7">
      <w:pPr>
        <w:spacing w:after="0" w:line="240" w:lineRule="auto"/>
      </w:pPr>
      <w:r>
        <w:separator/>
      </w:r>
    </w:p>
  </w:footnote>
  <w:footnote w:type="continuationSeparator" w:id="0">
    <w:p w14:paraId="42520781" w14:textId="77777777" w:rsidR="008436FB" w:rsidRDefault="008436FB" w:rsidP="00330AE7">
      <w:pPr>
        <w:spacing w:after="0" w:line="240" w:lineRule="auto"/>
      </w:pPr>
      <w:r>
        <w:continuationSeparator/>
      </w:r>
    </w:p>
  </w:footnote>
  <w:footnote w:id="1">
    <w:p w14:paraId="45753FE8" w14:textId="77777777" w:rsidR="00626042" w:rsidRDefault="00626042">
      <w:pPr>
        <w:pStyle w:val="FootnoteText"/>
      </w:pPr>
      <w:r>
        <w:rPr>
          <w:rStyle w:val="FootnoteReference"/>
        </w:rPr>
        <w:footnoteRef/>
      </w:r>
      <w:r>
        <w:t xml:space="preserve"> WIOA Definition of Homelessness: An individual who lacks a fixed, regular, and adequate nighttime residence; </w:t>
      </w:r>
    </w:p>
    <w:p w14:paraId="261E570A" w14:textId="77777777" w:rsidR="00626042" w:rsidRDefault="00626042">
      <w:pPr>
        <w:pStyle w:val="FootnoteText"/>
      </w:pPr>
      <w:r>
        <w:t xml:space="preserve">• An individual who— (I) is sharing the housing of other persons due to loss of housing, economic hardship, or a similar reason; (II) is living in a motel, hotel, trailer park, or campground due to the lack of alternative adequate accommodations; (III) is living in an emergency or transitional shelter; (IV) is abandoned in a hospital; or (V) is awaiting foster care placement; </w:t>
      </w:r>
    </w:p>
    <w:p w14:paraId="4B1A7457" w14:textId="77777777" w:rsidR="00626042" w:rsidRDefault="00626042">
      <w:pPr>
        <w:pStyle w:val="FootnoteText"/>
      </w:pPr>
      <w:r>
        <w:t xml:space="preserve">• An individual who has a primary nighttime residence that is a public or private place not designed for or ordinarily used as a regular sleeping accommodation for human beings; or </w:t>
      </w:r>
    </w:p>
    <w:p w14:paraId="63B44C32" w14:textId="50EE0126" w:rsidR="00626042" w:rsidRDefault="00626042">
      <w:pPr>
        <w:pStyle w:val="FootnoteText"/>
      </w:pPr>
      <w:r>
        <w:t>• Migratory children who qualify as homeless because the children are living in the circumstances described.</w:t>
      </w:r>
    </w:p>
  </w:footnote>
  <w:footnote w:id="2">
    <w:p w14:paraId="774661F6" w14:textId="77777777" w:rsidR="00B92C01" w:rsidRDefault="00B92C01" w:rsidP="00B92C01">
      <w:pPr>
        <w:pStyle w:val="FootnoteText"/>
      </w:pPr>
      <w:r>
        <w:rPr>
          <w:rStyle w:val="FootnoteReference"/>
        </w:rPr>
        <w:footnoteRef/>
      </w:r>
      <w:r>
        <w:t xml:space="preserve"> Continuum of Care (</w:t>
      </w:r>
      <w:proofErr w:type="spellStart"/>
      <w:r>
        <w:t>CoC</w:t>
      </w:r>
      <w:proofErr w:type="spellEnd"/>
      <w:r>
        <w:t xml:space="preserve">) is a program federally funded by the Department of Housing and Urban Development (HUD) and is </w:t>
      </w:r>
      <w:r w:rsidRPr="00330AE7">
        <w:t>designed to promote communitywide commitment to the goal of ending homelessness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3E90"/>
    <w:multiLevelType w:val="hybridMultilevel"/>
    <w:tmpl w:val="D456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292B"/>
    <w:multiLevelType w:val="hybridMultilevel"/>
    <w:tmpl w:val="4204F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A72"/>
    <w:multiLevelType w:val="hybridMultilevel"/>
    <w:tmpl w:val="88D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E0B19"/>
    <w:multiLevelType w:val="hybridMultilevel"/>
    <w:tmpl w:val="EED63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63765"/>
    <w:multiLevelType w:val="hybridMultilevel"/>
    <w:tmpl w:val="AFFA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818B6"/>
    <w:multiLevelType w:val="hybridMultilevel"/>
    <w:tmpl w:val="65F284B8"/>
    <w:lvl w:ilvl="0" w:tplc="53DA5F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D3"/>
    <w:rsid w:val="0002017F"/>
    <w:rsid w:val="000275C2"/>
    <w:rsid w:val="00035007"/>
    <w:rsid w:val="00035820"/>
    <w:rsid w:val="00063D83"/>
    <w:rsid w:val="0008321D"/>
    <w:rsid w:val="00084767"/>
    <w:rsid w:val="000B2D45"/>
    <w:rsid w:val="000C0F42"/>
    <w:rsid w:val="000C23BC"/>
    <w:rsid w:val="000C3953"/>
    <w:rsid w:val="000E7413"/>
    <w:rsid w:val="000F2D98"/>
    <w:rsid w:val="00157BD6"/>
    <w:rsid w:val="00172262"/>
    <w:rsid w:val="001813E1"/>
    <w:rsid w:val="001A65B9"/>
    <w:rsid w:val="001A6EE4"/>
    <w:rsid w:val="001C20C8"/>
    <w:rsid w:val="001C3831"/>
    <w:rsid w:val="001D2390"/>
    <w:rsid w:val="001D5120"/>
    <w:rsid w:val="001F6ACD"/>
    <w:rsid w:val="002173B6"/>
    <w:rsid w:val="00244867"/>
    <w:rsid w:val="00297555"/>
    <w:rsid w:val="002A1EFE"/>
    <w:rsid w:val="002A35DD"/>
    <w:rsid w:val="002A64C0"/>
    <w:rsid w:val="002E23BA"/>
    <w:rsid w:val="002F426C"/>
    <w:rsid w:val="003164FD"/>
    <w:rsid w:val="003168CA"/>
    <w:rsid w:val="003224BE"/>
    <w:rsid w:val="00330AE7"/>
    <w:rsid w:val="0034613B"/>
    <w:rsid w:val="00356612"/>
    <w:rsid w:val="0036030B"/>
    <w:rsid w:val="003A43F2"/>
    <w:rsid w:val="003B4248"/>
    <w:rsid w:val="003B6128"/>
    <w:rsid w:val="003C070B"/>
    <w:rsid w:val="003E3FEA"/>
    <w:rsid w:val="003F649F"/>
    <w:rsid w:val="004031E8"/>
    <w:rsid w:val="00434B18"/>
    <w:rsid w:val="004744EE"/>
    <w:rsid w:val="004B3645"/>
    <w:rsid w:val="004B72CA"/>
    <w:rsid w:val="004D568E"/>
    <w:rsid w:val="004E662D"/>
    <w:rsid w:val="004F49CD"/>
    <w:rsid w:val="00516B03"/>
    <w:rsid w:val="00517BF7"/>
    <w:rsid w:val="00530D14"/>
    <w:rsid w:val="005355B8"/>
    <w:rsid w:val="005458E7"/>
    <w:rsid w:val="0056285B"/>
    <w:rsid w:val="00566BA3"/>
    <w:rsid w:val="00566E5D"/>
    <w:rsid w:val="00584C64"/>
    <w:rsid w:val="005E5C8E"/>
    <w:rsid w:val="005F01D2"/>
    <w:rsid w:val="00613449"/>
    <w:rsid w:val="00617301"/>
    <w:rsid w:val="0062387C"/>
    <w:rsid w:val="00626042"/>
    <w:rsid w:val="00630D73"/>
    <w:rsid w:val="00630F8D"/>
    <w:rsid w:val="00631C6C"/>
    <w:rsid w:val="00644B18"/>
    <w:rsid w:val="00646005"/>
    <w:rsid w:val="006470DC"/>
    <w:rsid w:val="00670842"/>
    <w:rsid w:val="00671AF8"/>
    <w:rsid w:val="00693A72"/>
    <w:rsid w:val="006B145C"/>
    <w:rsid w:val="006C665B"/>
    <w:rsid w:val="006D24E6"/>
    <w:rsid w:val="006F4845"/>
    <w:rsid w:val="006F57F7"/>
    <w:rsid w:val="007005CF"/>
    <w:rsid w:val="00714460"/>
    <w:rsid w:val="00716905"/>
    <w:rsid w:val="0072666D"/>
    <w:rsid w:val="007334B6"/>
    <w:rsid w:val="007439A9"/>
    <w:rsid w:val="00770957"/>
    <w:rsid w:val="00786434"/>
    <w:rsid w:val="007913A7"/>
    <w:rsid w:val="00791687"/>
    <w:rsid w:val="007C2FDF"/>
    <w:rsid w:val="007E2C5A"/>
    <w:rsid w:val="00826BA0"/>
    <w:rsid w:val="0083033B"/>
    <w:rsid w:val="008436FB"/>
    <w:rsid w:val="0087786B"/>
    <w:rsid w:val="008B105C"/>
    <w:rsid w:val="008D0AE4"/>
    <w:rsid w:val="008F372B"/>
    <w:rsid w:val="008F481E"/>
    <w:rsid w:val="009103B9"/>
    <w:rsid w:val="009259A5"/>
    <w:rsid w:val="00931BB2"/>
    <w:rsid w:val="00934436"/>
    <w:rsid w:val="00953927"/>
    <w:rsid w:val="00955CD7"/>
    <w:rsid w:val="0097293E"/>
    <w:rsid w:val="00973348"/>
    <w:rsid w:val="00983C10"/>
    <w:rsid w:val="00994086"/>
    <w:rsid w:val="009B0BD9"/>
    <w:rsid w:val="009C0CC8"/>
    <w:rsid w:val="009C5000"/>
    <w:rsid w:val="009D2009"/>
    <w:rsid w:val="009E38BC"/>
    <w:rsid w:val="00A077EF"/>
    <w:rsid w:val="00A374DC"/>
    <w:rsid w:val="00A832BB"/>
    <w:rsid w:val="00AC5EEF"/>
    <w:rsid w:val="00AD6AA8"/>
    <w:rsid w:val="00AE50F6"/>
    <w:rsid w:val="00AE636D"/>
    <w:rsid w:val="00AF2673"/>
    <w:rsid w:val="00B0195F"/>
    <w:rsid w:val="00B03DEA"/>
    <w:rsid w:val="00B0604C"/>
    <w:rsid w:val="00B1083A"/>
    <w:rsid w:val="00B200DA"/>
    <w:rsid w:val="00B42C27"/>
    <w:rsid w:val="00B61B98"/>
    <w:rsid w:val="00B8696C"/>
    <w:rsid w:val="00B92C01"/>
    <w:rsid w:val="00BB2223"/>
    <w:rsid w:val="00BB6945"/>
    <w:rsid w:val="00BE4A7F"/>
    <w:rsid w:val="00C11DFF"/>
    <w:rsid w:val="00C20B60"/>
    <w:rsid w:val="00C2692A"/>
    <w:rsid w:val="00C40DD4"/>
    <w:rsid w:val="00C438EC"/>
    <w:rsid w:val="00C5625C"/>
    <w:rsid w:val="00C65E82"/>
    <w:rsid w:val="00C86E71"/>
    <w:rsid w:val="00CA0902"/>
    <w:rsid w:val="00CA698C"/>
    <w:rsid w:val="00CB6043"/>
    <w:rsid w:val="00CC7B0F"/>
    <w:rsid w:val="00D03AE7"/>
    <w:rsid w:val="00D50331"/>
    <w:rsid w:val="00D5294F"/>
    <w:rsid w:val="00D53795"/>
    <w:rsid w:val="00D703EC"/>
    <w:rsid w:val="00DB41AE"/>
    <w:rsid w:val="00DB54D3"/>
    <w:rsid w:val="00DB7088"/>
    <w:rsid w:val="00DC3137"/>
    <w:rsid w:val="00DE1C90"/>
    <w:rsid w:val="00DE2A48"/>
    <w:rsid w:val="00E14DA7"/>
    <w:rsid w:val="00E22025"/>
    <w:rsid w:val="00E22CA6"/>
    <w:rsid w:val="00E46A21"/>
    <w:rsid w:val="00E641B3"/>
    <w:rsid w:val="00E71D80"/>
    <w:rsid w:val="00E75A96"/>
    <w:rsid w:val="00E956C6"/>
    <w:rsid w:val="00E959D3"/>
    <w:rsid w:val="00EA0485"/>
    <w:rsid w:val="00EA4F68"/>
    <w:rsid w:val="00EB23B2"/>
    <w:rsid w:val="00EB78C1"/>
    <w:rsid w:val="00F31BFD"/>
    <w:rsid w:val="00F8024E"/>
    <w:rsid w:val="00F82776"/>
    <w:rsid w:val="00F9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28F8"/>
  <w15:chartTrackingRefBased/>
  <w15:docId w15:val="{3509E2A5-5314-4565-B0FB-2325E197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3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1B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98"/>
    <w:pPr>
      <w:ind w:left="720"/>
      <w:contextualSpacing/>
    </w:pPr>
  </w:style>
  <w:style w:type="character" w:styleId="Hyperlink">
    <w:name w:val="Hyperlink"/>
    <w:basedOn w:val="DefaultParagraphFont"/>
    <w:uiPriority w:val="99"/>
    <w:unhideWhenUsed/>
    <w:rsid w:val="00AE636D"/>
    <w:rPr>
      <w:color w:val="0000FF"/>
      <w:u w:val="single"/>
    </w:rPr>
  </w:style>
  <w:style w:type="character" w:customStyle="1" w:styleId="Heading1Char">
    <w:name w:val="Heading 1 Char"/>
    <w:basedOn w:val="DefaultParagraphFont"/>
    <w:link w:val="Heading1"/>
    <w:uiPriority w:val="9"/>
    <w:rsid w:val="00AE63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1BF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30D73"/>
    <w:rPr>
      <w:color w:val="954F72" w:themeColor="followedHyperlink"/>
      <w:u w:val="single"/>
    </w:rPr>
  </w:style>
  <w:style w:type="paragraph" w:styleId="FootnoteText">
    <w:name w:val="footnote text"/>
    <w:basedOn w:val="Normal"/>
    <w:link w:val="FootnoteTextChar"/>
    <w:uiPriority w:val="99"/>
    <w:semiHidden/>
    <w:unhideWhenUsed/>
    <w:rsid w:val="00330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AE7"/>
    <w:rPr>
      <w:sz w:val="20"/>
      <w:szCs w:val="20"/>
    </w:rPr>
  </w:style>
  <w:style w:type="character" w:styleId="FootnoteReference">
    <w:name w:val="footnote reference"/>
    <w:basedOn w:val="DefaultParagraphFont"/>
    <w:uiPriority w:val="99"/>
    <w:semiHidden/>
    <w:unhideWhenUsed/>
    <w:rsid w:val="00330AE7"/>
    <w:rPr>
      <w:vertAlign w:val="superscript"/>
    </w:rPr>
  </w:style>
  <w:style w:type="paragraph" w:styleId="Header">
    <w:name w:val="header"/>
    <w:basedOn w:val="Normal"/>
    <w:link w:val="HeaderChar"/>
    <w:uiPriority w:val="99"/>
    <w:unhideWhenUsed/>
    <w:rsid w:val="00D5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4F"/>
  </w:style>
  <w:style w:type="paragraph" w:styleId="Footer">
    <w:name w:val="footer"/>
    <w:basedOn w:val="Normal"/>
    <w:link w:val="FooterChar"/>
    <w:uiPriority w:val="99"/>
    <w:unhideWhenUsed/>
    <w:rsid w:val="00D5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4F"/>
  </w:style>
  <w:style w:type="paragraph" w:styleId="BalloonText">
    <w:name w:val="Balloon Text"/>
    <w:basedOn w:val="Normal"/>
    <w:link w:val="BalloonTextChar"/>
    <w:uiPriority w:val="99"/>
    <w:semiHidden/>
    <w:unhideWhenUsed/>
    <w:rsid w:val="003B4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248"/>
    <w:rPr>
      <w:rFonts w:ascii="Segoe UI" w:hAnsi="Segoe UI" w:cs="Segoe UI"/>
      <w:sz w:val="18"/>
      <w:szCs w:val="18"/>
    </w:rPr>
  </w:style>
  <w:style w:type="character" w:styleId="CommentReference">
    <w:name w:val="annotation reference"/>
    <w:basedOn w:val="DefaultParagraphFont"/>
    <w:uiPriority w:val="99"/>
    <w:semiHidden/>
    <w:unhideWhenUsed/>
    <w:rsid w:val="004031E8"/>
    <w:rPr>
      <w:sz w:val="16"/>
      <w:szCs w:val="16"/>
    </w:rPr>
  </w:style>
  <w:style w:type="paragraph" w:styleId="CommentText">
    <w:name w:val="annotation text"/>
    <w:basedOn w:val="Normal"/>
    <w:link w:val="CommentTextChar"/>
    <w:uiPriority w:val="99"/>
    <w:semiHidden/>
    <w:unhideWhenUsed/>
    <w:rsid w:val="004031E8"/>
    <w:pPr>
      <w:spacing w:line="240" w:lineRule="auto"/>
    </w:pPr>
    <w:rPr>
      <w:sz w:val="20"/>
      <w:szCs w:val="20"/>
    </w:rPr>
  </w:style>
  <w:style w:type="character" w:customStyle="1" w:styleId="CommentTextChar">
    <w:name w:val="Comment Text Char"/>
    <w:basedOn w:val="DefaultParagraphFont"/>
    <w:link w:val="CommentText"/>
    <w:uiPriority w:val="99"/>
    <w:semiHidden/>
    <w:rsid w:val="004031E8"/>
    <w:rPr>
      <w:sz w:val="20"/>
      <w:szCs w:val="20"/>
    </w:rPr>
  </w:style>
  <w:style w:type="paragraph" w:styleId="CommentSubject">
    <w:name w:val="annotation subject"/>
    <w:basedOn w:val="CommentText"/>
    <w:next w:val="CommentText"/>
    <w:link w:val="CommentSubjectChar"/>
    <w:uiPriority w:val="99"/>
    <w:semiHidden/>
    <w:unhideWhenUsed/>
    <w:rsid w:val="004031E8"/>
    <w:rPr>
      <w:b/>
      <w:bCs/>
    </w:rPr>
  </w:style>
  <w:style w:type="character" w:customStyle="1" w:styleId="CommentSubjectChar">
    <w:name w:val="Comment Subject Char"/>
    <w:basedOn w:val="CommentTextChar"/>
    <w:link w:val="CommentSubject"/>
    <w:uiPriority w:val="99"/>
    <w:semiHidden/>
    <w:rsid w:val="00403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76533">
      <w:bodyDiv w:val="1"/>
      <w:marLeft w:val="0"/>
      <w:marRight w:val="0"/>
      <w:marTop w:val="0"/>
      <w:marBottom w:val="0"/>
      <w:divBdr>
        <w:top w:val="none" w:sz="0" w:space="0" w:color="auto"/>
        <w:left w:val="none" w:sz="0" w:space="0" w:color="auto"/>
        <w:bottom w:val="none" w:sz="0" w:space="0" w:color="auto"/>
        <w:right w:val="none" w:sz="0" w:space="0" w:color="auto"/>
      </w:divBdr>
      <w:divsChild>
        <w:div w:id="66265153">
          <w:marLeft w:val="0"/>
          <w:marRight w:val="0"/>
          <w:marTop w:val="225"/>
          <w:marBottom w:val="225"/>
          <w:divBdr>
            <w:top w:val="none" w:sz="0" w:space="0" w:color="auto"/>
            <w:left w:val="none" w:sz="0" w:space="0" w:color="auto"/>
            <w:bottom w:val="none" w:sz="0" w:space="0" w:color="auto"/>
            <w:right w:val="none" w:sz="0" w:space="0" w:color="auto"/>
          </w:divBdr>
          <w:divsChild>
            <w:div w:id="1978606621">
              <w:marLeft w:val="0"/>
              <w:marRight w:val="0"/>
              <w:marTop w:val="0"/>
              <w:marBottom w:val="0"/>
              <w:divBdr>
                <w:top w:val="none" w:sz="0" w:space="0" w:color="auto"/>
                <w:left w:val="none" w:sz="0" w:space="0" w:color="auto"/>
                <w:bottom w:val="none" w:sz="0" w:space="0" w:color="auto"/>
                <w:right w:val="none" w:sz="0" w:space="0" w:color="auto"/>
              </w:divBdr>
              <w:divsChild>
                <w:div w:id="1712995048">
                  <w:marLeft w:val="0"/>
                  <w:marRight w:val="0"/>
                  <w:marTop w:val="0"/>
                  <w:marBottom w:val="0"/>
                  <w:divBdr>
                    <w:top w:val="none" w:sz="0" w:space="0" w:color="auto"/>
                    <w:left w:val="none" w:sz="0" w:space="0" w:color="auto"/>
                    <w:bottom w:val="none" w:sz="0" w:space="0" w:color="auto"/>
                    <w:right w:val="none" w:sz="0" w:space="0" w:color="auto"/>
                  </w:divBdr>
                  <w:divsChild>
                    <w:div w:id="1503592727">
                      <w:marLeft w:val="0"/>
                      <w:marRight w:val="0"/>
                      <w:marTop w:val="0"/>
                      <w:marBottom w:val="0"/>
                      <w:divBdr>
                        <w:top w:val="none" w:sz="0" w:space="0" w:color="auto"/>
                        <w:left w:val="none" w:sz="0" w:space="0" w:color="auto"/>
                        <w:bottom w:val="none" w:sz="0" w:space="0" w:color="auto"/>
                        <w:right w:val="none" w:sz="0" w:space="0" w:color="auto"/>
                      </w:divBdr>
                    </w:div>
                    <w:div w:id="13181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5852">
          <w:marLeft w:val="0"/>
          <w:marRight w:val="0"/>
          <w:marTop w:val="225"/>
          <w:marBottom w:val="225"/>
          <w:divBdr>
            <w:top w:val="none" w:sz="0" w:space="0" w:color="auto"/>
            <w:left w:val="none" w:sz="0" w:space="0" w:color="auto"/>
            <w:bottom w:val="none" w:sz="0" w:space="0" w:color="auto"/>
            <w:right w:val="none" w:sz="0" w:space="0" w:color="auto"/>
          </w:divBdr>
          <w:divsChild>
            <w:div w:id="19200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3502">
      <w:bodyDiv w:val="1"/>
      <w:marLeft w:val="0"/>
      <w:marRight w:val="0"/>
      <w:marTop w:val="0"/>
      <w:marBottom w:val="0"/>
      <w:divBdr>
        <w:top w:val="none" w:sz="0" w:space="0" w:color="auto"/>
        <w:left w:val="none" w:sz="0" w:space="0" w:color="auto"/>
        <w:bottom w:val="none" w:sz="0" w:space="0" w:color="auto"/>
        <w:right w:val="none" w:sz="0" w:space="0" w:color="auto"/>
      </w:divBdr>
    </w:div>
    <w:div w:id="1069041264">
      <w:bodyDiv w:val="1"/>
      <w:marLeft w:val="0"/>
      <w:marRight w:val="0"/>
      <w:marTop w:val="0"/>
      <w:marBottom w:val="0"/>
      <w:divBdr>
        <w:top w:val="none" w:sz="0" w:space="0" w:color="auto"/>
        <w:left w:val="none" w:sz="0" w:space="0" w:color="auto"/>
        <w:bottom w:val="none" w:sz="0" w:space="0" w:color="auto"/>
        <w:right w:val="none" w:sz="0" w:space="0" w:color="auto"/>
      </w:divBdr>
    </w:div>
    <w:div w:id="16904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n.gov/dhs/assets/minnesota-action-plan-18-20_tcm1053-3282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b101.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b101.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n.gov/deed/assets/wioa-chapter17_tcm1045-343259.doc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100" baseline="0"/>
              <a:t>Youth Experiencing Homelessness at Enrollment in WIOA by MN Workforce Development Area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PY 15</c:v>
                </c:pt>
              </c:strCache>
            </c:strRef>
          </c:tx>
          <c:spPr>
            <a:solidFill>
              <a:schemeClr val="accent1"/>
            </a:solidFill>
            <a:ln>
              <a:noFill/>
            </a:ln>
            <a:effectLst/>
          </c:spPr>
          <c:invertIfNegative val="0"/>
          <c:cat>
            <c:strRef>
              <c:f>Sheet1!$A$2:$A$17</c:f>
              <c:strCache>
                <c:ptCount val="16"/>
                <c:pt idx="0">
                  <c:v>WDA 1</c:v>
                </c:pt>
                <c:pt idx="1">
                  <c:v>2</c:v>
                </c:pt>
                <c:pt idx="2">
                  <c:v>3</c:v>
                </c:pt>
                <c:pt idx="3">
                  <c:v>4</c:v>
                </c:pt>
                <c:pt idx="4">
                  <c:v>5</c:v>
                </c:pt>
                <c:pt idx="5">
                  <c:v>6</c:v>
                </c:pt>
                <c:pt idx="6">
                  <c:v>7</c:v>
                </c:pt>
                <c:pt idx="7">
                  <c:v>8</c:v>
                </c:pt>
                <c:pt idx="8">
                  <c:v>9</c:v>
                </c:pt>
                <c:pt idx="9">
                  <c:v>10</c:v>
                </c:pt>
                <c:pt idx="10">
                  <c:v>12</c:v>
                </c:pt>
                <c:pt idx="11">
                  <c:v>14</c:v>
                </c:pt>
                <c:pt idx="12">
                  <c:v>15</c:v>
                </c:pt>
                <c:pt idx="13">
                  <c:v>16</c:v>
                </c:pt>
                <c:pt idx="14">
                  <c:v>17</c:v>
                </c:pt>
                <c:pt idx="15">
                  <c:v>18</c:v>
                </c:pt>
              </c:strCache>
            </c:strRef>
          </c:cat>
          <c:val>
            <c:numRef>
              <c:f>Sheet1!$B$2:$B$17</c:f>
              <c:numCache>
                <c:formatCode>0.0%</c:formatCode>
                <c:ptCount val="16"/>
                <c:pt idx="0">
                  <c:v>0</c:v>
                </c:pt>
                <c:pt idx="1">
                  <c:v>8.4745762711864406E-3</c:v>
                </c:pt>
                <c:pt idx="2">
                  <c:v>3.7974683544303799E-2</c:v>
                </c:pt>
                <c:pt idx="3">
                  <c:v>0.12903225806451613</c:v>
                </c:pt>
                <c:pt idx="4">
                  <c:v>5.5555555555555552E-2</c:v>
                </c:pt>
                <c:pt idx="5">
                  <c:v>0.12</c:v>
                </c:pt>
                <c:pt idx="6">
                  <c:v>3.0612244897959183E-2</c:v>
                </c:pt>
                <c:pt idx="7">
                  <c:v>0.11170212765957446</c:v>
                </c:pt>
                <c:pt idx="8">
                  <c:v>0.13389121338912133</c:v>
                </c:pt>
                <c:pt idx="9">
                  <c:v>0.22871046228710462</c:v>
                </c:pt>
                <c:pt idx="10">
                  <c:v>7.1428571428571425E-2</c:v>
                </c:pt>
                <c:pt idx="11">
                  <c:v>9.7826086956521743E-2</c:v>
                </c:pt>
                <c:pt idx="12">
                  <c:v>0.23026315789473684</c:v>
                </c:pt>
                <c:pt idx="13">
                  <c:v>3.5714285714285712E-2</c:v>
                </c:pt>
                <c:pt idx="14">
                  <c:v>9.0909090909090912E-2</c:v>
                </c:pt>
                <c:pt idx="15">
                  <c:v>0</c:v>
                </c:pt>
              </c:numCache>
            </c:numRef>
          </c:val>
        </c:ser>
        <c:ser>
          <c:idx val="1"/>
          <c:order val="1"/>
          <c:tx>
            <c:strRef>
              <c:f>Sheet1!$C$1</c:f>
              <c:strCache>
                <c:ptCount val="1"/>
                <c:pt idx="0">
                  <c:v>PY 17</c:v>
                </c:pt>
              </c:strCache>
            </c:strRef>
          </c:tx>
          <c:spPr>
            <a:solidFill>
              <a:schemeClr val="accent2"/>
            </a:solidFill>
            <a:ln>
              <a:noFill/>
            </a:ln>
            <a:effectLst/>
          </c:spPr>
          <c:invertIfNegative val="0"/>
          <c:cat>
            <c:strRef>
              <c:f>Sheet1!$A$2:$A$17</c:f>
              <c:strCache>
                <c:ptCount val="16"/>
                <c:pt idx="0">
                  <c:v>WDA 1</c:v>
                </c:pt>
                <c:pt idx="1">
                  <c:v>2</c:v>
                </c:pt>
                <c:pt idx="2">
                  <c:v>3</c:v>
                </c:pt>
                <c:pt idx="3">
                  <c:v>4</c:v>
                </c:pt>
                <c:pt idx="4">
                  <c:v>5</c:v>
                </c:pt>
                <c:pt idx="5">
                  <c:v>6</c:v>
                </c:pt>
                <c:pt idx="6">
                  <c:v>7</c:v>
                </c:pt>
                <c:pt idx="7">
                  <c:v>8</c:v>
                </c:pt>
                <c:pt idx="8">
                  <c:v>9</c:v>
                </c:pt>
                <c:pt idx="9">
                  <c:v>10</c:v>
                </c:pt>
                <c:pt idx="10">
                  <c:v>12</c:v>
                </c:pt>
                <c:pt idx="11">
                  <c:v>14</c:v>
                </c:pt>
                <c:pt idx="12">
                  <c:v>15</c:v>
                </c:pt>
                <c:pt idx="13">
                  <c:v>16</c:v>
                </c:pt>
                <c:pt idx="14">
                  <c:v>17</c:v>
                </c:pt>
                <c:pt idx="15">
                  <c:v>18</c:v>
                </c:pt>
              </c:strCache>
            </c:strRef>
          </c:cat>
          <c:val>
            <c:numRef>
              <c:f>Sheet1!$C$2:$C$17</c:f>
              <c:numCache>
                <c:formatCode>0.0%</c:formatCode>
                <c:ptCount val="16"/>
                <c:pt idx="0">
                  <c:v>2.6315789473684209E-2</c:v>
                </c:pt>
                <c:pt idx="1">
                  <c:v>1.9736842105263157E-2</c:v>
                </c:pt>
                <c:pt idx="2">
                  <c:v>7.6335877862595417E-3</c:v>
                </c:pt>
                <c:pt idx="3">
                  <c:v>0.28813559322033899</c:v>
                </c:pt>
                <c:pt idx="4">
                  <c:v>0.125</c:v>
                </c:pt>
                <c:pt idx="5">
                  <c:v>0</c:v>
                </c:pt>
                <c:pt idx="6">
                  <c:v>8.6419753086419748E-2</c:v>
                </c:pt>
                <c:pt idx="7">
                  <c:v>9.2105263157894732E-2</c:v>
                </c:pt>
                <c:pt idx="8">
                  <c:v>0.21739130434782608</c:v>
                </c:pt>
                <c:pt idx="9">
                  <c:v>0.40482573726541554</c:v>
                </c:pt>
                <c:pt idx="10">
                  <c:v>0.18333333333333332</c:v>
                </c:pt>
                <c:pt idx="11">
                  <c:v>0.22619047619047619</c:v>
                </c:pt>
                <c:pt idx="12">
                  <c:v>0.22222222222222221</c:v>
                </c:pt>
                <c:pt idx="13">
                  <c:v>0.26315789473684209</c:v>
                </c:pt>
                <c:pt idx="14">
                  <c:v>0.27777777777777779</c:v>
                </c:pt>
                <c:pt idx="15">
                  <c:v>0</c:v>
                </c:pt>
              </c:numCache>
            </c:numRef>
          </c:val>
        </c:ser>
        <c:dLbls>
          <c:showLegendKey val="0"/>
          <c:showVal val="0"/>
          <c:showCatName val="0"/>
          <c:showSerName val="0"/>
          <c:showPercent val="0"/>
          <c:showBubbleSize val="0"/>
        </c:dLbls>
        <c:gapWidth val="219"/>
        <c:overlap val="-27"/>
        <c:axId val="300014120"/>
        <c:axId val="300016472"/>
      </c:barChart>
      <c:catAx>
        <c:axId val="30001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0016472"/>
        <c:crossesAt val="0"/>
        <c:auto val="1"/>
        <c:lblAlgn val="ctr"/>
        <c:lblOffset val="100"/>
        <c:noMultiLvlLbl val="0"/>
      </c:catAx>
      <c:valAx>
        <c:axId val="300016472"/>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0014120"/>
        <c:crosses val="autoZero"/>
        <c:crossBetween val="between"/>
        <c:majorUnit val="0.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40F7-760D-441E-A414-E7D69509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Carrie (DEED)</dc:creator>
  <cp:keywords/>
  <dc:description/>
  <cp:lastModifiedBy>Marsh, Carrie (DEED)</cp:lastModifiedBy>
  <cp:revision>17</cp:revision>
  <dcterms:created xsi:type="dcterms:W3CDTF">2018-06-18T12:13:00Z</dcterms:created>
  <dcterms:modified xsi:type="dcterms:W3CDTF">2018-09-06T14:10:00Z</dcterms:modified>
</cp:coreProperties>
</file>