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128CB" w14:textId="3B366149" w:rsidR="00731B35" w:rsidRPr="00731B35" w:rsidRDefault="00731B35" w:rsidP="003C25DD">
      <w:pPr>
        <w:rPr>
          <w:rFonts w:asciiTheme="majorHAnsi" w:eastAsia="Times New Roman" w:hAnsiTheme="majorHAnsi" w:cstheme="majorBidi"/>
          <w:b/>
          <w:color w:val="002060"/>
          <w:sz w:val="24"/>
          <w:szCs w:val="26"/>
        </w:rPr>
      </w:pPr>
      <w:r w:rsidRPr="00731B35">
        <w:rPr>
          <w:rFonts w:asciiTheme="majorHAnsi" w:eastAsia="Times New Roman" w:hAnsiTheme="majorHAnsi" w:cstheme="majorBidi"/>
          <w:b/>
          <w:color w:val="002060"/>
          <w:sz w:val="24"/>
          <w:szCs w:val="26"/>
        </w:rPr>
        <w:t>EQUAL OPPORTUNITY</w:t>
      </w:r>
    </w:p>
    <w:p w14:paraId="1B86F18E" w14:textId="77777777" w:rsidR="00731B35" w:rsidRPr="00731B35" w:rsidRDefault="00731B35" w:rsidP="00731B35">
      <w:pPr>
        <w:keepNext/>
        <w:keepLines/>
        <w:tabs>
          <w:tab w:val="left" w:pos="3345"/>
        </w:tabs>
        <w:spacing w:before="240" w:after="120" w:line="271" w:lineRule="auto"/>
        <w:outlineLvl w:val="0"/>
        <w:rPr>
          <w:rFonts w:asciiTheme="majorHAnsi" w:hAnsiTheme="majorHAnsi"/>
          <w:b/>
          <w:color w:val="003865"/>
          <w:sz w:val="36"/>
          <w:szCs w:val="48"/>
        </w:rPr>
      </w:pPr>
      <w:r w:rsidRPr="00731B35">
        <w:rPr>
          <w:rFonts w:asciiTheme="majorHAnsi" w:hAnsiTheme="majorHAnsi"/>
          <w:b/>
          <w:color w:val="003865"/>
          <w:sz w:val="36"/>
          <w:szCs w:val="48"/>
        </w:rPr>
        <w:t>Chapter 3: Notice and Communication</w:t>
      </w:r>
    </w:p>
    <w:p w14:paraId="22ED8717" w14:textId="77777777" w:rsidR="00731B35" w:rsidRPr="00731B35" w:rsidRDefault="00731B35" w:rsidP="00731B35">
      <w:pPr>
        <w:shd w:val="clear" w:color="auto" w:fill="FFFFFF"/>
        <w:spacing w:before="100" w:beforeAutospacing="1" w:after="100" w:afterAutospacing="1" w:line="270" w:lineRule="atLeast"/>
        <w:textAlignment w:val="top"/>
        <w:rPr>
          <w:rFonts w:eastAsiaTheme="majorEastAsia" w:cstheme="majorBidi"/>
          <w:b/>
          <w:color w:val="1F3763" w:themeColor="accent1" w:themeShade="7F"/>
          <w:sz w:val="24"/>
          <w:szCs w:val="24"/>
        </w:rPr>
      </w:pPr>
      <w:r w:rsidRPr="00731B35">
        <w:rPr>
          <w:rFonts w:eastAsiaTheme="majorEastAsia" w:cstheme="majorBidi"/>
          <w:b/>
          <w:color w:val="1F3763" w:themeColor="accent1" w:themeShade="7F"/>
          <w:sz w:val="24"/>
          <w:szCs w:val="24"/>
        </w:rPr>
        <w:t>Summary</w:t>
      </w:r>
      <w:r w:rsidRPr="00731B35">
        <w:rPr>
          <w:sz w:val="24"/>
        </w:rPr>
        <w:br/>
        <w:t xml:space="preserve">This chapter identifies DEED’s compliance with Element 3 of the Nondiscrimination Plan which requires that recipients of Workforce Innovation and Opportunity Act (WIOA) Title I funds must provide initial and continuing notice that it does not discriminate on any prohibited basis.  </w:t>
      </w:r>
    </w:p>
    <w:p w14:paraId="0D64412B" w14:textId="77777777" w:rsidR="00731B35" w:rsidRPr="00731B35" w:rsidRDefault="00731B35" w:rsidP="00731B35">
      <w:pPr>
        <w:spacing w:after="0"/>
        <w:rPr>
          <w:rFonts w:eastAsia="Times New Roman" w:cstheme="minorHAnsi"/>
          <w:color w:val="505175"/>
          <w:sz w:val="24"/>
          <w:szCs w:val="24"/>
          <w:u w:val="single"/>
        </w:rPr>
      </w:pPr>
      <w:r w:rsidRPr="00731B35">
        <w:rPr>
          <w:rFonts w:eastAsiaTheme="majorEastAsia" w:cstheme="majorBidi"/>
          <w:b/>
          <w:color w:val="1F3763" w:themeColor="accent1" w:themeShade="7F"/>
          <w:sz w:val="24"/>
          <w:szCs w:val="24"/>
        </w:rPr>
        <w:t>Relevant Laws, Rules, or Policies</w:t>
      </w:r>
      <w:r w:rsidRPr="00731B35">
        <w:rPr>
          <w:rFonts w:ascii="Arial" w:eastAsia="Times New Roman" w:hAnsi="Arial" w:cs="Arial"/>
          <w:color w:val="505175"/>
          <w:sz w:val="18"/>
          <w:szCs w:val="18"/>
        </w:rPr>
        <w:br/>
      </w:r>
      <w:hyperlink r:id="rId11" w:tgtFrame="_blank" w:tooltip="WIOA Section 188 (29 CFR 38)" w:history="1">
        <w:r w:rsidRPr="00731B35">
          <w:rPr>
            <w:rFonts w:eastAsia="Times New Roman" w:cstheme="minorHAnsi"/>
            <w:color w:val="0000FF"/>
            <w:sz w:val="24"/>
            <w:szCs w:val="24"/>
            <w:u w:val="single"/>
          </w:rPr>
          <w:t>WIOA Section 188 (29 CFR 38)</w:t>
        </w:r>
      </w:hyperlink>
    </w:p>
    <w:p w14:paraId="5A24D0DB" w14:textId="77777777" w:rsidR="00731B35" w:rsidRPr="00731B35" w:rsidRDefault="00C80E69" w:rsidP="00731B35">
      <w:pPr>
        <w:spacing w:after="0"/>
        <w:rPr>
          <w:rFonts w:eastAsia="Times New Roman"/>
          <w:sz w:val="24"/>
        </w:rPr>
      </w:pPr>
      <w:hyperlink r:id="rId12">
        <w:r w:rsidR="00731B35" w:rsidRPr="00731B35">
          <w:rPr>
            <w:rFonts w:eastAsia="Times New Roman"/>
            <w:sz w:val="24"/>
          </w:rPr>
          <w:t>Required CareerForce Posters</w:t>
        </w:r>
        <w:r w:rsidR="00731B35" w:rsidRPr="00731B35">
          <w:rPr>
            <w:sz w:val="24"/>
          </w:rPr>
          <w:br/>
        </w:r>
      </w:hyperlink>
      <w:hyperlink r:id="rId13">
        <w:r w:rsidR="00731B35" w:rsidRPr="00731B35">
          <w:rPr>
            <w:rFonts w:eastAsia="Times New Roman"/>
            <w:sz w:val="24"/>
          </w:rPr>
          <w:t>Chapter 7.1: Discrimination Complaint Policy and Procedures</w:t>
        </w:r>
      </w:hyperlink>
    </w:p>
    <w:p w14:paraId="516D5147" w14:textId="77777777" w:rsidR="00731B35" w:rsidRPr="00731B35" w:rsidRDefault="00731B35" w:rsidP="00731B35">
      <w:pPr>
        <w:spacing w:after="0"/>
        <w:rPr>
          <w:rFonts w:eastAsia="Times New Roman"/>
          <w:color w:val="505175"/>
          <w:sz w:val="24"/>
        </w:rPr>
      </w:pPr>
    </w:p>
    <w:p w14:paraId="69D3E3F6" w14:textId="77777777" w:rsidR="00731B35" w:rsidRPr="00731B35" w:rsidRDefault="00731B35" w:rsidP="00731B35">
      <w:pPr>
        <w:spacing w:after="0"/>
        <w:rPr>
          <w:rFonts w:eastAsiaTheme="majorEastAsia" w:cstheme="majorBidi"/>
          <w:b/>
          <w:color w:val="1F3763" w:themeColor="accent1" w:themeShade="7F"/>
          <w:sz w:val="24"/>
          <w:szCs w:val="24"/>
        </w:rPr>
      </w:pPr>
      <w:r w:rsidRPr="00731B35">
        <w:rPr>
          <w:rFonts w:eastAsiaTheme="majorEastAsia" w:cstheme="majorBidi"/>
          <w:b/>
          <w:color w:val="1F3763" w:themeColor="accent1" w:themeShade="7F"/>
          <w:sz w:val="24"/>
          <w:szCs w:val="24"/>
        </w:rPr>
        <w:t>Effective Date</w:t>
      </w:r>
      <w:r w:rsidRPr="00731B35">
        <w:rPr>
          <w:sz w:val="24"/>
        </w:rPr>
        <w:br/>
        <w:t>January 1, 2017</w:t>
      </w:r>
    </w:p>
    <w:p w14:paraId="00DD460A" w14:textId="77777777" w:rsidR="00731B35" w:rsidRPr="00731B35" w:rsidRDefault="00731B35" w:rsidP="00731B35">
      <w:pPr>
        <w:shd w:val="clear" w:color="auto" w:fill="FFFFFF"/>
        <w:spacing w:before="100" w:beforeAutospacing="1" w:after="100" w:afterAutospacing="1" w:line="270" w:lineRule="atLeast"/>
        <w:textAlignment w:val="top"/>
        <w:rPr>
          <w:rFonts w:eastAsiaTheme="majorEastAsia" w:cstheme="majorBidi"/>
          <w:b/>
          <w:color w:val="1F3763" w:themeColor="accent1" w:themeShade="7F"/>
          <w:sz w:val="24"/>
          <w:szCs w:val="24"/>
        </w:rPr>
      </w:pPr>
      <w:r w:rsidRPr="00731B35">
        <w:rPr>
          <w:rFonts w:eastAsiaTheme="majorEastAsia" w:cstheme="majorBidi"/>
          <w:b/>
          <w:color w:val="1F3763" w:themeColor="accent1" w:themeShade="7F"/>
          <w:sz w:val="24"/>
          <w:szCs w:val="24"/>
        </w:rPr>
        <w:t>Last Updated</w:t>
      </w:r>
      <w:r w:rsidRPr="00731B35">
        <w:rPr>
          <w:sz w:val="24"/>
        </w:rPr>
        <w:br/>
        <w:t>November 1, 2022</w:t>
      </w:r>
    </w:p>
    <w:p w14:paraId="43D48FCD" w14:textId="77777777" w:rsidR="00731B35" w:rsidRPr="00731B35" w:rsidRDefault="00731B35" w:rsidP="00731B35">
      <w:pPr>
        <w:shd w:val="clear" w:color="auto" w:fill="FFFFFF"/>
        <w:spacing w:before="100" w:beforeAutospacing="1" w:after="100" w:afterAutospacing="1" w:line="270" w:lineRule="atLeast"/>
        <w:textAlignment w:val="top"/>
        <w:rPr>
          <w:sz w:val="24"/>
        </w:rPr>
      </w:pPr>
      <w:r w:rsidRPr="00731B35">
        <w:rPr>
          <w:rFonts w:eastAsiaTheme="majorEastAsia" w:cstheme="majorBidi"/>
          <w:b/>
          <w:color w:val="1F3763" w:themeColor="accent1" w:themeShade="7F"/>
          <w:sz w:val="24"/>
          <w:szCs w:val="24"/>
        </w:rPr>
        <w:t>Contact</w:t>
      </w:r>
      <w:r w:rsidRPr="00731B35">
        <w:rPr>
          <w:sz w:val="24"/>
        </w:rPr>
        <w:br/>
        <w:t xml:space="preserve">Heather Stein, </w:t>
      </w:r>
      <w:hyperlink r:id="rId14">
        <w:r w:rsidRPr="00731B35">
          <w:rPr>
            <w:sz w:val="24"/>
          </w:rPr>
          <w:t>heather.stein@state.mn.us</w:t>
        </w:r>
        <w:r w:rsidRPr="00731B35">
          <w:rPr>
            <w:sz w:val="24"/>
          </w:rPr>
          <w:br/>
        </w:r>
      </w:hyperlink>
      <w:r w:rsidRPr="00731B35">
        <w:rPr>
          <w:sz w:val="24"/>
        </w:rPr>
        <w:t>Tel 651.259.7097</w:t>
      </w:r>
      <w:r w:rsidRPr="00731B35">
        <w:rPr>
          <w:sz w:val="24"/>
        </w:rPr>
        <w:br/>
        <w:t>Fax 651.297.5343</w:t>
      </w:r>
    </w:p>
    <w:p w14:paraId="4C9D7EB8" w14:textId="77777777" w:rsidR="00731B35" w:rsidRPr="00731B35" w:rsidRDefault="00731B35" w:rsidP="00731B35">
      <w:pPr>
        <w:keepNext/>
        <w:keepLines/>
        <w:spacing w:before="40" w:after="0"/>
        <w:outlineLvl w:val="2"/>
        <w:rPr>
          <w:rFonts w:eastAsiaTheme="majorEastAsia" w:cstheme="majorBidi"/>
          <w:b/>
          <w:color w:val="1F3763" w:themeColor="accent1" w:themeShade="7F"/>
          <w:sz w:val="24"/>
          <w:szCs w:val="24"/>
        </w:rPr>
      </w:pPr>
      <w:r w:rsidRPr="00731B35">
        <w:rPr>
          <w:rFonts w:eastAsiaTheme="majorEastAsia" w:cstheme="majorBidi"/>
          <w:b/>
          <w:color w:val="1F3763" w:themeColor="accent1" w:themeShade="7F"/>
          <w:sz w:val="24"/>
          <w:szCs w:val="24"/>
        </w:rPr>
        <w:t>Policy</w:t>
      </w:r>
    </w:p>
    <w:p w14:paraId="51133694" w14:textId="77777777" w:rsidR="00731B35" w:rsidRPr="00731B35" w:rsidRDefault="00731B35" w:rsidP="00731B35">
      <w:pPr>
        <w:rPr>
          <w:sz w:val="24"/>
        </w:rPr>
      </w:pPr>
      <w:r w:rsidRPr="00731B35">
        <w:rPr>
          <w:sz w:val="24"/>
        </w:rPr>
        <w:t xml:space="preserve">Every recipient of WIOA Title I </w:t>
      </w:r>
      <w:proofErr w:type="gramStart"/>
      <w:r w:rsidRPr="00731B35">
        <w:rPr>
          <w:sz w:val="24"/>
        </w:rPr>
        <w:t>funding</w:t>
      </w:r>
      <w:proofErr w:type="gramEnd"/>
      <w:r w:rsidRPr="00731B35">
        <w:rPr>
          <w:sz w:val="24"/>
        </w:rPr>
        <w:t xml:space="preserve"> must: (1) notify its customers, applicants, employees, and members of the public that it does not discriminate on any prohibited ground, and (2) notify its customers that they have an individual right to file a discrimination complaint, and (3) effectively communicate to its customers the “Equal Opportunity is the Law” notice.</w:t>
      </w:r>
    </w:p>
    <w:p w14:paraId="6921AE85" w14:textId="77777777" w:rsidR="00731B35" w:rsidRPr="00731B35" w:rsidRDefault="00731B35" w:rsidP="00731B35">
      <w:pPr>
        <w:keepNext/>
        <w:keepLines/>
        <w:spacing w:before="40" w:after="0"/>
        <w:outlineLvl w:val="2"/>
        <w:rPr>
          <w:rFonts w:eastAsia="Times New Roman" w:cstheme="majorBidi"/>
          <w:b/>
          <w:color w:val="1F3763" w:themeColor="accent1" w:themeShade="7F"/>
          <w:sz w:val="24"/>
          <w:szCs w:val="24"/>
        </w:rPr>
      </w:pPr>
      <w:r w:rsidRPr="00731B35">
        <w:rPr>
          <w:rFonts w:eastAsia="Times New Roman" w:cstheme="majorBidi"/>
          <w:b/>
          <w:color w:val="1F3763" w:themeColor="accent1" w:themeShade="7F"/>
          <w:sz w:val="24"/>
          <w:szCs w:val="24"/>
        </w:rPr>
        <w:t>Standards</w:t>
      </w:r>
    </w:p>
    <w:p w14:paraId="4C310D97" w14:textId="77777777" w:rsidR="00731B35" w:rsidRPr="00731B35" w:rsidRDefault="00731B35" w:rsidP="00731B35">
      <w:pPr>
        <w:rPr>
          <w:sz w:val="24"/>
        </w:rPr>
      </w:pPr>
      <w:r w:rsidRPr="00731B35">
        <w:rPr>
          <w:sz w:val="24"/>
        </w:rPr>
        <w:t>29 CFR 38.35 provides that “Notice to the Public” refers to the “Equal Opportunity is the Law” poster. Through this Notice, each recipient communicates its equal opportunity policy to ensure that the public is aware of the recipient’s obligation to operate its programs and activities in a nondiscriminatory manner. All recipients or sub-recipients of WIOA funding must post the Notice in its entirety – without any editing or changes in the language.</w:t>
      </w:r>
    </w:p>
    <w:p w14:paraId="10E33B91" w14:textId="77777777" w:rsidR="00731B35" w:rsidRPr="00731B35" w:rsidRDefault="00731B35" w:rsidP="00731B35">
      <w:pPr>
        <w:rPr>
          <w:sz w:val="24"/>
        </w:rPr>
      </w:pPr>
      <w:r w:rsidRPr="00731B35">
        <w:rPr>
          <w:sz w:val="24"/>
        </w:rPr>
        <w:t xml:space="preserve">Each recipient must use two distinct types of notification in particular circumstances specified in the WIOA nondiscrimination regulations: the “Equal Opportunity is the Law” Notice, and “taglines” and other related information. Those who must receive the Notice include applicants/registrants, participants, applicants for employment/employees, unions and </w:t>
      </w:r>
      <w:r w:rsidRPr="00731B35">
        <w:rPr>
          <w:sz w:val="24"/>
        </w:rPr>
        <w:lastRenderedPageBreak/>
        <w:t>professional organizations, sub-recipients, members of the public, including individuals with disabilities, and those with limited English proficiency. (29 CFR 38.34).</w:t>
      </w:r>
    </w:p>
    <w:p w14:paraId="7870D7C1" w14:textId="77777777" w:rsidR="00731B35" w:rsidRPr="00731B35" w:rsidRDefault="00731B35" w:rsidP="00731B35">
      <w:pPr>
        <w:keepNext/>
        <w:keepLines/>
        <w:spacing w:before="40" w:after="0"/>
        <w:outlineLvl w:val="2"/>
        <w:rPr>
          <w:rFonts w:eastAsia="Times New Roman" w:cstheme="majorBidi"/>
          <w:b/>
          <w:color w:val="1F3763" w:themeColor="accent1" w:themeShade="7F"/>
          <w:sz w:val="24"/>
          <w:szCs w:val="24"/>
        </w:rPr>
      </w:pPr>
      <w:r w:rsidRPr="00731B35">
        <w:rPr>
          <w:rFonts w:eastAsia="Times New Roman" w:cstheme="majorBidi"/>
          <w:b/>
          <w:color w:val="1F3763" w:themeColor="accent1" w:themeShade="7F"/>
          <w:sz w:val="24"/>
          <w:szCs w:val="24"/>
        </w:rPr>
        <w:t>Recipient Responsibilities</w:t>
      </w:r>
    </w:p>
    <w:p w14:paraId="1C11FC27" w14:textId="77777777" w:rsidR="00731B35" w:rsidRPr="00731B35" w:rsidRDefault="00731B35" w:rsidP="00731B35">
      <w:pPr>
        <w:rPr>
          <w:sz w:val="24"/>
        </w:rPr>
      </w:pPr>
      <w:r w:rsidRPr="00731B35">
        <w:rPr>
          <w:sz w:val="24"/>
        </w:rPr>
        <w:t>To meet the obligation a recipient must:</w:t>
      </w:r>
    </w:p>
    <w:p w14:paraId="79033384" w14:textId="77777777" w:rsidR="00731B35" w:rsidRPr="00731B35" w:rsidRDefault="00731B35" w:rsidP="00731B35">
      <w:pPr>
        <w:numPr>
          <w:ilvl w:val="0"/>
          <w:numId w:val="16"/>
        </w:numPr>
        <w:contextualSpacing/>
        <w:rPr>
          <w:sz w:val="24"/>
        </w:rPr>
      </w:pPr>
      <w:r w:rsidRPr="00731B35">
        <w:rPr>
          <w:sz w:val="24"/>
        </w:rPr>
        <w:t>Display the “Equal Opportunity is the Law” Notice poster, in its entirety, in reasonable numbers and places easily seen by the public and on its website.</w:t>
      </w:r>
    </w:p>
    <w:p w14:paraId="0ADC3682" w14:textId="77777777" w:rsidR="00731B35" w:rsidRPr="00731B35" w:rsidRDefault="00731B35" w:rsidP="00731B35">
      <w:pPr>
        <w:numPr>
          <w:ilvl w:val="0"/>
          <w:numId w:val="16"/>
        </w:numPr>
        <w:contextualSpacing/>
        <w:rPr>
          <w:sz w:val="24"/>
        </w:rPr>
      </w:pPr>
      <w:r w:rsidRPr="00731B35">
        <w:rPr>
          <w:sz w:val="24"/>
        </w:rPr>
        <w:t>Disseminate and communicate policy and notice to staff and include in employee or participant handbooks regardless of format (include in both electronic and paper form if both are available).</w:t>
      </w:r>
    </w:p>
    <w:p w14:paraId="3D23CDE7" w14:textId="77777777" w:rsidR="00731B35" w:rsidRPr="00731B35" w:rsidRDefault="00731B35" w:rsidP="00731B35">
      <w:pPr>
        <w:numPr>
          <w:ilvl w:val="0"/>
          <w:numId w:val="16"/>
        </w:numPr>
        <w:contextualSpacing/>
        <w:rPr>
          <w:rFonts w:eastAsiaTheme="minorEastAsia"/>
          <w:sz w:val="24"/>
          <w:szCs w:val="24"/>
        </w:rPr>
      </w:pPr>
      <w:r w:rsidRPr="00731B35">
        <w:rPr>
          <w:sz w:val="24"/>
        </w:rPr>
        <w:t xml:space="preserve">Communicate the “Equal Opportunity is the Law” Notice to the Public poster in the appropriate language where a significant percentage of the eligible population is made up of persons with limited English proficiency.  </w:t>
      </w:r>
    </w:p>
    <w:p w14:paraId="219EE4FF" w14:textId="77777777" w:rsidR="00731B35" w:rsidRPr="00731B35" w:rsidRDefault="00731B35" w:rsidP="00731B35">
      <w:pPr>
        <w:numPr>
          <w:ilvl w:val="0"/>
          <w:numId w:val="16"/>
        </w:numPr>
        <w:contextualSpacing/>
        <w:rPr>
          <w:sz w:val="24"/>
        </w:rPr>
      </w:pPr>
      <w:r w:rsidRPr="00731B35">
        <w:rPr>
          <w:sz w:val="24"/>
        </w:rPr>
        <w:t>Obtain a signed Notice from all participants and employees and include these Notices in participant or employee files. If the notice was provided in an alternative format, a record of that information is in the participant or employee file. NOTE: A recipient is responsible for obtaining a signed copy of the notice from online participants. </w:t>
      </w:r>
    </w:p>
    <w:p w14:paraId="67C3C873" w14:textId="77777777" w:rsidR="00731B35" w:rsidRPr="00731B35" w:rsidRDefault="00731B35" w:rsidP="00731B35">
      <w:pPr>
        <w:numPr>
          <w:ilvl w:val="0"/>
          <w:numId w:val="16"/>
        </w:numPr>
        <w:contextualSpacing/>
        <w:rPr>
          <w:sz w:val="24"/>
        </w:rPr>
      </w:pPr>
      <w:r w:rsidRPr="00731B35">
        <w:rPr>
          <w:sz w:val="24"/>
        </w:rPr>
        <w:t>Effectively communicate the “Equal Opportunity is the Law” Notice to persons with disabilities and other populations with special needs.</w:t>
      </w:r>
    </w:p>
    <w:p w14:paraId="5CEDDE5C" w14:textId="77777777" w:rsidR="00731B35" w:rsidRPr="00731B35" w:rsidRDefault="00731B35" w:rsidP="00731B35">
      <w:pPr>
        <w:numPr>
          <w:ilvl w:val="0"/>
          <w:numId w:val="16"/>
        </w:numPr>
        <w:contextualSpacing/>
        <w:rPr>
          <w:sz w:val="24"/>
        </w:rPr>
      </w:pPr>
      <w:r w:rsidRPr="00731B35">
        <w:rPr>
          <w:sz w:val="24"/>
        </w:rPr>
        <w:t>Include the required tag lines “Equal Opportunity Employer and Service Provider” and “Auxiliary Aids or Services are available upon request to individuals with disabilities” in all relevant communications.</w:t>
      </w:r>
    </w:p>
    <w:p w14:paraId="2C784F8E" w14:textId="77777777" w:rsidR="00731B35" w:rsidRPr="00731B35" w:rsidRDefault="00731B35" w:rsidP="00731B35">
      <w:pPr>
        <w:numPr>
          <w:ilvl w:val="0"/>
          <w:numId w:val="16"/>
        </w:numPr>
        <w:contextualSpacing/>
        <w:rPr>
          <w:sz w:val="24"/>
        </w:rPr>
      </w:pPr>
      <w:r w:rsidRPr="00731B35">
        <w:rPr>
          <w:sz w:val="24"/>
        </w:rPr>
        <w:t>Publicly identify Equal Opportunity Officers (EO Officers) and publicize their contact information.</w:t>
      </w:r>
    </w:p>
    <w:p w14:paraId="1E90D627" w14:textId="77777777" w:rsidR="00731B35" w:rsidRPr="00731B35" w:rsidRDefault="00731B35" w:rsidP="00731B35">
      <w:pPr>
        <w:numPr>
          <w:ilvl w:val="0"/>
          <w:numId w:val="16"/>
        </w:numPr>
        <w:contextualSpacing/>
        <w:rPr>
          <w:sz w:val="24"/>
        </w:rPr>
      </w:pPr>
      <w:r w:rsidRPr="00731B35">
        <w:rPr>
          <w:sz w:val="24"/>
        </w:rPr>
        <w:t>At every orientation session, include a discussion of individual rights under WIOA Title I nondiscrimination and equal opportunity provisions and of an individual’s right to file a complaint of discrimination.</w:t>
      </w:r>
    </w:p>
    <w:p w14:paraId="3574484C" w14:textId="77777777" w:rsidR="00731B35" w:rsidRPr="00731B35" w:rsidRDefault="00731B35" w:rsidP="00731B35">
      <w:pPr>
        <w:numPr>
          <w:ilvl w:val="0"/>
          <w:numId w:val="16"/>
        </w:numPr>
        <w:contextualSpacing/>
        <w:rPr>
          <w:sz w:val="24"/>
        </w:rPr>
      </w:pPr>
      <w:r w:rsidRPr="00731B35">
        <w:rPr>
          <w:sz w:val="24"/>
        </w:rPr>
        <w:t>Provide information on an individual’s right to file a complaint to any applicant who indicates he or she may have experienced discrimination.</w:t>
      </w:r>
    </w:p>
    <w:p w14:paraId="490652F1" w14:textId="77777777" w:rsidR="00731B35" w:rsidRPr="00731B35" w:rsidRDefault="00731B35" w:rsidP="00731B35">
      <w:pPr>
        <w:numPr>
          <w:ilvl w:val="0"/>
          <w:numId w:val="16"/>
        </w:numPr>
        <w:contextualSpacing/>
        <w:rPr>
          <w:sz w:val="24"/>
        </w:rPr>
      </w:pPr>
      <w:r w:rsidRPr="00731B35">
        <w:rPr>
          <w:sz w:val="24"/>
        </w:rPr>
        <w:t>Provide information on the complaint process in appropriate formats for persons with disabilities.</w:t>
      </w:r>
    </w:p>
    <w:p w14:paraId="12A8BE65" w14:textId="77777777" w:rsidR="00731B35" w:rsidRPr="00731B35" w:rsidRDefault="00731B35" w:rsidP="00731B35">
      <w:pPr>
        <w:numPr>
          <w:ilvl w:val="0"/>
          <w:numId w:val="16"/>
        </w:numPr>
        <w:contextualSpacing/>
        <w:rPr>
          <w:sz w:val="24"/>
        </w:rPr>
      </w:pPr>
      <w:r w:rsidRPr="00731B35">
        <w:rPr>
          <w:sz w:val="24"/>
        </w:rPr>
        <w:t>In any WIOA communication that mentions how recipients can be reached by phone, the number of the recipient’s relay service must also be provided.</w:t>
      </w:r>
    </w:p>
    <w:p w14:paraId="6E9CF02C" w14:textId="77777777" w:rsidR="00731B35" w:rsidRPr="00731B35" w:rsidRDefault="00731B35" w:rsidP="00731B35">
      <w:pPr>
        <w:numPr>
          <w:ilvl w:val="0"/>
          <w:numId w:val="16"/>
        </w:numPr>
        <w:contextualSpacing/>
        <w:rPr>
          <w:sz w:val="24"/>
        </w:rPr>
      </w:pPr>
      <w:r w:rsidRPr="00731B35">
        <w:rPr>
          <w:sz w:val="24"/>
        </w:rPr>
        <w:t>Provide an opportunity for customer input and feedback (</w:t>
      </w:r>
      <w:proofErr w:type="gramStart"/>
      <w:r w:rsidRPr="00731B35">
        <w:rPr>
          <w:sz w:val="24"/>
        </w:rPr>
        <w:t>e.g.</w:t>
      </w:r>
      <w:proofErr w:type="gramEnd"/>
      <w:r w:rsidRPr="00731B35">
        <w:rPr>
          <w:sz w:val="24"/>
        </w:rPr>
        <w:t xml:space="preserve"> a customer feedback box in the Resource Area) and have a process for reviewing and responding to customer input.</w:t>
      </w:r>
    </w:p>
    <w:p w14:paraId="15B6ACC4" w14:textId="77777777" w:rsidR="00731B35" w:rsidRPr="00731B35" w:rsidRDefault="00731B35" w:rsidP="00731B35">
      <w:pPr>
        <w:keepNext/>
        <w:keepLines/>
        <w:spacing w:before="40" w:after="0"/>
        <w:outlineLvl w:val="2"/>
        <w:rPr>
          <w:rFonts w:eastAsia="Times New Roman" w:cstheme="majorBidi"/>
          <w:b/>
          <w:color w:val="1F3763" w:themeColor="accent1" w:themeShade="7F"/>
          <w:sz w:val="24"/>
          <w:szCs w:val="24"/>
        </w:rPr>
      </w:pPr>
      <w:r w:rsidRPr="00731B35">
        <w:rPr>
          <w:rFonts w:eastAsia="Times New Roman" w:cstheme="majorBidi"/>
          <w:b/>
          <w:color w:val="1F3763" w:themeColor="accent1" w:themeShade="7F"/>
          <w:sz w:val="24"/>
          <w:szCs w:val="24"/>
        </w:rPr>
        <w:t>Recipient Staff Procedures</w:t>
      </w:r>
    </w:p>
    <w:p w14:paraId="1C0E9A85" w14:textId="77777777" w:rsidR="00731B35" w:rsidRPr="00731B35" w:rsidRDefault="00731B35" w:rsidP="00731B35">
      <w:pPr>
        <w:numPr>
          <w:ilvl w:val="0"/>
          <w:numId w:val="17"/>
        </w:numPr>
        <w:contextualSpacing/>
        <w:rPr>
          <w:sz w:val="24"/>
        </w:rPr>
      </w:pPr>
      <w:r w:rsidRPr="00731B35">
        <w:rPr>
          <w:sz w:val="24"/>
        </w:rPr>
        <w:t>Listen and respond appropriately to customers who have questions.</w:t>
      </w:r>
    </w:p>
    <w:p w14:paraId="774AA672" w14:textId="77777777" w:rsidR="00731B35" w:rsidRPr="00731B35" w:rsidRDefault="00731B35" w:rsidP="00731B35">
      <w:pPr>
        <w:numPr>
          <w:ilvl w:val="0"/>
          <w:numId w:val="17"/>
        </w:numPr>
        <w:contextualSpacing/>
        <w:rPr>
          <w:sz w:val="24"/>
        </w:rPr>
      </w:pPr>
      <w:r w:rsidRPr="00731B35">
        <w:rPr>
          <w:sz w:val="24"/>
        </w:rPr>
        <w:t>Know the responsible person (on-site manager and/or designee) to contact at the CareerForce location if a customer raises an issue, concern, or complaint.</w:t>
      </w:r>
    </w:p>
    <w:p w14:paraId="05E06438" w14:textId="77777777" w:rsidR="00731B35" w:rsidRPr="00731B35" w:rsidRDefault="00731B35" w:rsidP="00731B35">
      <w:pPr>
        <w:numPr>
          <w:ilvl w:val="0"/>
          <w:numId w:val="17"/>
        </w:numPr>
        <w:contextualSpacing/>
        <w:rPr>
          <w:sz w:val="24"/>
        </w:rPr>
      </w:pPr>
      <w:r w:rsidRPr="00731B35">
        <w:rPr>
          <w:sz w:val="24"/>
        </w:rPr>
        <w:lastRenderedPageBreak/>
        <w:t>Any person wishing to make a complaint should be directed to the site manager or designee. </w:t>
      </w:r>
    </w:p>
    <w:p w14:paraId="0C71751D" w14:textId="77777777" w:rsidR="00731B35" w:rsidRPr="00731B35" w:rsidRDefault="00731B35" w:rsidP="00731B35">
      <w:pPr>
        <w:numPr>
          <w:ilvl w:val="0"/>
          <w:numId w:val="17"/>
        </w:numPr>
        <w:contextualSpacing/>
        <w:rPr>
          <w:sz w:val="24"/>
        </w:rPr>
      </w:pPr>
      <w:r w:rsidRPr="00731B35">
        <w:rPr>
          <w:sz w:val="24"/>
        </w:rPr>
        <w:t>If customers have complaints regarding their experiences in the CareerForce location, the manager or designee should encourage resolution at the lowest, or local level, and attempt to resolve it before it escalates to a formal complaint process.  (Many times, the customer simply wants to vent or suggest an alternative, such as a customer’s complaint about the time they had to wait to use a computer.  The Computer Policy and Rules could be explained to the customer.)</w:t>
      </w:r>
    </w:p>
    <w:p w14:paraId="77A698EC" w14:textId="77777777" w:rsidR="00731B35" w:rsidRPr="00731B35" w:rsidRDefault="00731B35" w:rsidP="00731B35">
      <w:pPr>
        <w:numPr>
          <w:ilvl w:val="0"/>
          <w:numId w:val="17"/>
        </w:numPr>
        <w:contextualSpacing/>
        <w:rPr>
          <w:sz w:val="24"/>
        </w:rPr>
      </w:pPr>
      <w:r w:rsidRPr="00731B35">
        <w:rPr>
          <w:sz w:val="24"/>
        </w:rPr>
        <w:t>If the complaint is not resolved, the on-site manager or designee should help the customer navigate the complaint process. </w:t>
      </w:r>
    </w:p>
    <w:p w14:paraId="4D458933" w14:textId="77777777" w:rsidR="00731B35" w:rsidRPr="00731B35" w:rsidRDefault="00731B35" w:rsidP="00731B35">
      <w:pPr>
        <w:numPr>
          <w:ilvl w:val="0"/>
          <w:numId w:val="17"/>
        </w:numPr>
        <w:contextualSpacing/>
        <w:rPr>
          <w:sz w:val="24"/>
        </w:rPr>
      </w:pPr>
      <w:r w:rsidRPr="00731B35">
        <w:rPr>
          <w:sz w:val="24"/>
        </w:rPr>
        <w:t>If a customer wants to file a complaint of discrimination, the site manager must refer the customer to the local-level EO Officer. The EO Officer has the responsibility to manage the federally required complaint processes.</w:t>
      </w:r>
    </w:p>
    <w:p w14:paraId="7FAD3FEB" w14:textId="77777777" w:rsidR="00731B35" w:rsidRPr="00731B35" w:rsidRDefault="00731B35" w:rsidP="00731B35">
      <w:pPr>
        <w:ind w:left="720"/>
        <w:contextualSpacing/>
        <w:rPr>
          <w:sz w:val="24"/>
        </w:rPr>
      </w:pPr>
    </w:p>
    <w:p w14:paraId="347A04C5" w14:textId="77777777" w:rsidR="00731B35" w:rsidRPr="00731B35" w:rsidRDefault="00731B35" w:rsidP="00731B35">
      <w:pPr>
        <w:jc w:val="center"/>
        <w:rPr>
          <w:sz w:val="24"/>
        </w:rPr>
      </w:pPr>
      <w:r w:rsidRPr="00731B35">
        <w:rPr>
          <w:rFonts w:eastAsia="Times New Roman" w:cstheme="minorHAnsi"/>
        </w:rPr>
        <w:t xml:space="preserve">Alternate formats are available to individuals with disabilities by calling 651-259-7094 or by emailing </w:t>
      </w:r>
      <w:hyperlink r:id="rId15" w:history="1">
        <w:r w:rsidRPr="00731B35">
          <w:rPr>
            <w:rFonts w:eastAsia="Times New Roman" w:cstheme="minorHAnsi"/>
            <w:color w:val="0000FF"/>
            <w:u w:val="single"/>
          </w:rPr>
          <w:t>DEED.ODEO@state.mn.us</w:t>
        </w:r>
      </w:hyperlink>
    </w:p>
    <w:sectPr w:rsidR="00731B35" w:rsidRPr="00731B35">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61CB6" w14:textId="77777777" w:rsidR="003C25DD" w:rsidRDefault="003C25DD" w:rsidP="003C25DD">
      <w:pPr>
        <w:spacing w:after="0" w:line="240" w:lineRule="auto"/>
      </w:pPr>
      <w:r>
        <w:separator/>
      </w:r>
    </w:p>
  </w:endnote>
  <w:endnote w:type="continuationSeparator" w:id="0">
    <w:p w14:paraId="139725E0" w14:textId="77777777" w:rsidR="003C25DD" w:rsidRDefault="003C25DD" w:rsidP="003C2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221538"/>
      <w:docPartObj>
        <w:docPartGallery w:val="Page Numbers (Bottom of Page)"/>
        <w:docPartUnique/>
      </w:docPartObj>
    </w:sdtPr>
    <w:sdtEndPr>
      <w:rPr>
        <w:noProof/>
      </w:rPr>
    </w:sdtEndPr>
    <w:sdtContent>
      <w:p w14:paraId="1B5F1F62" w14:textId="2E1E2F91" w:rsidR="003C25DD" w:rsidRDefault="003C25D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EF94CE" w14:textId="77777777" w:rsidR="003C25DD" w:rsidRDefault="003C25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E65E8" w14:textId="77777777" w:rsidR="003C25DD" w:rsidRDefault="003C25DD" w:rsidP="003C25DD">
      <w:pPr>
        <w:spacing w:after="0" w:line="240" w:lineRule="auto"/>
      </w:pPr>
      <w:r>
        <w:separator/>
      </w:r>
    </w:p>
  </w:footnote>
  <w:footnote w:type="continuationSeparator" w:id="0">
    <w:p w14:paraId="7165D6D6" w14:textId="77777777" w:rsidR="003C25DD" w:rsidRDefault="003C25DD" w:rsidP="003C25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4A11D" w14:textId="0E44F9FE" w:rsidR="003C25DD" w:rsidRDefault="003C25DD" w:rsidP="003C25DD">
    <w:pPr>
      <w:pStyle w:val="Header"/>
      <w:tabs>
        <w:tab w:val="clear" w:pos="4680"/>
        <w:tab w:val="clear" w:pos="9360"/>
        <w:tab w:val="left" w:pos="153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638B"/>
    <w:multiLevelType w:val="multilevel"/>
    <w:tmpl w:val="208CE6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B2109E"/>
    <w:multiLevelType w:val="hybridMultilevel"/>
    <w:tmpl w:val="54BE6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97333"/>
    <w:multiLevelType w:val="hybridMultilevel"/>
    <w:tmpl w:val="9EE40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B7C7B"/>
    <w:multiLevelType w:val="multilevel"/>
    <w:tmpl w:val="8F8448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D1210E"/>
    <w:multiLevelType w:val="hybridMultilevel"/>
    <w:tmpl w:val="AD8E9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661F2F"/>
    <w:multiLevelType w:val="multilevel"/>
    <w:tmpl w:val="14CC2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C05EC1"/>
    <w:multiLevelType w:val="multilevel"/>
    <w:tmpl w:val="AC803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150E7F"/>
    <w:multiLevelType w:val="multilevel"/>
    <w:tmpl w:val="C2A271F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4D759D"/>
    <w:multiLevelType w:val="multilevel"/>
    <w:tmpl w:val="CB2273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604B52"/>
    <w:multiLevelType w:val="hybridMultilevel"/>
    <w:tmpl w:val="86109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D150AD"/>
    <w:multiLevelType w:val="hybridMultilevel"/>
    <w:tmpl w:val="28F6C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FF4229"/>
    <w:multiLevelType w:val="multilevel"/>
    <w:tmpl w:val="B2BC89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2FF6F30"/>
    <w:multiLevelType w:val="hybridMultilevel"/>
    <w:tmpl w:val="BF862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7B79DE"/>
    <w:multiLevelType w:val="multilevel"/>
    <w:tmpl w:val="9314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1C0138"/>
    <w:multiLevelType w:val="multilevel"/>
    <w:tmpl w:val="DF06A4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58B3A0F"/>
    <w:multiLevelType w:val="hybridMultilevel"/>
    <w:tmpl w:val="28CEB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9052DA"/>
    <w:multiLevelType w:val="hybridMultilevel"/>
    <w:tmpl w:val="89620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04285E"/>
    <w:multiLevelType w:val="hybridMultilevel"/>
    <w:tmpl w:val="CEECC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517FAB"/>
    <w:multiLevelType w:val="multilevel"/>
    <w:tmpl w:val="540E2D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1ABA1747"/>
    <w:multiLevelType w:val="multilevel"/>
    <w:tmpl w:val="77685A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AC47636"/>
    <w:multiLevelType w:val="multilevel"/>
    <w:tmpl w:val="A2B6A4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1CBE69FF"/>
    <w:multiLevelType w:val="hybridMultilevel"/>
    <w:tmpl w:val="54BC0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CC64A7"/>
    <w:multiLevelType w:val="hybridMultilevel"/>
    <w:tmpl w:val="4BDA4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D7C56DF"/>
    <w:multiLevelType w:val="multilevel"/>
    <w:tmpl w:val="CACA1C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DB908DF"/>
    <w:multiLevelType w:val="hybridMultilevel"/>
    <w:tmpl w:val="08AC0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EF900B9"/>
    <w:multiLevelType w:val="hybridMultilevel"/>
    <w:tmpl w:val="D11EE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14F10B1"/>
    <w:multiLevelType w:val="multilevel"/>
    <w:tmpl w:val="31588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15E46D2"/>
    <w:multiLevelType w:val="multilevel"/>
    <w:tmpl w:val="6A76B03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CA720A"/>
    <w:multiLevelType w:val="multilevel"/>
    <w:tmpl w:val="6FA0CB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4877700"/>
    <w:multiLevelType w:val="multilevel"/>
    <w:tmpl w:val="F79EF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4A0387D"/>
    <w:multiLevelType w:val="multilevel"/>
    <w:tmpl w:val="8E827E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4C603D5"/>
    <w:multiLevelType w:val="hybridMultilevel"/>
    <w:tmpl w:val="50040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564370A"/>
    <w:multiLevelType w:val="multilevel"/>
    <w:tmpl w:val="6D54A7F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5AF598B"/>
    <w:multiLevelType w:val="multilevel"/>
    <w:tmpl w:val="C0B8FC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5D92A97"/>
    <w:multiLevelType w:val="hybridMultilevel"/>
    <w:tmpl w:val="57222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B146A9C"/>
    <w:multiLevelType w:val="multilevel"/>
    <w:tmpl w:val="6ED2E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C1D20E7"/>
    <w:multiLevelType w:val="multilevel"/>
    <w:tmpl w:val="F76A45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541945"/>
    <w:multiLevelType w:val="multilevel"/>
    <w:tmpl w:val="4CF2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E971CA4"/>
    <w:multiLevelType w:val="hybridMultilevel"/>
    <w:tmpl w:val="0D20E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FB31C45"/>
    <w:multiLevelType w:val="multilevel"/>
    <w:tmpl w:val="4F2CD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00C6FB0"/>
    <w:multiLevelType w:val="hybridMultilevel"/>
    <w:tmpl w:val="EAA4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2535C0D"/>
    <w:multiLevelType w:val="hybridMultilevel"/>
    <w:tmpl w:val="4A0C3C30"/>
    <w:lvl w:ilvl="0" w:tplc="5D4A4D64">
      <w:start w:val="1"/>
      <w:numFmt w:val="decimal"/>
      <w:lvlText w:val="%1."/>
      <w:lvlJc w:val="left"/>
      <w:pPr>
        <w:ind w:left="840" w:hanging="360"/>
        <w:jc w:val="left"/>
      </w:pPr>
      <w:rPr>
        <w:rFonts w:ascii="Calibri" w:eastAsia="Calibri" w:hAnsi="Calibri" w:cs="Calibri" w:hint="default"/>
        <w:b w:val="0"/>
        <w:bCs w:val="0"/>
        <w:i w:val="0"/>
        <w:iCs w:val="0"/>
        <w:spacing w:val="-1"/>
        <w:w w:val="100"/>
        <w:sz w:val="24"/>
        <w:szCs w:val="24"/>
        <w:lang w:val="en-US" w:eastAsia="en-US" w:bidi="ar-SA"/>
      </w:rPr>
    </w:lvl>
    <w:lvl w:ilvl="1" w:tplc="53822166">
      <w:numFmt w:val="bullet"/>
      <w:lvlText w:val=""/>
      <w:lvlJc w:val="left"/>
      <w:pPr>
        <w:ind w:left="840" w:hanging="360"/>
      </w:pPr>
      <w:rPr>
        <w:rFonts w:ascii="Symbol" w:eastAsia="Symbol" w:hAnsi="Symbol" w:cs="Symbol" w:hint="default"/>
        <w:b w:val="0"/>
        <w:bCs w:val="0"/>
        <w:i w:val="0"/>
        <w:iCs w:val="0"/>
        <w:w w:val="100"/>
        <w:sz w:val="24"/>
        <w:szCs w:val="24"/>
        <w:lang w:val="en-US" w:eastAsia="en-US" w:bidi="ar-SA"/>
      </w:rPr>
    </w:lvl>
    <w:lvl w:ilvl="2" w:tplc="8E6C3266">
      <w:numFmt w:val="bullet"/>
      <w:lvlText w:val="•"/>
      <w:lvlJc w:val="left"/>
      <w:pPr>
        <w:ind w:left="2588" w:hanging="360"/>
      </w:pPr>
      <w:rPr>
        <w:rFonts w:hint="default"/>
        <w:lang w:val="en-US" w:eastAsia="en-US" w:bidi="ar-SA"/>
      </w:rPr>
    </w:lvl>
    <w:lvl w:ilvl="3" w:tplc="C5B2F2C8">
      <w:numFmt w:val="bullet"/>
      <w:lvlText w:val="•"/>
      <w:lvlJc w:val="left"/>
      <w:pPr>
        <w:ind w:left="3462" w:hanging="360"/>
      </w:pPr>
      <w:rPr>
        <w:rFonts w:hint="default"/>
        <w:lang w:val="en-US" w:eastAsia="en-US" w:bidi="ar-SA"/>
      </w:rPr>
    </w:lvl>
    <w:lvl w:ilvl="4" w:tplc="A4586C72">
      <w:numFmt w:val="bullet"/>
      <w:lvlText w:val="•"/>
      <w:lvlJc w:val="left"/>
      <w:pPr>
        <w:ind w:left="4336" w:hanging="360"/>
      </w:pPr>
      <w:rPr>
        <w:rFonts w:hint="default"/>
        <w:lang w:val="en-US" w:eastAsia="en-US" w:bidi="ar-SA"/>
      </w:rPr>
    </w:lvl>
    <w:lvl w:ilvl="5" w:tplc="B2364AA4">
      <w:numFmt w:val="bullet"/>
      <w:lvlText w:val="•"/>
      <w:lvlJc w:val="left"/>
      <w:pPr>
        <w:ind w:left="5210" w:hanging="360"/>
      </w:pPr>
      <w:rPr>
        <w:rFonts w:hint="default"/>
        <w:lang w:val="en-US" w:eastAsia="en-US" w:bidi="ar-SA"/>
      </w:rPr>
    </w:lvl>
    <w:lvl w:ilvl="6" w:tplc="E9AAB512">
      <w:numFmt w:val="bullet"/>
      <w:lvlText w:val="•"/>
      <w:lvlJc w:val="left"/>
      <w:pPr>
        <w:ind w:left="6084" w:hanging="360"/>
      </w:pPr>
      <w:rPr>
        <w:rFonts w:hint="default"/>
        <w:lang w:val="en-US" w:eastAsia="en-US" w:bidi="ar-SA"/>
      </w:rPr>
    </w:lvl>
    <w:lvl w:ilvl="7" w:tplc="E53822F2">
      <w:numFmt w:val="bullet"/>
      <w:lvlText w:val="•"/>
      <w:lvlJc w:val="left"/>
      <w:pPr>
        <w:ind w:left="6958" w:hanging="360"/>
      </w:pPr>
      <w:rPr>
        <w:rFonts w:hint="default"/>
        <w:lang w:val="en-US" w:eastAsia="en-US" w:bidi="ar-SA"/>
      </w:rPr>
    </w:lvl>
    <w:lvl w:ilvl="8" w:tplc="E3ACF8F6">
      <w:numFmt w:val="bullet"/>
      <w:lvlText w:val="•"/>
      <w:lvlJc w:val="left"/>
      <w:pPr>
        <w:ind w:left="7832" w:hanging="360"/>
      </w:pPr>
      <w:rPr>
        <w:rFonts w:hint="default"/>
        <w:lang w:val="en-US" w:eastAsia="en-US" w:bidi="ar-SA"/>
      </w:rPr>
    </w:lvl>
  </w:abstractNum>
  <w:abstractNum w:abstractNumId="42" w15:restartNumberingAfterBreak="0">
    <w:nsid w:val="32F64B21"/>
    <w:multiLevelType w:val="multilevel"/>
    <w:tmpl w:val="C9E602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44B633C"/>
    <w:multiLevelType w:val="multilevel"/>
    <w:tmpl w:val="9314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4A566F5"/>
    <w:multiLevelType w:val="multilevel"/>
    <w:tmpl w:val="05F4D1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94D73F5"/>
    <w:multiLevelType w:val="multilevel"/>
    <w:tmpl w:val="8200D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C2E6CCB"/>
    <w:multiLevelType w:val="hybridMultilevel"/>
    <w:tmpl w:val="CBCA8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FB55736"/>
    <w:multiLevelType w:val="hybridMultilevel"/>
    <w:tmpl w:val="F7DEB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0DD2AD8"/>
    <w:multiLevelType w:val="multilevel"/>
    <w:tmpl w:val="9314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13B2826"/>
    <w:multiLevelType w:val="multilevel"/>
    <w:tmpl w:val="9314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1EC4151"/>
    <w:multiLevelType w:val="multilevel"/>
    <w:tmpl w:val="023055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29A576E"/>
    <w:multiLevelType w:val="multilevel"/>
    <w:tmpl w:val="DE4CB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41D4509"/>
    <w:multiLevelType w:val="multilevel"/>
    <w:tmpl w:val="7FB23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4C63504"/>
    <w:multiLevelType w:val="multilevel"/>
    <w:tmpl w:val="53BA75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6B83896"/>
    <w:multiLevelType w:val="multilevel"/>
    <w:tmpl w:val="472AAB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94C2074"/>
    <w:multiLevelType w:val="multilevel"/>
    <w:tmpl w:val="9814AC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B500EC2"/>
    <w:multiLevelType w:val="hybridMultilevel"/>
    <w:tmpl w:val="9466B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F9C654E"/>
    <w:multiLevelType w:val="multilevel"/>
    <w:tmpl w:val="5BCE4E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8" w15:restartNumberingAfterBreak="0">
    <w:nsid w:val="52420644"/>
    <w:multiLevelType w:val="multilevel"/>
    <w:tmpl w:val="257EBD6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3BB0565"/>
    <w:multiLevelType w:val="multilevel"/>
    <w:tmpl w:val="382C57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5C663AA"/>
    <w:multiLevelType w:val="hybridMultilevel"/>
    <w:tmpl w:val="9D36A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5CC298D"/>
    <w:multiLevelType w:val="multilevel"/>
    <w:tmpl w:val="7AFA31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391CB9"/>
    <w:multiLevelType w:val="multilevel"/>
    <w:tmpl w:val="9314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64272E4"/>
    <w:multiLevelType w:val="multilevel"/>
    <w:tmpl w:val="9314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68151A9"/>
    <w:multiLevelType w:val="multilevel"/>
    <w:tmpl w:val="045CA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74402F5"/>
    <w:multiLevelType w:val="multilevel"/>
    <w:tmpl w:val="1A6CF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578B2CFC"/>
    <w:multiLevelType w:val="hybridMultilevel"/>
    <w:tmpl w:val="E3D4D6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58F04737"/>
    <w:multiLevelType w:val="multilevel"/>
    <w:tmpl w:val="AEA46A9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75E3B"/>
    <w:multiLevelType w:val="multilevel"/>
    <w:tmpl w:val="7C3A3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59A85D46"/>
    <w:multiLevelType w:val="multilevel"/>
    <w:tmpl w:val="338E5EB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B0A86"/>
    <w:multiLevelType w:val="hybridMultilevel"/>
    <w:tmpl w:val="55E227AA"/>
    <w:lvl w:ilvl="0" w:tplc="0BA29D78">
      <w:start w:val="1"/>
      <w:numFmt w:val="bullet"/>
      <w:lvlText w:val=""/>
      <w:lvlJc w:val="left"/>
      <w:pPr>
        <w:ind w:left="630" w:hanging="360"/>
      </w:pPr>
      <w:rPr>
        <w:rFonts w:ascii="Symbol" w:hAnsi="Symbol" w:hint="default"/>
        <w:sz w:val="28"/>
        <w:szCs w:val="24"/>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1" w15:restartNumberingAfterBreak="0">
    <w:nsid w:val="5AE12DC4"/>
    <w:multiLevelType w:val="hybridMultilevel"/>
    <w:tmpl w:val="F5D6C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BCB3F81"/>
    <w:multiLevelType w:val="multilevel"/>
    <w:tmpl w:val="DCB822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BF80520"/>
    <w:multiLevelType w:val="multilevel"/>
    <w:tmpl w:val="790C1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5CD75B1F"/>
    <w:multiLevelType w:val="multilevel"/>
    <w:tmpl w:val="9314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E0E1189"/>
    <w:multiLevelType w:val="hybridMultilevel"/>
    <w:tmpl w:val="D9F08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E7F0936"/>
    <w:multiLevelType w:val="multilevel"/>
    <w:tmpl w:val="9314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EA475FC"/>
    <w:multiLevelType w:val="multilevel"/>
    <w:tmpl w:val="30E06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EE8476E"/>
    <w:multiLevelType w:val="multilevel"/>
    <w:tmpl w:val="1C9E30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0601725"/>
    <w:multiLevelType w:val="multilevel"/>
    <w:tmpl w:val="1B40D11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0D64E04"/>
    <w:multiLevelType w:val="multilevel"/>
    <w:tmpl w:val="495EE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61C467C5"/>
    <w:multiLevelType w:val="hybridMultilevel"/>
    <w:tmpl w:val="739471BA"/>
    <w:lvl w:ilvl="0" w:tplc="52F030CA">
      <w:numFmt w:val="bullet"/>
      <w:lvlText w:val=""/>
      <w:lvlJc w:val="left"/>
      <w:pPr>
        <w:ind w:left="840" w:hanging="360"/>
      </w:pPr>
      <w:rPr>
        <w:rFonts w:ascii="Symbol" w:eastAsia="Symbol" w:hAnsi="Symbol" w:cs="Symbol" w:hint="default"/>
        <w:w w:val="100"/>
        <w:lang w:val="en-US" w:eastAsia="en-US" w:bidi="ar-SA"/>
      </w:rPr>
    </w:lvl>
    <w:lvl w:ilvl="1" w:tplc="24A8B0C2">
      <w:numFmt w:val="bullet"/>
      <w:lvlText w:val="•"/>
      <w:lvlJc w:val="left"/>
      <w:pPr>
        <w:ind w:left="1714" w:hanging="360"/>
      </w:pPr>
      <w:rPr>
        <w:rFonts w:hint="default"/>
        <w:lang w:val="en-US" w:eastAsia="en-US" w:bidi="ar-SA"/>
      </w:rPr>
    </w:lvl>
    <w:lvl w:ilvl="2" w:tplc="7A626CB8">
      <w:numFmt w:val="bullet"/>
      <w:lvlText w:val="•"/>
      <w:lvlJc w:val="left"/>
      <w:pPr>
        <w:ind w:left="2588" w:hanging="360"/>
      </w:pPr>
      <w:rPr>
        <w:rFonts w:hint="default"/>
        <w:lang w:val="en-US" w:eastAsia="en-US" w:bidi="ar-SA"/>
      </w:rPr>
    </w:lvl>
    <w:lvl w:ilvl="3" w:tplc="2A486260">
      <w:numFmt w:val="bullet"/>
      <w:lvlText w:val="•"/>
      <w:lvlJc w:val="left"/>
      <w:pPr>
        <w:ind w:left="3462" w:hanging="360"/>
      </w:pPr>
      <w:rPr>
        <w:rFonts w:hint="default"/>
        <w:lang w:val="en-US" w:eastAsia="en-US" w:bidi="ar-SA"/>
      </w:rPr>
    </w:lvl>
    <w:lvl w:ilvl="4" w:tplc="919ED6DA">
      <w:numFmt w:val="bullet"/>
      <w:lvlText w:val="•"/>
      <w:lvlJc w:val="left"/>
      <w:pPr>
        <w:ind w:left="4336" w:hanging="360"/>
      </w:pPr>
      <w:rPr>
        <w:rFonts w:hint="default"/>
        <w:lang w:val="en-US" w:eastAsia="en-US" w:bidi="ar-SA"/>
      </w:rPr>
    </w:lvl>
    <w:lvl w:ilvl="5" w:tplc="E8046EF2">
      <w:numFmt w:val="bullet"/>
      <w:lvlText w:val="•"/>
      <w:lvlJc w:val="left"/>
      <w:pPr>
        <w:ind w:left="5210" w:hanging="360"/>
      </w:pPr>
      <w:rPr>
        <w:rFonts w:hint="default"/>
        <w:lang w:val="en-US" w:eastAsia="en-US" w:bidi="ar-SA"/>
      </w:rPr>
    </w:lvl>
    <w:lvl w:ilvl="6" w:tplc="931C3612">
      <w:numFmt w:val="bullet"/>
      <w:lvlText w:val="•"/>
      <w:lvlJc w:val="left"/>
      <w:pPr>
        <w:ind w:left="6084" w:hanging="360"/>
      </w:pPr>
      <w:rPr>
        <w:rFonts w:hint="default"/>
        <w:lang w:val="en-US" w:eastAsia="en-US" w:bidi="ar-SA"/>
      </w:rPr>
    </w:lvl>
    <w:lvl w:ilvl="7" w:tplc="DD467A8A">
      <w:numFmt w:val="bullet"/>
      <w:lvlText w:val="•"/>
      <w:lvlJc w:val="left"/>
      <w:pPr>
        <w:ind w:left="6958" w:hanging="360"/>
      </w:pPr>
      <w:rPr>
        <w:rFonts w:hint="default"/>
        <w:lang w:val="en-US" w:eastAsia="en-US" w:bidi="ar-SA"/>
      </w:rPr>
    </w:lvl>
    <w:lvl w:ilvl="8" w:tplc="805A6BB8">
      <w:numFmt w:val="bullet"/>
      <w:lvlText w:val="•"/>
      <w:lvlJc w:val="left"/>
      <w:pPr>
        <w:ind w:left="7832" w:hanging="360"/>
      </w:pPr>
      <w:rPr>
        <w:rFonts w:hint="default"/>
        <w:lang w:val="en-US" w:eastAsia="en-US" w:bidi="ar-SA"/>
      </w:rPr>
    </w:lvl>
  </w:abstractNum>
  <w:abstractNum w:abstractNumId="82" w15:restartNumberingAfterBreak="0">
    <w:nsid w:val="631559ED"/>
    <w:multiLevelType w:val="multilevel"/>
    <w:tmpl w:val="687CD0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648749C1"/>
    <w:multiLevelType w:val="multilevel"/>
    <w:tmpl w:val="7C4029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4B95462"/>
    <w:multiLevelType w:val="multilevel"/>
    <w:tmpl w:val="11F8AB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55372DF"/>
    <w:multiLevelType w:val="multilevel"/>
    <w:tmpl w:val="3BD4ACE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7DE0E49"/>
    <w:multiLevelType w:val="multilevel"/>
    <w:tmpl w:val="6D04A6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9BF1B15"/>
    <w:multiLevelType w:val="multilevel"/>
    <w:tmpl w:val="48623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88424C"/>
    <w:multiLevelType w:val="hybridMultilevel"/>
    <w:tmpl w:val="3AFA1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EF6336A"/>
    <w:multiLevelType w:val="hybridMultilevel"/>
    <w:tmpl w:val="6F00E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F6E1543"/>
    <w:multiLevelType w:val="hybridMultilevel"/>
    <w:tmpl w:val="D6B0D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0EB3E78"/>
    <w:multiLevelType w:val="multilevel"/>
    <w:tmpl w:val="A9F83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1BC0318"/>
    <w:multiLevelType w:val="multilevel"/>
    <w:tmpl w:val="E3D86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2A97D74"/>
    <w:multiLevelType w:val="multilevel"/>
    <w:tmpl w:val="2760DF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33D4AB2"/>
    <w:multiLevelType w:val="multilevel"/>
    <w:tmpl w:val="93140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4301396"/>
    <w:multiLevelType w:val="multilevel"/>
    <w:tmpl w:val="498E4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57B4B1D"/>
    <w:multiLevelType w:val="hybridMultilevel"/>
    <w:tmpl w:val="0AA232F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5DF3BD4"/>
    <w:multiLevelType w:val="multilevel"/>
    <w:tmpl w:val="C84ECB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67C4D06"/>
    <w:multiLevelType w:val="multilevel"/>
    <w:tmpl w:val="561828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7414C94"/>
    <w:multiLevelType w:val="multilevel"/>
    <w:tmpl w:val="1FD48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77E54ECE"/>
    <w:multiLevelType w:val="hybridMultilevel"/>
    <w:tmpl w:val="1774F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A056E3B"/>
    <w:multiLevelType w:val="hybridMultilevel"/>
    <w:tmpl w:val="37BA6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B1944DD"/>
    <w:multiLevelType w:val="multilevel"/>
    <w:tmpl w:val="3D3A3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41938110">
    <w:abstractNumId w:val="31"/>
  </w:num>
  <w:num w:numId="2" w16cid:durableId="1545827165">
    <w:abstractNumId w:val="82"/>
  </w:num>
  <w:num w:numId="3" w16cid:durableId="180583169">
    <w:abstractNumId w:val="87"/>
  </w:num>
  <w:num w:numId="4" w16cid:durableId="512914347">
    <w:abstractNumId w:val="78"/>
  </w:num>
  <w:num w:numId="5" w16cid:durableId="896361621">
    <w:abstractNumId w:val="54"/>
  </w:num>
  <w:num w:numId="6" w16cid:durableId="1875003302">
    <w:abstractNumId w:val="53"/>
  </w:num>
  <w:num w:numId="7" w16cid:durableId="2132430387">
    <w:abstractNumId w:val="3"/>
  </w:num>
  <w:num w:numId="8" w16cid:durableId="946081697">
    <w:abstractNumId w:val="72"/>
  </w:num>
  <w:num w:numId="9" w16cid:durableId="1161504253">
    <w:abstractNumId w:val="30"/>
  </w:num>
  <w:num w:numId="10" w16cid:durableId="477460330">
    <w:abstractNumId w:val="79"/>
  </w:num>
  <w:num w:numId="11" w16cid:durableId="1679695057">
    <w:abstractNumId w:val="69"/>
  </w:num>
  <w:num w:numId="12" w16cid:durableId="857086958">
    <w:abstractNumId w:val="7"/>
  </w:num>
  <w:num w:numId="13" w16cid:durableId="904413358">
    <w:abstractNumId w:val="58"/>
  </w:num>
  <w:num w:numId="14" w16cid:durableId="505897590">
    <w:abstractNumId w:val="85"/>
  </w:num>
  <w:num w:numId="15" w16cid:durableId="88358800">
    <w:abstractNumId w:val="68"/>
  </w:num>
  <w:num w:numId="16" w16cid:durableId="1292516991">
    <w:abstractNumId w:val="10"/>
  </w:num>
  <w:num w:numId="17" w16cid:durableId="1132165509">
    <w:abstractNumId w:val="71"/>
  </w:num>
  <w:num w:numId="18" w16cid:durableId="1567450597">
    <w:abstractNumId w:val="70"/>
  </w:num>
  <w:num w:numId="19" w16cid:durableId="1245143489">
    <w:abstractNumId w:val="26"/>
  </w:num>
  <w:num w:numId="20" w16cid:durableId="2133937189">
    <w:abstractNumId w:val="44"/>
  </w:num>
  <w:num w:numId="21" w16cid:durableId="2100056156">
    <w:abstractNumId w:val="61"/>
  </w:num>
  <w:num w:numId="22" w16cid:durableId="358164367">
    <w:abstractNumId w:val="55"/>
  </w:num>
  <w:num w:numId="23" w16cid:durableId="1312253485">
    <w:abstractNumId w:val="11"/>
  </w:num>
  <w:num w:numId="24" w16cid:durableId="698747840">
    <w:abstractNumId w:val="42"/>
  </w:num>
  <w:num w:numId="25" w16cid:durableId="1787384271">
    <w:abstractNumId w:val="0"/>
  </w:num>
  <w:num w:numId="26" w16cid:durableId="739446563">
    <w:abstractNumId w:val="27"/>
  </w:num>
  <w:num w:numId="27" w16cid:durableId="1532955492">
    <w:abstractNumId w:val="67"/>
  </w:num>
  <w:num w:numId="28" w16cid:durableId="510222682">
    <w:abstractNumId w:val="32"/>
  </w:num>
  <w:num w:numId="29" w16cid:durableId="1962149968">
    <w:abstractNumId w:val="29"/>
  </w:num>
  <w:num w:numId="30" w16cid:durableId="313410995">
    <w:abstractNumId w:val="77"/>
  </w:num>
  <w:num w:numId="31" w16cid:durableId="854920822">
    <w:abstractNumId w:val="93"/>
  </w:num>
  <w:num w:numId="32" w16cid:durableId="1989506697">
    <w:abstractNumId w:val="8"/>
  </w:num>
  <w:num w:numId="33" w16cid:durableId="1126658222">
    <w:abstractNumId w:val="41"/>
  </w:num>
  <w:num w:numId="34" w16cid:durableId="383650414">
    <w:abstractNumId w:val="81"/>
  </w:num>
  <w:num w:numId="35" w16cid:durableId="114839032">
    <w:abstractNumId w:val="80"/>
  </w:num>
  <w:num w:numId="36" w16cid:durableId="1964381410">
    <w:abstractNumId w:val="60"/>
  </w:num>
  <w:num w:numId="37" w16cid:durableId="1731423875">
    <w:abstractNumId w:val="4"/>
  </w:num>
  <w:num w:numId="38" w16cid:durableId="1617180281">
    <w:abstractNumId w:val="66"/>
  </w:num>
  <w:num w:numId="39" w16cid:durableId="2117167342">
    <w:abstractNumId w:val="89"/>
  </w:num>
  <w:num w:numId="40" w16cid:durableId="1214460539">
    <w:abstractNumId w:val="16"/>
  </w:num>
  <w:num w:numId="41" w16cid:durableId="1368871213">
    <w:abstractNumId w:val="45"/>
  </w:num>
  <w:num w:numId="42" w16cid:durableId="1957248674">
    <w:abstractNumId w:val="73"/>
  </w:num>
  <w:num w:numId="43" w16cid:durableId="424111623">
    <w:abstractNumId w:val="102"/>
  </w:num>
  <w:num w:numId="44" w16cid:durableId="1206914215">
    <w:abstractNumId w:val="99"/>
  </w:num>
  <w:num w:numId="45" w16cid:durableId="1352681954">
    <w:abstractNumId w:val="56"/>
  </w:num>
  <w:num w:numId="46" w16cid:durableId="872496601">
    <w:abstractNumId w:val="100"/>
  </w:num>
  <w:num w:numId="47" w16cid:durableId="1668098197">
    <w:abstractNumId w:val="75"/>
  </w:num>
  <w:num w:numId="48" w16cid:durableId="529802924">
    <w:abstractNumId w:val="24"/>
  </w:num>
  <w:num w:numId="49" w16cid:durableId="1062018440">
    <w:abstractNumId w:val="15"/>
  </w:num>
  <w:num w:numId="50" w16cid:durableId="431365219">
    <w:abstractNumId w:val="38"/>
  </w:num>
  <w:num w:numId="51" w16cid:durableId="716902979">
    <w:abstractNumId w:val="88"/>
  </w:num>
  <w:num w:numId="52" w16cid:durableId="1449009060">
    <w:abstractNumId w:val="101"/>
  </w:num>
  <w:num w:numId="53" w16cid:durableId="398403113">
    <w:abstractNumId w:val="1"/>
  </w:num>
  <w:num w:numId="54" w16cid:durableId="443696768">
    <w:abstractNumId w:val="2"/>
  </w:num>
  <w:num w:numId="55" w16cid:durableId="1450977572">
    <w:abstractNumId w:val="9"/>
  </w:num>
  <w:num w:numId="56" w16cid:durableId="2050258456">
    <w:abstractNumId w:val="47"/>
  </w:num>
  <w:num w:numId="57" w16cid:durableId="1309625319">
    <w:abstractNumId w:val="25"/>
  </w:num>
  <w:num w:numId="58" w16cid:durableId="745957429">
    <w:abstractNumId w:val="12"/>
  </w:num>
  <w:num w:numId="59" w16cid:durableId="84233672">
    <w:abstractNumId w:val="90"/>
  </w:num>
  <w:num w:numId="60" w16cid:durableId="904604933">
    <w:abstractNumId w:val="46"/>
  </w:num>
  <w:num w:numId="61" w16cid:durableId="1407847318">
    <w:abstractNumId w:val="22"/>
  </w:num>
  <w:num w:numId="62" w16cid:durableId="588582386">
    <w:abstractNumId w:val="96"/>
  </w:num>
  <w:num w:numId="63" w16cid:durableId="776290926">
    <w:abstractNumId w:val="40"/>
  </w:num>
  <w:num w:numId="64" w16cid:durableId="845750298">
    <w:abstractNumId w:val="94"/>
  </w:num>
  <w:num w:numId="65" w16cid:durableId="923151644">
    <w:abstractNumId w:val="63"/>
  </w:num>
  <w:num w:numId="66" w16cid:durableId="1267884923">
    <w:abstractNumId w:val="48"/>
  </w:num>
  <w:num w:numId="67" w16cid:durableId="1093015259">
    <w:abstractNumId w:val="49"/>
  </w:num>
  <w:num w:numId="68" w16cid:durableId="156269176">
    <w:abstractNumId w:val="43"/>
  </w:num>
  <w:num w:numId="69" w16cid:durableId="633872834">
    <w:abstractNumId w:val="62"/>
  </w:num>
  <w:num w:numId="70" w16cid:durableId="1439445548">
    <w:abstractNumId w:val="34"/>
  </w:num>
  <w:num w:numId="71" w16cid:durableId="229078659">
    <w:abstractNumId w:val="76"/>
  </w:num>
  <w:num w:numId="72" w16cid:durableId="1411973146">
    <w:abstractNumId w:val="74"/>
  </w:num>
  <w:num w:numId="73" w16cid:durableId="169832399">
    <w:abstractNumId w:val="13"/>
  </w:num>
  <w:num w:numId="74" w16cid:durableId="608657961">
    <w:abstractNumId w:val="21"/>
  </w:num>
  <w:num w:numId="75" w16cid:durableId="309214112">
    <w:abstractNumId w:val="17"/>
  </w:num>
  <w:num w:numId="76" w16cid:durableId="1138305424">
    <w:abstractNumId w:val="64"/>
  </w:num>
  <w:num w:numId="77" w16cid:durableId="938559901">
    <w:abstractNumId w:val="50"/>
  </w:num>
  <w:num w:numId="78" w16cid:durableId="1303851290">
    <w:abstractNumId w:val="86"/>
  </w:num>
  <w:num w:numId="79" w16cid:durableId="1660428829">
    <w:abstractNumId w:val="37"/>
  </w:num>
  <w:num w:numId="80" w16cid:durableId="1979646195">
    <w:abstractNumId w:val="5"/>
  </w:num>
  <w:num w:numId="81" w16cid:durableId="160194102">
    <w:abstractNumId w:val="84"/>
  </w:num>
  <w:num w:numId="82" w16cid:durableId="2059862963">
    <w:abstractNumId w:val="14"/>
  </w:num>
  <w:num w:numId="83" w16cid:durableId="541478510">
    <w:abstractNumId w:val="35"/>
  </w:num>
  <w:num w:numId="84" w16cid:durableId="161504602">
    <w:abstractNumId w:val="33"/>
  </w:num>
  <w:num w:numId="85" w16cid:durableId="2140612218">
    <w:abstractNumId w:val="23"/>
  </w:num>
  <w:num w:numId="86" w16cid:durableId="1429229971">
    <w:abstractNumId w:val="92"/>
  </w:num>
  <w:num w:numId="87" w16cid:durableId="798719314">
    <w:abstractNumId w:val="97"/>
  </w:num>
  <w:num w:numId="88" w16cid:durableId="2111778256">
    <w:abstractNumId w:val="6"/>
  </w:num>
  <w:num w:numId="89" w16cid:durableId="1142696637">
    <w:abstractNumId w:val="65"/>
  </w:num>
  <w:num w:numId="90" w16cid:durableId="1296447736">
    <w:abstractNumId w:val="18"/>
  </w:num>
  <w:num w:numId="91" w16cid:durableId="1295714248">
    <w:abstractNumId w:val="51"/>
  </w:num>
  <w:num w:numId="92" w16cid:durableId="1054043409">
    <w:abstractNumId w:val="20"/>
  </w:num>
  <w:num w:numId="93" w16cid:durableId="16587677">
    <w:abstractNumId w:val="57"/>
  </w:num>
  <w:num w:numId="94" w16cid:durableId="2101636858">
    <w:abstractNumId w:val="95"/>
  </w:num>
  <w:num w:numId="95" w16cid:durableId="1103720055">
    <w:abstractNumId w:val="36"/>
  </w:num>
  <w:num w:numId="96" w16cid:durableId="343359424">
    <w:abstractNumId w:val="39"/>
  </w:num>
  <w:num w:numId="97" w16cid:durableId="1799765269">
    <w:abstractNumId w:val="52"/>
  </w:num>
  <w:num w:numId="98" w16cid:durableId="541747655">
    <w:abstractNumId w:val="28"/>
  </w:num>
  <w:num w:numId="99" w16cid:durableId="871189648">
    <w:abstractNumId w:val="83"/>
  </w:num>
  <w:num w:numId="100" w16cid:durableId="1909654247">
    <w:abstractNumId w:val="91"/>
  </w:num>
  <w:num w:numId="101" w16cid:durableId="427847537">
    <w:abstractNumId w:val="19"/>
  </w:num>
  <w:num w:numId="102" w16cid:durableId="466775534">
    <w:abstractNumId w:val="59"/>
  </w:num>
  <w:num w:numId="103" w16cid:durableId="8068884">
    <w:abstractNumId w:val="98"/>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0sDQ0MrY0MDE3sDBS0lEKTi0uzszPAykwqgUAWXsDDiwAAAA="/>
  </w:docVars>
  <w:rsids>
    <w:rsidRoot w:val="00626F1A"/>
    <w:rsid w:val="003C25DD"/>
    <w:rsid w:val="00626F1A"/>
    <w:rsid w:val="00731B35"/>
    <w:rsid w:val="00A30E4B"/>
    <w:rsid w:val="00C14AA3"/>
    <w:rsid w:val="00C80E69"/>
    <w:rsid w:val="00D6421E"/>
    <w:rsid w:val="00D6489E"/>
    <w:rsid w:val="00D73834"/>
    <w:rsid w:val="00F74171"/>
    <w:rsid w:val="00F85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F37E69"/>
  <w15:chartTrackingRefBased/>
  <w15:docId w15:val="{C07DC2E4-F4D9-4ED7-84E2-413347801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25DD"/>
    <w:pPr>
      <w:keepNext/>
      <w:keepLines/>
      <w:spacing w:before="240" w:after="0"/>
      <w:outlineLvl w:val="0"/>
    </w:pPr>
    <w:rPr>
      <w:rFonts w:asciiTheme="majorHAnsi" w:eastAsiaTheme="majorEastAsia" w:hAnsiTheme="majorHAnsi" w:cstheme="majorBidi"/>
      <w:b/>
      <w:color w:val="002060"/>
      <w:sz w:val="36"/>
      <w:szCs w:val="32"/>
    </w:rPr>
  </w:style>
  <w:style w:type="paragraph" w:styleId="Heading2">
    <w:name w:val="heading 2"/>
    <w:basedOn w:val="Normal"/>
    <w:next w:val="Normal"/>
    <w:link w:val="Heading2Char"/>
    <w:uiPriority w:val="9"/>
    <w:unhideWhenUsed/>
    <w:qFormat/>
    <w:rsid w:val="003C25DD"/>
    <w:pPr>
      <w:keepNext/>
      <w:keepLines/>
      <w:spacing w:before="40" w:after="0"/>
      <w:outlineLvl w:val="1"/>
    </w:pPr>
    <w:rPr>
      <w:rFonts w:asciiTheme="majorHAnsi" w:eastAsiaTheme="majorEastAsia" w:hAnsiTheme="majorHAnsi" w:cstheme="majorBidi"/>
      <w:b/>
      <w:color w:val="002060"/>
      <w:sz w:val="24"/>
      <w:szCs w:val="26"/>
    </w:rPr>
  </w:style>
  <w:style w:type="paragraph" w:styleId="Heading3">
    <w:name w:val="heading 3"/>
    <w:basedOn w:val="Normal"/>
    <w:next w:val="Normal"/>
    <w:link w:val="Heading3Char"/>
    <w:uiPriority w:val="9"/>
    <w:semiHidden/>
    <w:unhideWhenUsed/>
    <w:qFormat/>
    <w:rsid w:val="00731B3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25DD"/>
    <w:rPr>
      <w:rFonts w:asciiTheme="majorHAnsi" w:eastAsiaTheme="majorEastAsia" w:hAnsiTheme="majorHAnsi" w:cstheme="majorBidi"/>
      <w:b/>
      <w:color w:val="002060"/>
      <w:sz w:val="36"/>
      <w:szCs w:val="32"/>
    </w:rPr>
  </w:style>
  <w:style w:type="character" w:styleId="Hyperlink">
    <w:name w:val="Hyperlink"/>
    <w:basedOn w:val="DefaultParagraphFont"/>
    <w:uiPriority w:val="99"/>
    <w:unhideWhenUsed/>
    <w:rsid w:val="00626F1A"/>
    <w:rPr>
      <w:color w:val="0563C1" w:themeColor="hyperlink"/>
      <w:u w:val="single"/>
    </w:rPr>
  </w:style>
  <w:style w:type="character" w:styleId="UnresolvedMention">
    <w:name w:val="Unresolved Mention"/>
    <w:basedOn w:val="DefaultParagraphFont"/>
    <w:uiPriority w:val="99"/>
    <w:semiHidden/>
    <w:unhideWhenUsed/>
    <w:rsid w:val="00626F1A"/>
    <w:rPr>
      <w:color w:val="605E5C"/>
      <w:shd w:val="clear" w:color="auto" w:fill="E1DFDD"/>
    </w:rPr>
  </w:style>
  <w:style w:type="character" w:customStyle="1" w:styleId="Heading2Char">
    <w:name w:val="Heading 2 Char"/>
    <w:basedOn w:val="DefaultParagraphFont"/>
    <w:link w:val="Heading2"/>
    <w:uiPriority w:val="9"/>
    <w:rsid w:val="003C25DD"/>
    <w:rPr>
      <w:rFonts w:asciiTheme="majorHAnsi" w:eastAsiaTheme="majorEastAsia" w:hAnsiTheme="majorHAnsi" w:cstheme="majorBidi"/>
      <w:b/>
      <w:color w:val="002060"/>
      <w:sz w:val="24"/>
      <w:szCs w:val="26"/>
    </w:rPr>
  </w:style>
  <w:style w:type="character" w:customStyle="1" w:styleId="Heading3Char">
    <w:name w:val="Heading 3 Char"/>
    <w:basedOn w:val="DefaultParagraphFont"/>
    <w:link w:val="Heading3"/>
    <w:uiPriority w:val="9"/>
    <w:semiHidden/>
    <w:rsid w:val="00731B35"/>
    <w:rPr>
      <w:rFonts w:asciiTheme="majorHAnsi" w:eastAsiaTheme="majorEastAsia" w:hAnsiTheme="majorHAnsi" w:cstheme="majorBidi"/>
      <w:color w:val="1F3763" w:themeColor="accent1" w:themeShade="7F"/>
      <w:sz w:val="24"/>
      <w:szCs w:val="24"/>
    </w:rPr>
  </w:style>
  <w:style w:type="paragraph" w:customStyle="1" w:styleId="paragraph">
    <w:name w:val="paragraph"/>
    <w:basedOn w:val="Normal"/>
    <w:rsid w:val="00731B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31B35"/>
  </w:style>
  <w:style w:type="character" w:customStyle="1" w:styleId="eop">
    <w:name w:val="eop"/>
    <w:basedOn w:val="DefaultParagraphFont"/>
    <w:rsid w:val="00731B35"/>
  </w:style>
  <w:style w:type="character" w:customStyle="1" w:styleId="scxw265612105">
    <w:name w:val="scxw265612105"/>
    <w:basedOn w:val="DefaultParagraphFont"/>
    <w:rsid w:val="00731B35"/>
  </w:style>
  <w:style w:type="paragraph" w:styleId="BodyText">
    <w:name w:val="Body Text"/>
    <w:basedOn w:val="Normal"/>
    <w:link w:val="BodyTextChar"/>
    <w:uiPriority w:val="1"/>
    <w:qFormat/>
    <w:rsid w:val="00731B35"/>
    <w:pPr>
      <w:widowControl w:val="0"/>
      <w:autoSpaceDE w:val="0"/>
      <w:autoSpaceDN w:val="0"/>
      <w:spacing w:after="0" w:line="240" w:lineRule="auto"/>
      <w:ind w:left="840"/>
    </w:pPr>
    <w:rPr>
      <w:rFonts w:ascii="Calibri" w:eastAsia="Calibri" w:hAnsi="Calibri" w:cs="Calibri"/>
      <w:sz w:val="24"/>
      <w:szCs w:val="24"/>
    </w:rPr>
  </w:style>
  <w:style w:type="character" w:customStyle="1" w:styleId="BodyTextChar">
    <w:name w:val="Body Text Char"/>
    <w:basedOn w:val="DefaultParagraphFont"/>
    <w:link w:val="BodyText"/>
    <w:uiPriority w:val="1"/>
    <w:rsid w:val="00731B35"/>
    <w:rPr>
      <w:rFonts w:ascii="Calibri" w:eastAsia="Calibri" w:hAnsi="Calibri" w:cs="Calibri"/>
      <w:sz w:val="24"/>
      <w:szCs w:val="24"/>
    </w:rPr>
  </w:style>
  <w:style w:type="paragraph" w:styleId="Title">
    <w:name w:val="Title"/>
    <w:basedOn w:val="Normal"/>
    <w:link w:val="TitleChar"/>
    <w:uiPriority w:val="10"/>
    <w:qFormat/>
    <w:rsid w:val="00731B35"/>
    <w:pPr>
      <w:widowControl w:val="0"/>
      <w:autoSpaceDE w:val="0"/>
      <w:autoSpaceDN w:val="0"/>
      <w:spacing w:before="1" w:after="0" w:line="240" w:lineRule="auto"/>
      <w:ind w:left="120"/>
    </w:pPr>
    <w:rPr>
      <w:rFonts w:ascii="Calibri Light" w:eastAsia="Calibri Light" w:hAnsi="Calibri Light" w:cs="Calibri Light"/>
      <w:sz w:val="36"/>
      <w:szCs w:val="36"/>
    </w:rPr>
  </w:style>
  <w:style w:type="character" w:customStyle="1" w:styleId="TitleChar">
    <w:name w:val="Title Char"/>
    <w:basedOn w:val="DefaultParagraphFont"/>
    <w:link w:val="Title"/>
    <w:uiPriority w:val="10"/>
    <w:rsid w:val="00731B35"/>
    <w:rPr>
      <w:rFonts w:ascii="Calibri Light" w:eastAsia="Calibri Light" w:hAnsi="Calibri Light" w:cs="Calibri Light"/>
      <w:sz w:val="36"/>
      <w:szCs w:val="36"/>
    </w:rPr>
  </w:style>
  <w:style w:type="paragraph" w:styleId="ListParagraph">
    <w:name w:val="List Paragraph"/>
    <w:basedOn w:val="Normal"/>
    <w:uiPriority w:val="1"/>
    <w:qFormat/>
    <w:rsid w:val="00731B35"/>
    <w:pPr>
      <w:widowControl w:val="0"/>
      <w:autoSpaceDE w:val="0"/>
      <w:autoSpaceDN w:val="0"/>
      <w:spacing w:after="0" w:line="240" w:lineRule="auto"/>
      <w:ind w:left="840" w:hanging="360"/>
    </w:pPr>
    <w:rPr>
      <w:rFonts w:ascii="Calibri" w:eastAsia="Calibri" w:hAnsi="Calibri" w:cs="Calibri"/>
    </w:rPr>
  </w:style>
  <w:style w:type="paragraph" w:customStyle="1" w:styleId="TableParagraph">
    <w:name w:val="Table Paragraph"/>
    <w:basedOn w:val="Normal"/>
    <w:uiPriority w:val="1"/>
    <w:qFormat/>
    <w:rsid w:val="00731B35"/>
    <w:pPr>
      <w:widowControl w:val="0"/>
      <w:autoSpaceDE w:val="0"/>
      <w:autoSpaceDN w:val="0"/>
      <w:spacing w:after="0" w:line="240" w:lineRule="auto"/>
    </w:pPr>
    <w:rPr>
      <w:rFonts w:ascii="Calibri" w:eastAsia="Calibri" w:hAnsi="Calibri" w:cs="Calibri"/>
    </w:rPr>
  </w:style>
  <w:style w:type="character" w:customStyle="1" w:styleId="scxw218559234">
    <w:name w:val="scxw218559234"/>
    <w:basedOn w:val="DefaultParagraphFont"/>
    <w:rsid w:val="00731B35"/>
  </w:style>
  <w:style w:type="character" w:customStyle="1" w:styleId="contextualspellingandgrammarerror">
    <w:name w:val="contextualspellingandgrammarerror"/>
    <w:basedOn w:val="DefaultParagraphFont"/>
    <w:rsid w:val="00731B35"/>
  </w:style>
  <w:style w:type="character" w:customStyle="1" w:styleId="scxw233454306">
    <w:name w:val="scxw233454306"/>
    <w:basedOn w:val="DefaultParagraphFont"/>
    <w:rsid w:val="003C25DD"/>
  </w:style>
  <w:style w:type="character" w:customStyle="1" w:styleId="spellingerror">
    <w:name w:val="spellingerror"/>
    <w:basedOn w:val="DefaultParagraphFont"/>
    <w:rsid w:val="003C25DD"/>
  </w:style>
  <w:style w:type="character" w:customStyle="1" w:styleId="advancedproofingissue">
    <w:name w:val="advancedproofingissue"/>
    <w:basedOn w:val="DefaultParagraphFont"/>
    <w:rsid w:val="003C25DD"/>
  </w:style>
  <w:style w:type="paragraph" w:styleId="TOCHeading">
    <w:name w:val="TOC Heading"/>
    <w:basedOn w:val="Heading1"/>
    <w:next w:val="Normal"/>
    <w:uiPriority w:val="39"/>
    <w:unhideWhenUsed/>
    <w:qFormat/>
    <w:rsid w:val="003C25DD"/>
    <w:pPr>
      <w:outlineLvl w:val="9"/>
    </w:pPr>
    <w:rPr>
      <w:b w:val="0"/>
      <w:color w:val="2F5496" w:themeColor="accent1" w:themeShade="BF"/>
      <w:sz w:val="32"/>
    </w:rPr>
  </w:style>
  <w:style w:type="paragraph" w:styleId="TOC1">
    <w:name w:val="toc 1"/>
    <w:basedOn w:val="Normal"/>
    <w:next w:val="Normal"/>
    <w:autoRedefine/>
    <w:uiPriority w:val="39"/>
    <w:unhideWhenUsed/>
    <w:rsid w:val="003C25DD"/>
    <w:pPr>
      <w:spacing w:after="100"/>
    </w:pPr>
  </w:style>
  <w:style w:type="paragraph" w:styleId="TOC2">
    <w:name w:val="toc 2"/>
    <w:basedOn w:val="Normal"/>
    <w:next w:val="Normal"/>
    <w:autoRedefine/>
    <w:uiPriority w:val="39"/>
    <w:unhideWhenUsed/>
    <w:rsid w:val="003C25DD"/>
    <w:pPr>
      <w:spacing w:after="100"/>
      <w:ind w:left="220"/>
    </w:pPr>
  </w:style>
  <w:style w:type="paragraph" w:styleId="TOC3">
    <w:name w:val="toc 3"/>
    <w:basedOn w:val="Normal"/>
    <w:next w:val="Normal"/>
    <w:autoRedefine/>
    <w:uiPriority w:val="39"/>
    <w:unhideWhenUsed/>
    <w:rsid w:val="003C25DD"/>
    <w:pPr>
      <w:spacing w:after="100"/>
      <w:ind w:left="440"/>
    </w:pPr>
  </w:style>
  <w:style w:type="paragraph" w:styleId="Header">
    <w:name w:val="header"/>
    <w:basedOn w:val="Normal"/>
    <w:link w:val="HeaderChar"/>
    <w:uiPriority w:val="99"/>
    <w:unhideWhenUsed/>
    <w:rsid w:val="003C25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5DD"/>
  </w:style>
  <w:style w:type="paragraph" w:styleId="Footer">
    <w:name w:val="footer"/>
    <w:basedOn w:val="Normal"/>
    <w:link w:val="FooterChar"/>
    <w:uiPriority w:val="99"/>
    <w:unhideWhenUsed/>
    <w:rsid w:val="003C25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deed.state.mn.us/ddp/PolicyDetail.aspx?pol=55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s.deed.state.mn.us/ddp/PolicyDetail.aspx?pol=323"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po.gov/fdsys/pkg/FR-2016-12-02/pdf/2016-27737.pdf" TargetMode="External"/><Relationship Id="rId5" Type="http://schemas.openxmlformats.org/officeDocument/2006/relationships/numbering" Target="numbering.xml"/><Relationship Id="rId15" Type="http://schemas.openxmlformats.org/officeDocument/2006/relationships/hyperlink" Target="mailto:DEED.ODEO@state.mn.u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ather.stein@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92F27-A45E-4926-8AE9-5CE33C80B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2ED5412-BB3F-4F95-A25E-EB5A7BAA0A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E03A10-9EC9-4C07-BE1E-951151C62406}">
  <ds:schemaRefs>
    <ds:schemaRef ds:uri="http://schemas.microsoft.com/sharepoint/v3/contenttype/forms"/>
  </ds:schemaRefs>
</ds:datastoreItem>
</file>

<file path=customXml/itemProps4.xml><?xml version="1.0" encoding="utf-8"?>
<ds:datastoreItem xmlns:ds="http://schemas.openxmlformats.org/officeDocument/2006/customXml" ds:itemID="{10BB5B79-9AE4-48D8-B6CC-3311377FF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874</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Lilledahl, Karen (DEED)</dc:creator>
  <cp:keywords/>
  <dc:description/>
  <cp:lastModifiedBy>White, Deanne (DEED)</cp:lastModifiedBy>
  <cp:revision>3</cp:revision>
  <dcterms:created xsi:type="dcterms:W3CDTF">2023-04-07T14:01:00Z</dcterms:created>
  <dcterms:modified xsi:type="dcterms:W3CDTF">2023-04-07T14:25:00Z</dcterms:modified>
</cp:coreProperties>
</file>